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2DA15">
      <w:pPr>
        <w:widowControl/>
        <w:ind w:firstLine="0" w:firstLineChars="0"/>
        <w:jc w:val="left"/>
        <w:rPr>
          <w:rFonts w:hint="eastAsia" w:eastAsia="黑体"/>
          <w:b/>
          <w:bCs/>
          <w:color w:val="auto"/>
          <w:kern w:val="0"/>
          <w:sz w:val="32"/>
          <w:szCs w:val="48"/>
          <w:highlight w:val="none"/>
          <w:lang w:eastAsia="zh-CN"/>
        </w:rPr>
      </w:pPr>
      <w:bookmarkStart w:id="0" w:name="_Toc8320"/>
      <w:r>
        <w:rPr>
          <w:rFonts w:hint="eastAsia" w:eastAsia="黑体"/>
          <w:b/>
          <w:bCs/>
          <w:color w:val="auto"/>
          <w:kern w:val="0"/>
          <w:sz w:val="32"/>
          <w:szCs w:val="48"/>
          <w:highlight w:val="none"/>
        </w:rPr>
        <w:t>附件</w:t>
      </w:r>
      <w:r>
        <w:rPr>
          <w:rFonts w:hint="eastAsia" w:eastAsia="黑体"/>
          <w:b/>
          <w:bCs/>
          <w:color w:val="auto"/>
          <w:kern w:val="0"/>
          <w:sz w:val="32"/>
          <w:szCs w:val="48"/>
          <w:highlight w:val="none"/>
          <w:lang w:val="en-US" w:eastAsia="zh-CN"/>
        </w:rPr>
        <w:t>1</w:t>
      </w:r>
    </w:p>
    <w:p w14:paraId="0655B26E">
      <w:pPr>
        <w:bidi w:val="0"/>
        <w:rPr>
          <w:color w:val="auto"/>
          <w:highlight w:val="none"/>
        </w:rPr>
      </w:pPr>
    </w:p>
    <w:p w14:paraId="6155A35B">
      <w:pPr>
        <w:bidi w:val="0"/>
        <w:rPr>
          <w:color w:val="auto"/>
          <w:highlight w:val="none"/>
        </w:rPr>
      </w:pPr>
    </w:p>
    <w:p w14:paraId="27C40DF5">
      <w:pPr>
        <w:bidi w:val="0"/>
        <w:rPr>
          <w:color w:val="auto"/>
          <w:highlight w:val="none"/>
        </w:rPr>
      </w:pPr>
    </w:p>
    <w:p w14:paraId="5DA7B332">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小标宋_GBK" w:cs="Times New Roman"/>
          <w:color w:val="auto"/>
          <w:sz w:val="44"/>
          <w:szCs w:val="44"/>
          <w:highlight w:val="none"/>
        </w:rPr>
      </w:pPr>
      <w:r>
        <w:rPr>
          <w:rFonts w:hint="eastAsia" w:ascii="Times New Roman" w:hAnsi="Times New Roman" w:eastAsia="方正小标宋_GBK" w:cs="Times New Roman"/>
          <w:color w:val="auto"/>
          <w:sz w:val="44"/>
          <w:szCs w:val="44"/>
          <w:highlight w:val="none"/>
        </w:rPr>
        <w:t>2027年度自治区科技计划氢氧产业培育</w:t>
      </w:r>
    </w:p>
    <w:p w14:paraId="48639B27">
      <w:pPr>
        <w:pStyle w:val="3"/>
        <w:bidi w:val="0"/>
        <w:ind w:left="0" w:leftChars="0" w:firstLine="0" w:firstLineChars="0"/>
        <w:jc w:val="center"/>
        <w:rPr>
          <w:rFonts w:hint="eastAsia" w:ascii="Times New Roman" w:hAnsi="Times New Roman" w:eastAsia="方正小标宋_GBK" w:cs="Times New Roman"/>
          <w:b w:val="0"/>
          <w:bCs/>
          <w:color w:val="auto"/>
          <w:sz w:val="44"/>
          <w:szCs w:val="44"/>
          <w:highlight w:val="none"/>
        </w:rPr>
        <w:sectPr>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eastAsia="方正小标宋_GBK" w:cs="Times New Roman"/>
          <w:b w:val="0"/>
          <w:bCs/>
          <w:color w:val="auto"/>
          <w:sz w:val="44"/>
          <w:szCs w:val="44"/>
          <w:highlight w:val="none"/>
        </w:rPr>
        <w:t>科技重大专项项目申报指南</w:t>
      </w:r>
      <w:bookmarkEnd w:id="0"/>
      <w:bookmarkStart w:id="1" w:name="_Toc9844"/>
    </w:p>
    <w:p w14:paraId="10EFB72A">
      <w:pPr>
        <w:pStyle w:val="3"/>
        <w:bidi w:val="0"/>
        <w:rPr>
          <w:rFonts w:hint="default" w:ascii="Times New Roman" w:hAnsi="Times New Roman" w:cs="Times New Roman"/>
          <w:color w:val="auto"/>
          <w:sz w:val="32"/>
          <w:szCs w:val="32"/>
          <w:highlight w:val="none"/>
          <w:u w:val="none"/>
        </w:rPr>
      </w:pPr>
      <w:r>
        <w:rPr>
          <w:rFonts w:hint="default" w:ascii="Times New Roman" w:hAnsi="Times New Roman" w:cs="Times New Roman"/>
          <w:color w:val="auto"/>
          <w:sz w:val="32"/>
          <w:szCs w:val="32"/>
          <w:highlight w:val="none"/>
          <w:u w:val="none"/>
        </w:rPr>
        <w:t>指南</w:t>
      </w:r>
      <w:r>
        <w:rPr>
          <w:rFonts w:hint="eastAsia" w:ascii="Times New Roman" w:hAnsi="Times New Roman" w:cs="Times New Roman"/>
          <w:color w:val="auto"/>
          <w:sz w:val="32"/>
          <w:szCs w:val="32"/>
          <w:highlight w:val="none"/>
          <w:u w:val="none"/>
          <w:lang w:val="en-US" w:eastAsia="zh-CN"/>
        </w:rPr>
        <w:t>1</w:t>
      </w:r>
      <w:r>
        <w:rPr>
          <w:rFonts w:hint="default" w:ascii="Times New Roman" w:hAnsi="Times New Roman" w:cs="Times New Roman"/>
          <w:color w:val="auto"/>
          <w:sz w:val="32"/>
          <w:szCs w:val="32"/>
          <w:highlight w:val="none"/>
          <w:u w:val="none"/>
        </w:rPr>
        <w:t>：氢氧制备关键技术研发与示范</w:t>
      </w:r>
      <w:bookmarkEnd w:id="1"/>
    </w:p>
    <w:p w14:paraId="67BDEDAD">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76" w:lineRule="exact"/>
        <w:ind w:left="0" w:leftChars="0" w:right="0" w:firstLine="643" w:firstLineChars="200"/>
        <w:jc w:val="both"/>
        <w:textAlignment w:val="auto"/>
        <w:rPr>
          <w:rFonts w:hint="default" w:ascii="Times New Roman" w:hAnsi="Times New Roman" w:eastAsia="仿宋_GB2312" w:cs="Times New Roman"/>
          <w:b/>
          <w:bCs/>
          <w:color w:val="auto"/>
          <w:kern w:val="0"/>
          <w:sz w:val="32"/>
          <w:szCs w:val="32"/>
          <w:highlight w:val="none"/>
          <w:u w:val="none"/>
          <w:lang w:val="en-US" w:eastAsia="zh-CN" w:bidi="ar"/>
        </w:rPr>
      </w:pPr>
      <w:r>
        <w:rPr>
          <w:rFonts w:hint="default" w:ascii="Times New Roman" w:hAnsi="Times New Roman" w:eastAsia="仿宋_GB2312" w:cs="Times New Roman"/>
          <w:b/>
          <w:bCs/>
          <w:color w:val="auto"/>
          <w:kern w:val="0"/>
          <w:sz w:val="32"/>
          <w:szCs w:val="32"/>
          <w:highlight w:val="none"/>
          <w:u w:val="none"/>
          <w:lang w:val="en-US" w:eastAsia="zh-CN" w:bidi="ar"/>
        </w:rPr>
        <w:t>指南编号：</w:t>
      </w:r>
      <w:r>
        <w:rPr>
          <w:rFonts w:hint="default" w:ascii="Times New Roman" w:hAnsi="Times New Roman" w:eastAsia="仿宋_GB2312" w:cs="Times New Roman"/>
          <w:b w:val="0"/>
          <w:bCs w:val="0"/>
          <w:color w:val="auto"/>
          <w:kern w:val="0"/>
          <w:sz w:val="32"/>
          <w:szCs w:val="32"/>
          <w:highlight w:val="none"/>
          <w:u w:val="none"/>
          <w:lang w:val="en-US" w:eastAsia="zh-CN" w:bidi="ar"/>
        </w:rPr>
        <w:t>1.11.1-1；</w:t>
      </w:r>
      <w:r>
        <w:rPr>
          <w:rFonts w:hint="default" w:ascii="Times New Roman" w:hAnsi="Times New Roman" w:eastAsia="仿宋_GB2312" w:cs="Times New Roman"/>
          <w:b/>
          <w:bCs/>
          <w:color w:val="auto"/>
          <w:kern w:val="0"/>
          <w:sz w:val="32"/>
          <w:szCs w:val="32"/>
          <w:highlight w:val="none"/>
          <w:u w:val="none"/>
          <w:lang w:val="en-US" w:eastAsia="zh-CN" w:bidi="ar"/>
        </w:rPr>
        <w:t>计划类别：</w:t>
      </w:r>
      <w:r>
        <w:rPr>
          <w:rFonts w:hint="default" w:ascii="Times New Roman" w:hAnsi="Times New Roman" w:eastAsia="仿宋_GB2312" w:cs="Times New Roman"/>
          <w:b w:val="0"/>
          <w:bCs w:val="0"/>
          <w:color w:val="auto"/>
          <w:kern w:val="0"/>
          <w:sz w:val="32"/>
          <w:szCs w:val="32"/>
          <w:highlight w:val="none"/>
          <w:u w:val="none"/>
          <w:lang w:val="en-US" w:eastAsia="zh-CN" w:bidi="ar"/>
        </w:rPr>
        <w:t>科技重大专项；</w:t>
      </w:r>
      <w:r>
        <w:rPr>
          <w:rFonts w:hint="default" w:ascii="Times New Roman" w:hAnsi="Times New Roman" w:eastAsia="仿宋_GB2312" w:cs="Times New Roman"/>
          <w:b/>
          <w:bCs/>
          <w:color w:val="auto"/>
          <w:kern w:val="0"/>
          <w:sz w:val="32"/>
          <w:szCs w:val="32"/>
          <w:highlight w:val="none"/>
          <w:u w:val="none"/>
          <w:lang w:val="en-US" w:eastAsia="zh-CN" w:bidi="ar"/>
        </w:rPr>
        <w:t>组织实施方式：</w:t>
      </w:r>
      <w:r>
        <w:rPr>
          <w:rFonts w:hint="default" w:ascii="Times New Roman" w:hAnsi="Times New Roman" w:eastAsia="仿宋_GB2312" w:cs="Times New Roman"/>
          <w:b w:val="0"/>
          <w:bCs w:val="0"/>
          <w:color w:val="auto"/>
          <w:kern w:val="0"/>
          <w:sz w:val="32"/>
          <w:szCs w:val="32"/>
          <w:highlight w:val="none"/>
          <w:u w:val="none"/>
          <w:lang w:val="en-US" w:eastAsia="zh-CN" w:bidi="ar"/>
        </w:rPr>
        <w:t>首席科学家负责制；</w:t>
      </w:r>
      <w:r>
        <w:rPr>
          <w:rFonts w:hint="default" w:ascii="Times New Roman" w:hAnsi="Times New Roman" w:eastAsia="仿宋_GB2312" w:cs="Times New Roman"/>
          <w:b/>
          <w:bCs/>
          <w:color w:val="auto"/>
          <w:kern w:val="0"/>
          <w:sz w:val="32"/>
          <w:szCs w:val="32"/>
          <w:highlight w:val="none"/>
          <w:u w:val="none"/>
          <w:lang w:val="en-US" w:eastAsia="zh-CN" w:bidi="ar"/>
        </w:rPr>
        <w:t>实施周期：</w:t>
      </w:r>
      <w:r>
        <w:rPr>
          <w:rFonts w:hint="default" w:ascii="Times New Roman" w:hAnsi="Times New Roman" w:cs="Times New Roman"/>
          <w:b w:val="0"/>
          <w:bCs w:val="0"/>
          <w:color w:val="auto"/>
          <w:kern w:val="0"/>
          <w:sz w:val="32"/>
          <w:szCs w:val="32"/>
          <w:highlight w:val="none"/>
          <w:u w:val="none"/>
          <w:lang w:val="en-US" w:eastAsia="zh-CN" w:bidi="ar"/>
        </w:rPr>
        <w:t>4</w:t>
      </w:r>
      <w:r>
        <w:rPr>
          <w:rFonts w:hint="default" w:ascii="Times New Roman" w:hAnsi="Times New Roman" w:eastAsia="仿宋_GB2312" w:cs="Times New Roman"/>
          <w:b w:val="0"/>
          <w:bCs w:val="0"/>
          <w:color w:val="auto"/>
          <w:kern w:val="0"/>
          <w:sz w:val="32"/>
          <w:szCs w:val="32"/>
          <w:highlight w:val="none"/>
          <w:u w:val="none"/>
          <w:lang w:val="en-US" w:eastAsia="zh-CN" w:bidi="ar"/>
        </w:rPr>
        <w:t>年。</w:t>
      </w:r>
    </w:p>
    <w:p w14:paraId="3BA5032C">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总体目标：</w:t>
      </w:r>
      <w:r>
        <w:rPr>
          <w:rFonts w:hint="default" w:ascii="Times New Roman" w:hAnsi="Times New Roman" w:eastAsia="仿宋_GB2312" w:cs="Times New Roman"/>
          <w:color w:val="auto"/>
          <w:sz w:val="32"/>
          <w:szCs w:val="32"/>
          <w:highlight w:val="none"/>
          <w:u w:val="none"/>
        </w:rPr>
        <w:t>面向西藏高海拔、强辐照、低气压等高原特殊环境，围绕自治区清洁能源开发利用、氢氧产业培育和用氧保障需求，突破聚光全解水制氢、光催化分解水制氢、兆瓦级PEM制氢、生物制氢及氢氧装备高原适配性研究等关键技术，构建</w:t>
      </w:r>
      <w:r>
        <w:rPr>
          <w:rFonts w:hint="eastAsia" w:ascii="Times New Roman" w:hAnsi="Times New Roman"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多元制氢路线-装备系统集成-高原适配测试</w:t>
      </w:r>
      <w:r>
        <w:rPr>
          <w:rFonts w:hint="eastAsia" w:ascii="Times New Roman" w:hAnsi="Times New Roman"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一体化技术体系和示范验证平台，为西藏清洁能源高质量开发和绿色产业培育提供技术支撑与示范经验，打造</w:t>
      </w:r>
      <w:r>
        <w:rPr>
          <w:rFonts w:hint="default" w:ascii="Times New Roman" w:hAnsi="Times New Roman" w:eastAsia="仿宋_GB2312" w:cs="Times New Roman"/>
          <w:color w:val="auto"/>
          <w:sz w:val="32"/>
          <w:szCs w:val="32"/>
          <w:highlight w:val="none"/>
          <w:u w:val="none"/>
          <w:lang w:val="en-US" w:eastAsia="zh-CN"/>
        </w:rPr>
        <w:t>西藏</w:t>
      </w:r>
      <w:r>
        <w:rPr>
          <w:rFonts w:hint="default" w:ascii="Times New Roman" w:hAnsi="Times New Roman" w:eastAsia="仿宋_GB2312" w:cs="Times New Roman"/>
          <w:color w:val="auto"/>
          <w:sz w:val="32"/>
          <w:szCs w:val="32"/>
          <w:highlight w:val="none"/>
          <w:u w:val="none"/>
        </w:rPr>
        <w:t>氢氧产业技术创新与示范高地。</w:t>
      </w:r>
    </w:p>
    <w:p w14:paraId="43303A00">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课题1：高原适应性聚光全解水制氢氧技术研发与示范</w:t>
      </w:r>
    </w:p>
    <w:p w14:paraId="5DACAC37">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eastAsia="仿宋_GB2312" w:cs="Times New Roman"/>
          <w:color w:val="auto"/>
          <w:sz w:val="32"/>
          <w:szCs w:val="32"/>
          <w:highlight w:val="none"/>
          <w:u w:val="none"/>
        </w:rPr>
        <w:t>研发匹配强紫外聚光条件下的长寿命光电催化材料，开发吸收光谱互补的阴极/阳极催化材料以提升太阳光全光谱利用率，实现低偏压或无偏压制氢；研制适用高原气候下的光吸收全解水氢氧分区反应器装置；开发适应高原光照条件的光学系统布局与控制优化技术；开发适合高原光照与气候条件的高精度定日镜场、选择性增反层反射透镜及颗粒阻尼高倍聚光系统，构建聚光全解水制氢制氧一体化成套装备。</w:t>
      </w:r>
    </w:p>
    <w:p w14:paraId="1C11F939">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cs="Times New Roman"/>
          <w:color w:val="auto"/>
          <w:sz w:val="32"/>
          <w:szCs w:val="32"/>
          <w:highlight w:val="none"/>
          <w:u w:val="none"/>
          <w:lang w:val="en"/>
        </w:rPr>
        <w:t>全光谱太阳能到氢能转化效率</w:t>
      </w:r>
      <w:r>
        <w:rPr>
          <w:rFonts w:hint="default" w:ascii="Times New Roman" w:hAnsi="Times New Roman" w:cs="Times New Roman"/>
          <w:color w:val="auto"/>
          <w:sz w:val="32"/>
          <w:szCs w:val="32"/>
          <w:highlight w:val="none"/>
          <w:u w:val="none"/>
          <w:lang w:val="en-US" w:eastAsia="zh-CN"/>
        </w:rPr>
        <w:t>≥</w:t>
      </w:r>
      <w:r>
        <w:rPr>
          <w:rFonts w:hint="default" w:ascii="Times New Roman" w:hAnsi="Times New Roman" w:cs="Times New Roman"/>
          <w:color w:val="auto"/>
          <w:sz w:val="32"/>
          <w:szCs w:val="32"/>
          <w:highlight w:val="none"/>
          <w:u w:val="none"/>
        </w:rPr>
        <w:t>15%</w:t>
      </w:r>
      <w:r>
        <w:rPr>
          <w:rFonts w:hint="default" w:ascii="Times New Roman" w:hAnsi="Times New Roman" w:eastAsia="仿宋_GB2312" w:cs="Times New Roman"/>
          <w:color w:val="auto"/>
          <w:sz w:val="32"/>
          <w:szCs w:val="32"/>
          <w:highlight w:val="none"/>
          <w:u w:val="none"/>
        </w:rPr>
        <w:t>，催化材料使用寿命≥5000h；工程化光氢转化效率≥10%，氢氧分离效率≥99%；多场耦合模型预测精度≥90%；研制聚光全解水制氢制氧工业化反应装置，实现每立方米反应器产氢速率≥15 Nm</w:t>
      </w:r>
      <w:r>
        <w:rPr>
          <w:rFonts w:hint="default" w:ascii="Times New Roman" w:hAnsi="Times New Roman" w:eastAsia="仿宋_GB2312" w:cs="Times New Roman"/>
          <w:color w:val="auto"/>
          <w:sz w:val="32"/>
          <w:szCs w:val="32"/>
          <w:highlight w:val="none"/>
          <w:u w:val="none"/>
          <w:vertAlign w:val="superscript"/>
        </w:rPr>
        <w:t>3</w:t>
      </w:r>
      <w:r>
        <w:rPr>
          <w:rFonts w:hint="default" w:ascii="Times New Roman" w:hAnsi="Times New Roman" w:eastAsia="仿宋_GB2312" w:cs="Times New Roman"/>
          <w:color w:val="auto"/>
          <w:sz w:val="32"/>
          <w:szCs w:val="32"/>
          <w:highlight w:val="none"/>
          <w:u w:val="none"/>
        </w:rPr>
        <w:t>/h，氢气纯度≥99%，氧气纯度≥98%</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制定适配高原的光催化复合材料团体标准≥1项；申请发明专利≥3</w:t>
      </w:r>
      <w:r>
        <w:rPr>
          <w:rFonts w:hint="default" w:ascii="Times New Roman" w:hAnsi="Times New Roman" w:eastAsia="仿宋_GB2312" w:cs="Times New Roman"/>
          <w:color w:val="auto"/>
          <w:sz w:val="32"/>
          <w:szCs w:val="32"/>
          <w:highlight w:val="none"/>
          <w:u w:val="none"/>
          <w:lang w:val="en-US" w:eastAsia="zh-CN"/>
        </w:rPr>
        <w:t>项</w:t>
      </w:r>
      <w:r>
        <w:rPr>
          <w:rFonts w:hint="default" w:ascii="Times New Roman" w:hAnsi="Times New Roman" w:eastAsia="仿宋_GB2312" w:cs="Times New Roman"/>
          <w:color w:val="auto"/>
          <w:sz w:val="32"/>
          <w:szCs w:val="32"/>
          <w:highlight w:val="none"/>
          <w:u w:val="none"/>
        </w:rPr>
        <w:t>；发表</w:t>
      </w:r>
      <w:r>
        <w:rPr>
          <w:rFonts w:hint="default" w:ascii="Times New Roman" w:hAnsi="Times New Roman" w:eastAsia="仿宋_GB2312" w:cs="Times New Roman"/>
          <w:color w:val="auto"/>
          <w:sz w:val="32"/>
          <w:szCs w:val="32"/>
          <w:highlight w:val="none"/>
          <w:u w:val="none"/>
          <w:lang w:val="en-US" w:eastAsia="zh-CN"/>
        </w:rPr>
        <w:t>高水平</w:t>
      </w:r>
      <w:r>
        <w:rPr>
          <w:rFonts w:hint="default" w:ascii="Times New Roman" w:hAnsi="Times New Roman" w:eastAsia="仿宋_GB2312" w:cs="Times New Roman"/>
          <w:color w:val="auto"/>
          <w:sz w:val="32"/>
          <w:szCs w:val="32"/>
          <w:highlight w:val="none"/>
          <w:u w:val="none"/>
        </w:rPr>
        <w:t>论文≥3篇</w:t>
      </w:r>
      <w:r>
        <w:rPr>
          <w:rFonts w:hint="default"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lang w:val="en-US" w:eastAsia="zh-CN"/>
        </w:rPr>
        <w:t>应用示范</w:t>
      </w:r>
      <w:r>
        <w:rPr>
          <w:rFonts w:hint="default" w:ascii="Times New Roman" w:hAnsi="Times New Roman" w:eastAsia="仿宋_GB2312" w:cs="Times New Roman"/>
          <w:color w:val="auto"/>
          <w:sz w:val="32"/>
          <w:szCs w:val="32"/>
          <w:highlight w:val="none"/>
          <w:u w:val="none"/>
        </w:rPr>
        <w:t>≥1</w:t>
      </w:r>
      <w:r>
        <w:rPr>
          <w:rFonts w:hint="default" w:ascii="Times New Roman" w:hAnsi="Times New Roman" w:cs="Times New Roman"/>
          <w:color w:val="auto"/>
          <w:sz w:val="32"/>
          <w:szCs w:val="32"/>
          <w:highlight w:val="none"/>
          <w:u w:val="none"/>
          <w:lang w:val="en-US" w:eastAsia="zh-CN"/>
        </w:rPr>
        <w:t>处</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编制研究报告</w:t>
      </w:r>
      <w:r>
        <w:rPr>
          <w:rFonts w:hint="default"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1份</w:t>
      </w:r>
      <w:r>
        <w:rPr>
          <w:rFonts w:hint="default" w:ascii="Times New Roman" w:hAnsi="Times New Roman" w:cs="Times New Roman"/>
          <w:color w:val="auto"/>
          <w:sz w:val="32"/>
          <w:szCs w:val="32"/>
          <w:highlight w:val="none"/>
          <w:u w:val="none"/>
          <w:lang w:val="en-US" w:eastAsia="zh-CN"/>
        </w:rPr>
        <w:t>。</w:t>
      </w:r>
    </w:p>
    <w:p w14:paraId="26E3BB06">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课题2：可规模化太阳能光催化分解水制氢气和氧气</w:t>
      </w:r>
    </w:p>
    <w:p w14:paraId="171251D8">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eastAsia="仿宋_GB2312" w:cs="Times New Roman"/>
          <w:color w:val="auto"/>
          <w:sz w:val="32"/>
          <w:szCs w:val="32"/>
          <w:highlight w:val="none"/>
          <w:u w:val="none"/>
        </w:rPr>
        <w:t>发展高光子转化效率的新型半导体光催化材料及微纳结构调控方法，建立兼具高可见光吸收率、高载流子迁移率及表/界面电荷转移特性的材料晶面调控原则和方法，构筑高效宽光谱捕光半导体光催化剂和光电催化体系；开发新型稳定、电化学电位可调的水氧化储能介质体系，构建光催化水氧化储能-产氢集成系统的物质循环和能量循环；光催化剂放大制备以及建立可规模化光催化分解水制氢的工艺流程及示范装置。</w:t>
      </w:r>
    </w:p>
    <w:p w14:paraId="40697641">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color w:val="auto"/>
          <w:sz w:val="32"/>
          <w:szCs w:val="32"/>
          <w:highlight w:val="none"/>
          <w:u w:val="none"/>
        </w:rPr>
        <w:t>构建高效太阳能光催化分解水制氢制氧催化剂体系，可见光光催化水氧化量子效率≥70%；建成高原环境下太阳能光催化分解水制氢制氧示范装置1套，</w:t>
      </w:r>
      <w:r>
        <w:rPr>
          <w:rFonts w:hint="default" w:ascii="Times New Roman" w:hAnsi="Times New Roman" w:cs="Times New Roman"/>
          <w:color w:val="auto"/>
          <w:sz w:val="32"/>
          <w:szCs w:val="32"/>
          <w:highlight w:val="none"/>
          <w:u w:val="none"/>
        </w:rPr>
        <w:t>要求海拔≥3000m，</w:t>
      </w:r>
      <w:r>
        <w:rPr>
          <w:rFonts w:hint="default" w:ascii="Times New Roman" w:hAnsi="Times New Roman" w:eastAsia="仿宋_GB2312" w:cs="Times New Roman"/>
          <w:color w:val="auto"/>
          <w:sz w:val="32"/>
          <w:szCs w:val="32"/>
          <w:highlight w:val="none"/>
          <w:u w:val="none"/>
        </w:rPr>
        <w:t>工作面积≥500 m</w:t>
      </w:r>
      <w:r>
        <w:rPr>
          <w:rFonts w:hint="default" w:ascii="Times New Roman" w:hAnsi="Times New Roman" w:eastAsia="仿宋_GB2312" w:cs="Times New Roman"/>
          <w:color w:val="auto"/>
          <w:sz w:val="32"/>
          <w:szCs w:val="32"/>
          <w:highlight w:val="none"/>
          <w:u w:val="none"/>
          <w:vertAlign w:val="superscript"/>
        </w:rPr>
        <w:t>2</w:t>
      </w:r>
      <w:r>
        <w:rPr>
          <w:rFonts w:hint="default" w:ascii="Times New Roman" w:hAnsi="Times New Roman" w:eastAsia="仿宋_GB2312" w:cs="Times New Roman"/>
          <w:color w:val="auto"/>
          <w:sz w:val="32"/>
          <w:szCs w:val="32"/>
          <w:highlight w:val="none"/>
          <w:u w:val="none"/>
        </w:rPr>
        <w:t>，太阳能分解水制氢效率≥1%，氢气纯度≥99%，氧气纯度≥99%</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申请发明专利≥3件；发表</w:t>
      </w:r>
      <w:r>
        <w:rPr>
          <w:rFonts w:hint="default" w:ascii="Times New Roman" w:hAnsi="Times New Roman" w:eastAsia="仿宋_GB2312" w:cs="Times New Roman"/>
          <w:color w:val="auto"/>
          <w:sz w:val="32"/>
          <w:szCs w:val="32"/>
          <w:highlight w:val="none"/>
          <w:u w:val="none"/>
          <w:lang w:val="en-US" w:eastAsia="zh-CN"/>
        </w:rPr>
        <w:t>高水平</w:t>
      </w:r>
      <w:r>
        <w:rPr>
          <w:rFonts w:hint="default" w:ascii="Times New Roman" w:hAnsi="Times New Roman" w:eastAsia="仿宋_GB2312" w:cs="Times New Roman"/>
          <w:color w:val="auto"/>
          <w:sz w:val="32"/>
          <w:szCs w:val="32"/>
          <w:highlight w:val="none"/>
          <w:u w:val="none"/>
        </w:rPr>
        <w:t>论文≥5篇</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编制研究报告</w:t>
      </w:r>
      <w:r>
        <w:rPr>
          <w:rFonts w:hint="default"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1份</w:t>
      </w:r>
      <w:r>
        <w:rPr>
          <w:rFonts w:hint="default" w:ascii="Times New Roman" w:hAnsi="Times New Roman" w:eastAsia="仿宋_GB2312" w:cs="Times New Roman"/>
          <w:color w:val="auto"/>
          <w:sz w:val="32"/>
          <w:szCs w:val="32"/>
          <w:highlight w:val="none"/>
          <w:u w:val="none"/>
        </w:rPr>
        <w:t>。</w:t>
      </w:r>
    </w:p>
    <w:p w14:paraId="57FF39B3">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课题3：高原适应型低成本兆瓦级PEM制氢装备关键技术</w:t>
      </w:r>
    </w:p>
    <w:p w14:paraId="7BF0FD05">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eastAsia="仿宋_GB2312" w:cs="Times New Roman"/>
          <w:color w:val="auto"/>
          <w:sz w:val="32"/>
          <w:szCs w:val="32"/>
          <w:highlight w:val="none"/>
          <w:u w:val="none"/>
        </w:rPr>
        <w:t>研究高原典型气候下PEM电解槽衰减机制与可靠性提升技术；开发光储微网绿电制氢系统集成与智能管控技术；开发电解水副产氧气的高原医用纯化及供氧系统；完成适用于高海拔环境的电解水成套BOP系统开发与验证。</w:t>
      </w:r>
    </w:p>
    <w:p w14:paraId="478D15DE">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color w:val="auto"/>
          <w:sz w:val="32"/>
          <w:szCs w:val="32"/>
          <w:highlight w:val="none"/>
          <w:u w:val="none"/>
        </w:rPr>
        <w:t>实现PEM电解水制氢单槽规模≥1.25MW，系统电耗≤48 kWh/kg H</w:t>
      </w:r>
      <w:r>
        <w:rPr>
          <w:rFonts w:hint="default" w:ascii="Times New Roman" w:hAnsi="Times New Roman" w:eastAsia="仿宋_GB2312" w:cs="Times New Roman"/>
          <w:color w:val="auto"/>
          <w:sz w:val="32"/>
          <w:szCs w:val="32"/>
          <w:highlight w:val="none"/>
          <w:u w:val="none"/>
          <w:vertAlign w:val="subscript"/>
        </w:rPr>
        <w:t>2</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cs="Times New Roman"/>
          <w:color w:val="auto"/>
          <w:sz w:val="32"/>
          <w:szCs w:val="32"/>
          <w:highlight w:val="none"/>
          <w:u w:val="none"/>
        </w:rPr>
        <w:t>在电价为0.33元/kWh时，制氢成本不高于23元/kg；</w:t>
      </w:r>
      <w:r>
        <w:rPr>
          <w:rFonts w:hint="default" w:ascii="Times New Roman" w:hAnsi="Times New Roman" w:eastAsia="仿宋_GB2312" w:cs="Times New Roman"/>
          <w:color w:val="auto"/>
          <w:sz w:val="32"/>
          <w:szCs w:val="32"/>
          <w:highlight w:val="none"/>
          <w:u w:val="none"/>
        </w:rPr>
        <w:t>海拔≥3500 m高原环境下，电堆运行时间≥4000h，性能衰减率≤10 µV/h；完成电解水系统多源能流建模与调控策略开发，形成具备功率预测、负荷优化调度能力的智慧能源管控系统1套，系统可在5%–120%范围负荷调节</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制定PEM电解水制氢技术相关西藏自治区地方标准≥1项；申请发明专利≥2件；发表</w:t>
      </w:r>
      <w:r>
        <w:rPr>
          <w:rFonts w:hint="default" w:ascii="Times New Roman" w:hAnsi="Times New Roman" w:eastAsia="仿宋_GB2312" w:cs="Times New Roman"/>
          <w:color w:val="auto"/>
          <w:sz w:val="32"/>
          <w:szCs w:val="32"/>
          <w:highlight w:val="none"/>
          <w:u w:val="none"/>
          <w:lang w:val="en-US" w:eastAsia="zh-CN"/>
        </w:rPr>
        <w:t>高水平</w:t>
      </w:r>
      <w:r>
        <w:rPr>
          <w:rFonts w:hint="default" w:ascii="Times New Roman" w:hAnsi="Times New Roman" w:eastAsia="仿宋_GB2312" w:cs="Times New Roman"/>
          <w:color w:val="auto"/>
          <w:sz w:val="32"/>
          <w:szCs w:val="32"/>
          <w:highlight w:val="none"/>
          <w:u w:val="none"/>
        </w:rPr>
        <w:t>论文≥2篇</w:t>
      </w:r>
      <w:r>
        <w:rPr>
          <w:rFonts w:hint="default"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rPr>
        <w:t>其中西藏本地期刊论文≥1篇；</w:t>
      </w:r>
      <w:r>
        <w:rPr>
          <w:rFonts w:hint="default" w:ascii="Times New Roman" w:hAnsi="Times New Roman" w:cs="Times New Roman"/>
          <w:color w:val="auto"/>
          <w:sz w:val="32"/>
          <w:szCs w:val="32"/>
          <w:highlight w:val="none"/>
          <w:u w:val="none"/>
          <w:lang w:val="en-US" w:eastAsia="zh-CN"/>
        </w:rPr>
        <w:t>应用示范</w:t>
      </w:r>
      <w:r>
        <w:rPr>
          <w:rFonts w:hint="default" w:ascii="Times New Roman" w:hAnsi="Times New Roman" w:eastAsia="仿宋_GB2312" w:cs="Times New Roman"/>
          <w:color w:val="auto"/>
          <w:sz w:val="32"/>
          <w:szCs w:val="32"/>
          <w:highlight w:val="none"/>
          <w:u w:val="none"/>
        </w:rPr>
        <w:t>≥1</w:t>
      </w:r>
      <w:r>
        <w:rPr>
          <w:rFonts w:hint="default" w:ascii="Times New Roman" w:hAnsi="Times New Roman" w:cs="Times New Roman"/>
          <w:color w:val="auto"/>
          <w:sz w:val="32"/>
          <w:szCs w:val="32"/>
          <w:highlight w:val="none"/>
          <w:u w:val="none"/>
          <w:lang w:val="en-US" w:eastAsia="zh-CN"/>
        </w:rPr>
        <w:t>处</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编制研究报告</w:t>
      </w:r>
      <w:r>
        <w:rPr>
          <w:rFonts w:hint="default"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1份</w:t>
      </w:r>
      <w:r>
        <w:rPr>
          <w:rFonts w:hint="default" w:ascii="Times New Roman" w:hAnsi="Times New Roman" w:cs="Times New Roman"/>
          <w:color w:val="auto"/>
          <w:sz w:val="32"/>
          <w:szCs w:val="32"/>
          <w:highlight w:val="none"/>
          <w:u w:val="none"/>
          <w:lang w:val="en-US" w:eastAsia="zh-CN"/>
        </w:rPr>
        <w:t>。</w:t>
      </w:r>
    </w:p>
    <w:p w14:paraId="4DFFD128">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课题4：生物制氢与副产物综合利用技术及示范</w:t>
      </w:r>
    </w:p>
    <w:p w14:paraId="4B6890B6">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eastAsia="仿宋_GB2312" w:cs="Times New Roman"/>
          <w:color w:val="auto"/>
          <w:sz w:val="32"/>
          <w:szCs w:val="32"/>
          <w:highlight w:val="none"/>
          <w:u w:val="none"/>
        </w:rPr>
        <w:t>围绕西藏高海拔、低气压等环境特征，研究高原环境对生物制氢过程的影响规律，构建适用于高原环境的耐氧生物制氢体系，开展菌群筛选、驯化及工艺优化，突破高原环境下生物制氢稳定运行关键技术，建设高原生物制氢示范系统，形成适用于西藏地区的技术方案。</w:t>
      </w:r>
    </w:p>
    <w:p w14:paraId="61281789">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color w:val="auto"/>
          <w:sz w:val="32"/>
          <w:szCs w:val="32"/>
          <w:highlight w:val="none"/>
          <w:u w:val="none"/>
        </w:rPr>
        <w:t>构建耐氧产氢菌群≥3套；建成生物制氢示范系统1套，日产氢规模≥100 Nm</w:t>
      </w:r>
      <w:r>
        <w:rPr>
          <w:rFonts w:hint="default" w:ascii="Times New Roman" w:hAnsi="Times New Roman" w:eastAsia="仿宋_GB2312" w:cs="Times New Roman"/>
          <w:color w:val="auto"/>
          <w:sz w:val="32"/>
          <w:szCs w:val="32"/>
          <w:highlight w:val="none"/>
          <w:u w:val="none"/>
          <w:vertAlign w:val="superscript"/>
        </w:rPr>
        <w:t>3</w:t>
      </w:r>
      <w:r>
        <w:rPr>
          <w:rFonts w:hint="default" w:ascii="Times New Roman" w:hAnsi="Times New Roman" w:eastAsia="仿宋_GB2312" w:cs="Times New Roman"/>
          <w:color w:val="auto"/>
          <w:sz w:val="32"/>
          <w:szCs w:val="32"/>
          <w:highlight w:val="none"/>
          <w:u w:val="none"/>
        </w:rPr>
        <w:t>；在非厌氧条件下连续稳定运行≥72h</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申请发明专利≥2件；发表</w:t>
      </w:r>
      <w:r>
        <w:rPr>
          <w:rFonts w:hint="default" w:ascii="Times New Roman" w:hAnsi="Times New Roman" w:eastAsia="仿宋_GB2312" w:cs="Times New Roman"/>
          <w:color w:val="auto"/>
          <w:sz w:val="32"/>
          <w:szCs w:val="32"/>
          <w:highlight w:val="none"/>
          <w:u w:val="none"/>
          <w:lang w:val="en-US" w:eastAsia="zh-CN"/>
        </w:rPr>
        <w:t>高水平</w:t>
      </w:r>
      <w:r>
        <w:rPr>
          <w:rFonts w:hint="default" w:ascii="Times New Roman" w:hAnsi="Times New Roman" w:eastAsia="仿宋_GB2312" w:cs="Times New Roman"/>
          <w:color w:val="auto"/>
          <w:sz w:val="32"/>
          <w:szCs w:val="32"/>
          <w:highlight w:val="none"/>
          <w:u w:val="none"/>
        </w:rPr>
        <w:t>论文≥2篇</w:t>
      </w:r>
      <w:r>
        <w:rPr>
          <w:rFonts w:hint="eastAsia"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编制研究报告</w:t>
      </w:r>
      <w:r>
        <w:rPr>
          <w:rFonts w:hint="default"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1份</w:t>
      </w:r>
      <w:r>
        <w:rPr>
          <w:rFonts w:hint="default" w:ascii="Times New Roman" w:hAnsi="Times New Roman" w:eastAsia="仿宋_GB2312" w:cs="Times New Roman"/>
          <w:color w:val="auto"/>
          <w:sz w:val="32"/>
          <w:szCs w:val="32"/>
          <w:highlight w:val="none"/>
          <w:u w:val="none"/>
        </w:rPr>
        <w:t>。</w:t>
      </w:r>
    </w:p>
    <w:p w14:paraId="1120FCFD">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课题5：氢氧制备装备高原适配性测试研究</w:t>
      </w:r>
    </w:p>
    <w:p w14:paraId="1BA81D2B">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eastAsia="仿宋_GB2312" w:cs="Times New Roman"/>
          <w:color w:val="auto"/>
          <w:sz w:val="32"/>
          <w:szCs w:val="32"/>
          <w:highlight w:val="none"/>
          <w:u w:val="none"/>
        </w:rPr>
        <w:t>开展水分解氢氧制备系统关键零部件高原多因素耦合环境模拟测试；研究水分解氢氧制备系统高原环境适应性测试方法；完成水分解氢氧制备系统高原环境适应性实证测试验证。</w:t>
      </w:r>
    </w:p>
    <w:p w14:paraId="47EE8F03">
      <w:pPr>
        <w:pStyle w:val="2"/>
        <w:adjustRightInd w:val="0"/>
        <w:snapToGrid w:val="0"/>
        <w:spacing w:line="576" w:lineRule="exact"/>
        <w:ind w:firstLine="643"/>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color w:val="auto"/>
          <w:sz w:val="32"/>
          <w:szCs w:val="32"/>
          <w:highlight w:val="none"/>
          <w:u w:val="none"/>
        </w:rPr>
        <w:t>建成海拔≥3000m氢氧制备装备高原适配性实证测试平台1套，支持制氢测试规模≥20 Nm</w:t>
      </w:r>
      <w:r>
        <w:rPr>
          <w:rFonts w:hint="default" w:ascii="Times New Roman" w:hAnsi="Times New Roman" w:eastAsia="仿宋_GB2312" w:cs="Times New Roman"/>
          <w:color w:val="auto"/>
          <w:sz w:val="32"/>
          <w:szCs w:val="32"/>
          <w:highlight w:val="none"/>
          <w:u w:val="none"/>
          <w:vertAlign w:val="superscript"/>
        </w:rPr>
        <w:t>3</w:t>
      </w:r>
      <w:r>
        <w:rPr>
          <w:rFonts w:hint="default" w:ascii="Times New Roman" w:hAnsi="Times New Roman" w:eastAsia="仿宋_GB2312" w:cs="Times New Roman"/>
          <w:color w:val="auto"/>
          <w:sz w:val="32"/>
          <w:szCs w:val="32"/>
          <w:highlight w:val="none"/>
          <w:u w:val="none"/>
        </w:rPr>
        <w:t>/h；建立适用于海拔≥3000m氢氧制备装备高原环境适应性测试方法1套；完成≥4类关键零部件或组件高原环境多因素耦合综合模拟试验测试</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制定地方标准≥2项</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申请发明专利≥3件；</w:t>
      </w:r>
      <w:r>
        <w:rPr>
          <w:rFonts w:hint="default" w:ascii="Times New Roman" w:hAnsi="Times New Roman" w:eastAsia="仿宋_GB2312" w:cs="Times New Roman"/>
          <w:color w:val="auto"/>
          <w:sz w:val="32"/>
          <w:szCs w:val="32"/>
          <w:highlight w:val="none"/>
          <w:u w:val="none"/>
          <w:lang w:val="en-US" w:eastAsia="zh-CN"/>
        </w:rPr>
        <w:t>发表高水平论文</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rPr>
        <w:t>篇</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其中西藏本地期刊论文≥1篇；</w:t>
      </w:r>
      <w:r>
        <w:rPr>
          <w:rFonts w:hint="default" w:ascii="Times New Roman" w:hAnsi="Times New Roman" w:eastAsia="仿宋_GB2312" w:cs="Times New Roman"/>
          <w:b w:val="0"/>
          <w:bCs/>
          <w:color w:val="auto"/>
          <w:sz w:val="32"/>
          <w:szCs w:val="32"/>
          <w:highlight w:val="none"/>
          <w:u w:val="none"/>
          <w:lang w:val="en-US" w:eastAsia="zh-CN"/>
        </w:rPr>
        <w:t>在西藏开展科普活动≥2场次，参与人数≥200人次；应用示范</w:t>
      </w:r>
      <w:r>
        <w:rPr>
          <w:rFonts w:hint="default" w:ascii="Times New Roman" w:hAnsi="Times New Roman" w:eastAsia="仿宋_GB2312" w:cs="Times New Roman"/>
          <w:color w:val="auto"/>
          <w:sz w:val="32"/>
          <w:szCs w:val="32"/>
          <w:highlight w:val="none"/>
          <w:u w:val="none"/>
          <w:lang w:val="en-US" w:eastAsia="zh-CN"/>
        </w:rPr>
        <w:t>≥1处；编制研究报告</w:t>
      </w:r>
      <w:r>
        <w:rPr>
          <w:rFonts w:hint="default"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1份。</w:t>
      </w:r>
    </w:p>
    <w:p w14:paraId="7BB29732">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关键词：</w:t>
      </w:r>
      <w:r>
        <w:rPr>
          <w:rFonts w:hint="default" w:ascii="Times New Roman" w:hAnsi="Times New Roman" w:eastAsia="仿宋_GB2312" w:cs="Times New Roman"/>
          <w:color w:val="auto"/>
          <w:sz w:val="32"/>
          <w:szCs w:val="32"/>
          <w:highlight w:val="none"/>
          <w:u w:val="none"/>
        </w:rPr>
        <w:t>光解水制氢、光催化材料、高原适应性、PEM制氢、生物制氢、暗发酵、高原环境适应性测试、实证平台</w:t>
      </w: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color w:val="auto"/>
          <w:sz w:val="32"/>
          <w:szCs w:val="32"/>
          <w:highlight w:val="none"/>
          <w:u w:val="none"/>
        </w:rPr>
        <w:t>示范验证</w:t>
      </w:r>
    </w:p>
    <w:p w14:paraId="2FFC81B0">
      <w:pPr>
        <w:pStyle w:val="2"/>
        <w:adjustRightInd w:val="0"/>
        <w:snapToGrid w:val="0"/>
        <w:spacing w:line="576" w:lineRule="exact"/>
        <w:ind w:firstLine="643"/>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kern w:val="2"/>
          <w:sz w:val="32"/>
          <w:szCs w:val="32"/>
          <w:highlight w:val="none"/>
          <w:u w:val="none"/>
          <w:lang w:val="en-US" w:eastAsia="zh-CN" w:bidi="ar"/>
        </w:rPr>
        <w:t>其他要求：</w:t>
      </w:r>
      <w:r>
        <w:rPr>
          <w:rFonts w:hint="default" w:ascii="Times New Roman" w:hAnsi="Times New Roman" w:eastAsia="仿宋_GB2312" w:cs="Times New Roman"/>
          <w:b w:val="0"/>
          <w:bCs w:val="0"/>
          <w:color w:val="auto"/>
          <w:kern w:val="2"/>
          <w:sz w:val="32"/>
          <w:szCs w:val="32"/>
          <w:highlight w:val="none"/>
          <w:u w:val="none"/>
          <w:lang w:val="en-US" w:eastAsia="zh-CN" w:bidi="ar"/>
        </w:rPr>
        <w:t>财政资金资助强度原则上不超过</w:t>
      </w:r>
      <w:r>
        <w:rPr>
          <w:rFonts w:hint="default" w:ascii="Times New Roman" w:hAnsi="Times New Roman" w:cs="Times New Roman"/>
          <w:b w:val="0"/>
          <w:bCs w:val="0"/>
          <w:color w:val="auto"/>
          <w:kern w:val="2"/>
          <w:sz w:val="32"/>
          <w:szCs w:val="32"/>
          <w:highlight w:val="none"/>
          <w:u w:val="none"/>
          <w:lang w:val="en-US" w:eastAsia="zh-CN" w:bidi="ar"/>
        </w:rPr>
        <w:t>3000</w:t>
      </w:r>
      <w:r>
        <w:rPr>
          <w:rFonts w:hint="default" w:ascii="Times New Roman" w:hAnsi="Times New Roman" w:eastAsia="仿宋_GB2312" w:cs="Times New Roman"/>
          <w:b w:val="0"/>
          <w:bCs w:val="0"/>
          <w:color w:val="auto"/>
          <w:kern w:val="2"/>
          <w:sz w:val="32"/>
          <w:szCs w:val="32"/>
          <w:highlight w:val="none"/>
          <w:u w:val="none"/>
          <w:lang w:val="en-US" w:eastAsia="zh-CN" w:bidi="ar"/>
        </w:rPr>
        <w:t>万元；申报单位自筹资金（其他渠道非财政资金）与财政资金比例原则上不低于</w:t>
      </w:r>
      <w:r>
        <w:rPr>
          <w:rFonts w:hint="default" w:ascii="Times New Roman" w:hAnsi="Times New Roman" w:cs="Times New Roman"/>
          <w:b w:val="0"/>
          <w:bCs w:val="0"/>
          <w:color w:val="auto"/>
          <w:kern w:val="2"/>
          <w:sz w:val="32"/>
          <w:szCs w:val="32"/>
          <w:highlight w:val="none"/>
          <w:u w:val="none"/>
          <w:lang w:val="en-US" w:eastAsia="zh-CN" w:bidi="ar"/>
        </w:rPr>
        <w:t>2</w:t>
      </w:r>
      <w:r>
        <w:rPr>
          <w:rFonts w:hint="default" w:ascii="Times New Roman" w:hAnsi="Times New Roman" w:eastAsia="仿宋_GB2312" w:cs="Times New Roman"/>
          <w:b w:val="0"/>
          <w:bCs w:val="0"/>
          <w:color w:val="auto"/>
          <w:kern w:val="2"/>
          <w:sz w:val="32"/>
          <w:szCs w:val="32"/>
          <w:highlight w:val="none"/>
          <w:u w:val="none"/>
          <w:lang w:val="en-US" w:eastAsia="zh-CN" w:bidi="ar"/>
        </w:rPr>
        <w:t>:1。</w:t>
      </w:r>
    </w:p>
    <w:p w14:paraId="4F557972">
      <w:pPr>
        <w:pStyle w:val="3"/>
        <w:bidi w:val="0"/>
        <w:rPr>
          <w:rFonts w:hint="default" w:ascii="Times New Roman" w:hAnsi="Times New Roman" w:cs="Times New Roman"/>
          <w:color w:val="auto"/>
          <w:sz w:val="32"/>
          <w:szCs w:val="32"/>
          <w:highlight w:val="none"/>
          <w:u w:val="none"/>
        </w:rPr>
      </w:pPr>
      <w:bookmarkStart w:id="2" w:name="_Toc4980"/>
      <w:r>
        <w:rPr>
          <w:rFonts w:hint="default" w:ascii="Times New Roman" w:hAnsi="Times New Roman" w:cs="Times New Roman"/>
          <w:color w:val="auto"/>
          <w:sz w:val="32"/>
          <w:szCs w:val="32"/>
          <w:highlight w:val="none"/>
          <w:u w:val="none"/>
        </w:rPr>
        <w:t>指南</w:t>
      </w:r>
      <w:r>
        <w:rPr>
          <w:rFonts w:hint="eastAsia" w:ascii="Times New Roman" w:hAnsi="Times New Roman" w:cs="Times New Roman"/>
          <w:color w:val="auto"/>
          <w:sz w:val="32"/>
          <w:szCs w:val="32"/>
          <w:highlight w:val="none"/>
          <w:u w:val="none"/>
          <w:lang w:val="en-US" w:eastAsia="zh-CN"/>
        </w:rPr>
        <w:t>2</w:t>
      </w:r>
      <w:r>
        <w:rPr>
          <w:rFonts w:hint="default" w:ascii="Times New Roman" w:hAnsi="Times New Roman" w:cs="Times New Roman"/>
          <w:color w:val="auto"/>
          <w:sz w:val="32"/>
          <w:szCs w:val="32"/>
          <w:highlight w:val="none"/>
          <w:u w:val="none"/>
        </w:rPr>
        <w:t>：西藏氢氧双能制储运用关键技术与多场景综合示范</w:t>
      </w:r>
      <w:bookmarkEnd w:id="2"/>
    </w:p>
    <w:p w14:paraId="39097AD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76" w:lineRule="exact"/>
        <w:ind w:left="0" w:leftChars="0" w:right="0" w:firstLine="643" w:firstLineChars="200"/>
        <w:jc w:val="both"/>
        <w:textAlignment w:val="auto"/>
        <w:rPr>
          <w:rFonts w:hint="default" w:ascii="Times New Roman" w:hAnsi="Times New Roman" w:eastAsia="仿宋_GB2312" w:cs="Times New Roman"/>
          <w:b/>
          <w:bCs/>
          <w:color w:val="auto"/>
          <w:kern w:val="0"/>
          <w:sz w:val="32"/>
          <w:szCs w:val="32"/>
          <w:highlight w:val="none"/>
          <w:u w:val="none"/>
          <w:lang w:val="en-US" w:eastAsia="zh-CN" w:bidi="ar"/>
        </w:rPr>
      </w:pPr>
      <w:r>
        <w:rPr>
          <w:rFonts w:hint="default" w:ascii="Times New Roman" w:hAnsi="Times New Roman" w:eastAsia="仿宋_GB2312" w:cs="Times New Roman"/>
          <w:b/>
          <w:bCs/>
          <w:color w:val="auto"/>
          <w:kern w:val="0"/>
          <w:sz w:val="32"/>
          <w:szCs w:val="32"/>
          <w:highlight w:val="none"/>
          <w:u w:val="none"/>
          <w:lang w:val="en-US" w:eastAsia="zh-CN" w:bidi="ar"/>
        </w:rPr>
        <w:t>指南编号：</w:t>
      </w:r>
      <w:r>
        <w:rPr>
          <w:rFonts w:hint="default" w:ascii="Times New Roman" w:hAnsi="Times New Roman" w:eastAsia="仿宋_GB2312" w:cs="Times New Roman"/>
          <w:b w:val="0"/>
          <w:bCs w:val="0"/>
          <w:color w:val="auto"/>
          <w:kern w:val="0"/>
          <w:sz w:val="32"/>
          <w:szCs w:val="32"/>
          <w:highlight w:val="none"/>
          <w:u w:val="none"/>
          <w:lang w:val="en-US" w:eastAsia="zh-CN" w:bidi="ar"/>
        </w:rPr>
        <w:t>1.11.1-2；</w:t>
      </w:r>
      <w:r>
        <w:rPr>
          <w:rFonts w:hint="default" w:ascii="Times New Roman" w:hAnsi="Times New Roman" w:eastAsia="仿宋_GB2312" w:cs="Times New Roman"/>
          <w:b/>
          <w:bCs/>
          <w:color w:val="auto"/>
          <w:kern w:val="0"/>
          <w:sz w:val="32"/>
          <w:szCs w:val="32"/>
          <w:highlight w:val="none"/>
          <w:u w:val="none"/>
          <w:lang w:val="en-US" w:eastAsia="zh-CN" w:bidi="ar"/>
        </w:rPr>
        <w:t>计划类别：</w:t>
      </w:r>
      <w:r>
        <w:rPr>
          <w:rFonts w:hint="default" w:ascii="Times New Roman" w:hAnsi="Times New Roman" w:eastAsia="仿宋_GB2312" w:cs="Times New Roman"/>
          <w:b w:val="0"/>
          <w:bCs w:val="0"/>
          <w:color w:val="auto"/>
          <w:kern w:val="0"/>
          <w:sz w:val="32"/>
          <w:szCs w:val="32"/>
          <w:highlight w:val="none"/>
          <w:u w:val="none"/>
          <w:lang w:val="en-US" w:eastAsia="zh-CN" w:bidi="ar"/>
        </w:rPr>
        <w:t>科技重大专项；</w:t>
      </w:r>
      <w:r>
        <w:rPr>
          <w:rFonts w:hint="default" w:ascii="Times New Roman" w:hAnsi="Times New Roman" w:eastAsia="仿宋_GB2312" w:cs="Times New Roman"/>
          <w:b/>
          <w:bCs/>
          <w:color w:val="auto"/>
          <w:kern w:val="0"/>
          <w:sz w:val="32"/>
          <w:szCs w:val="32"/>
          <w:highlight w:val="none"/>
          <w:u w:val="none"/>
          <w:lang w:val="en-US" w:eastAsia="zh-CN" w:bidi="ar"/>
        </w:rPr>
        <w:t>组织实施方式：</w:t>
      </w:r>
      <w:r>
        <w:rPr>
          <w:rFonts w:hint="default" w:ascii="Times New Roman" w:hAnsi="Times New Roman" w:eastAsia="仿宋_GB2312" w:cs="Times New Roman"/>
          <w:b w:val="0"/>
          <w:bCs w:val="0"/>
          <w:color w:val="auto"/>
          <w:kern w:val="0"/>
          <w:sz w:val="32"/>
          <w:szCs w:val="32"/>
          <w:highlight w:val="none"/>
          <w:u w:val="none"/>
          <w:lang w:val="en-US" w:eastAsia="zh-CN" w:bidi="ar"/>
        </w:rPr>
        <w:t>首席科学家负责制；</w:t>
      </w:r>
      <w:r>
        <w:rPr>
          <w:rFonts w:hint="default" w:ascii="Times New Roman" w:hAnsi="Times New Roman" w:eastAsia="仿宋_GB2312" w:cs="Times New Roman"/>
          <w:b/>
          <w:bCs/>
          <w:color w:val="auto"/>
          <w:kern w:val="0"/>
          <w:sz w:val="32"/>
          <w:szCs w:val="32"/>
          <w:highlight w:val="none"/>
          <w:u w:val="none"/>
          <w:lang w:val="en-US" w:eastAsia="zh-CN" w:bidi="ar"/>
        </w:rPr>
        <w:t>实施周期：</w:t>
      </w:r>
      <w:r>
        <w:rPr>
          <w:rFonts w:hint="default" w:ascii="Times New Roman" w:hAnsi="Times New Roman" w:cs="Times New Roman"/>
          <w:b w:val="0"/>
          <w:bCs w:val="0"/>
          <w:color w:val="auto"/>
          <w:kern w:val="0"/>
          <w:sz w:val="32"/>
          <w:szCs w:val="32"/>
          <w:highlight w:val="none"/>
          <w:u w:val="none"/>
          <w:lang w:val="en-US" w:eastAsia="zh-CN" w:bidi="ar"/>
        </w:rPr>
        <w:t>4</w:t>
      </w:r>
      <w:r>
        <w:rPr>
          <w:rFonts w:hint="default" w:ascii="Times New Roman" w:hAnsi="Times New Roman" w:eastAsia="仿宋_GB2312" w:cs="Times New Roman"/>
          <w:b w:val="0"/>
          <w:bCs w:val="0"/>
          <w:color w:val="auto"/>
          <w:kern w:val="0"/>
          <w:sz w:val="32"/>
          <w:szCs w:val="32"/>
          <w:highlight w:val="none"/>
          <w:u w:val="none"/>
          <w:lang w:val="en-US" w:eastAsia="zh-CN" w:bidi="ar"/>
        </w:rPr>
        <w:t>年。</w:t>
      </w:r>
    </w:p>
    <w:p w14:paraId="49C780DD">
      <w:pPr>
        <w:pStyle w:val="2"/>
        <w:adjustRightInd w:val="0"/>
        <w:snapToGrid w:val="0"/>
        <w:spacing w:line="576" w:lineRule="exact"/>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总体目标：</w:t>
      </w:r>
      <w:r>
        <w:rPr>
          <w:rFonts w:hint="default" w:ascii="Times New Roman" w:hAnsi="Times New Roman" w:eastAsia="仿宋_GB2312" w:cs="Times New Roman"/>
          <w:color w:val="auto"/>
          <w:sz w:val="32"/>
          <w:szCs w:val="32"/>
          <w:highlight w:val="none"/>
          <w:u w:val="none"/>
        </w:rPr>
        <w:t>立足西藏资源禀赋与高原特殊需求，提出</w:t>
      </w:r>
      <w:r>
        <w:rPr>
          <w:rFonts w:hint="eastAsia" w:ascii="仿宋_GB2312" w:hAnsi="仿宋_GB2312" w:cs="仿宋_GB2312"/>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以氧哺氢</w:t>
      </w:r>
      <w:r>
        <w:rPr>
          <w:rFonts w:hint="eastAsia" w:ascii="仿宋_GB2312" w:hAnsi="仿宋_GB2312" w:cs="仿宋_GB2312"/>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发展新思路</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挖掘本地富余绿电价值，规模化制取氢气与氧气，以副产氧气变现反哺制氢成本，加速氢能重卡替代燃油车辆，支撑分布式撬装化工保障重大工程原料供给，驱动多能协同供能实现偏远区域热电联供，发挥氢氧联产供氧优势服务民生保障，构建以氢氧联产为核心、多元场景就地消纳为支撑的高原清洁能源综合利用新模式，为西藏氢氧产业发展奠定坚实基础。</w:t>
      </w:r>
    </w:p>
    <w:p w14:paraId="241130CE">
      <w:pPr>
        <w:pStyle w:val="2"/>
        <w:adjustRightInd w:val="0"/>
        <w:snapToGrid w:val="0"/>
        <w:spacing w:line="576" w:lineRule="exact"/>
        <w:ind w:firstLine="640"/>
        <w:rPr>
          <w:rFonts w:hint="default" w:ascii="Times New Roman" w:hAnsi="Times New Roman" w:eastAsia="仿宋_GB2312" w:cs="Times New Roman"/>
          <w:b/>
          <w:bCs/>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课题1：西藏氢氧产业经济分析及产业发展研究</w:t>
      </w:r>
    </w:p>
    <w:p w14:paraId="75BE77BE">
      <w:pPr>
        <w:pStyle w:val="2"/>
        <w:spacing w:line="576" w:lineRule="exact"/>
        <w:ind w:firstLine="640"/>
        <w:rPr>
          <w:rFonts w:hint="default" w:ascii="Times New Roman" w:hAnsi="Times New Roman"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cs="Times New Roman"/>
          <w:color w:val="auto"/>
          <w:sz w:val="32"/>
          <w:szCs w:val="32"/>
          <w:highlight w:val="none"/>
          <w:u w:val="none"/>
        </w:rPr>
        <w:t>本课题作为总体研究与综合收口，贯穿项目全周期。前期基于西藏绿电资源、高原供氧及多场景用氢需求，构建</w:t>
      </w:r>
      <w:r>
        <w:rPr>
          <w:rFonts w:hint="eastAsia"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rPr>
        <w:t>以氧哺氢</w:t>
      </w:r>
      <w:r>
        <w:rPr>
          <w:rFonts w:hint="eastAsia"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rPr>
        <w:t>专属经济模型，厘清氧气收益补偿、氢氧成本分摊及典型场景经济性边界，为产业路径选择和示范项目筛选提供依据。实施过程中持续跟踪各类示范的实际运行表现，开展跨场景比较与协同分析。后期利用实证数据校准模型，综合评估氢能在交通动力、工程物资和能源供给等领域的应用价值，明确</w:t>
      </w:r>
      <w:r>
        <w:rPr>
          <w:rFonts w:hint="eastAsia"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rPr>
        <w:t>以氧哺氢、多场景消纳</w:t>
      </w:r>
      <w:r>
        <w:rPr>
          <w:rFonts w:hint="eastAsia"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rPr>
        <w:t>模式的技术边界、经济条件和推广前景，形成西藏氢氧产业布局与项目决策依据。</w:t>
      </w:r>
    </w:p>
    <w:p w14:paraId="41EA37CA">
      <w:pPr>
        <w:pStyle w:val="2"/>
        <w:adjustRightInd w:val="0"/>
        <w:snapToGrid w:val="0"/>
        <w:spacing w:line="576" w:lineRule="exact"/>
        <w:ind w:firstLine="640"/>
        <w:rPr>
          <w:rFonts w:ascii="Times New Roman" w:hAnsi="Times New Roman" w:cs="Times New Roman"/>
          <w:color w:val="000000" w:themeColor="text1"/>
          <w:szCs w:val="32"/>
          <w14:textFill>
            <w14:solidFill>
              <w14:schemeClr w14:val="tx1"/>
            </w14:solidFill>
          </w14:textFill>
        </w:rPr>
      </w:pPr>
      <w:r>
        <w:rPr>
          <w:rFonts w:hint="default" w:ascii="Times New Roman" w:hAnsi="Times New Roman" w:eastAsia="仿宋_GB2312" w:cs="Times New Roman"/>
          <w:b/>
          <w:bCs/>
          <w:color w:val="auto"/>
          <w:sz w:val="32"/>
          <w:szCs w:val="32"/>
          <w:highlight w:val="none"/>
          <w:u w:val="none"/>
        </w:rPr>
        <w:t>考核指标：</w:t>
      </w:r>
      <w:r>
        <w:rPr>
          <w:rFonts w:ascii="Times New Roman" w:hAnsi="Times New Roman" w:cs="Times New Roman"/>
          <w:color w:val="000000" w:themeColor="text1"/>
          <w:szCs w:val="32"/>
          <w14:textFill>
            <w14:solidFill>
              <w14:schemeClr w14:val="tx1"/>
            </w14:solidFill>
          </w14:textFill>
        </w:rPr>
        <w:t>综合集成各项研究与示范数据，形成对西藏氢氧产业发展的总体判断，明确</w:t>
      </w:r>
      <w:r>
        <w:rPr>
          <w:rFonts w:hint="eastAsia" w:ascii="Times New Roman" w:hAnsi="Times New Roman" w:cs="Times New Roman"/>
          <w:color w:val="000000" w:themeColor="text1"/>
          <w:szCs w:val="32"/>
          <w:lang w:eastAsia="zh-CN"/>
          <w14:textFill>
            <w14:solidFill>
              <w14:schemeClr w14:val="tx1"/>
            </w14:solidFill>
          </w14:textFill>
        </w:rPr>
        <w:t>“</w:t>
      </w:r>
      <w:r>
        <w:rPr>
          <w:rFonts w:ascii="Times New Roman" w:hAnsi="Times New Roman" w:cs="Times New Roman"/>
          <w:color w:val="000000" w:themeColor="text1"/>
          <w:szCs w:val="32"/>
          <w14:textFill>
            <w14:solidFill>
              <w14:schemeClr w14:val="tx1"/>
            </w14:solidFill>
          </w14:textFill>
        </w:rPr>
        <w:t>以氧哺氢、多场景消纳</w:t>
      </w:r>
      <w:r>
        <w:rPr>
          <w:rFonts w:hint="eastAsia" w:ascii="Times New Roman" w:hAnsi="Times New Roman" w:cs="Times New Roman"/>
          <w:color w:val="000000" w:themeColor="text1"/>
          <w:szCs w:val="32"/>
          <w:lang w:eastAsia="zh-CN"/>
          <w14:textFill>
            <w14:solidFill>
              <w14:schemeClr w14:val="tx1"/>
            </w14:solidFill>
          </w14:textFill>
        </w:rPr>
        <w:t>”</w:t>
      </w:r>
      <w:r>
        <w:rPr>
          <w:rFonts w:ascii="Times New Roman" w:hAnsi="Times New Roman" w:cs="Times New Roman"/>
          <w:color w:val="000000" w:themeColor="text1"/>
          <w:szCs w:val="32"/>
          <w14:textFill>
            <w14:solidFill>
              <w14:schemeClr w14:val="tx1"/>
            </w14:solidFill>
          </w14:textFill>
        </w:rPr>
        <w:t>模式的经济条件、产业路径与政策建议；围绕绿电氢储一体化、高原用氢及供氧需求、配套设施、典型场景及政策环境等方向，提交调研分析报告</w:t>
      </w:r>
      <w:r>
        <w:rPr>
          <w:rFonts w:hint="default" w:ascii="Times New Roman" w:hAnsi="Times New Roman" w:eastAsia="仿宋_GB2312" w:cs="Times New Roman"/>
          <w:color w:val="auto"/>
          <w:sz w:val="32"/>
          <w:szCs w:val="32"/>
          <w:highlight w:val="none"/>
          <w:u w:val="none"/>
          <w:lang w:val="en-US" w:eastAsia="zh-CN"/>
        </w:rPr>
        <w:t>≥</w:t>
      </w:r>
      <w:r>
        <w:rPr>
          <w:rFonts w:ascii="Times New Roman" w:hAnsi="Times New Roman" w:cs="Times New Roman"/>
          <w:color w:val="000000" w:themeColor="text1"/>
          <w:szCs w:val="32"/>
          <w14:textFill>
            <w14:solidFill>
              <w14:schemeClr w14:val="tx1"/>
            </w14:solidFill>
          </w14:textFill>
        </w:rPr>
        <w:t>2份</w:t>
      </w:r>
      <w:r>
        <w:rPr>
          <w:rFonts w:hint="eastAsia" w:cs="Times New Roman"/>
          <w:color w:val="000000" w:themeColor="text1"/>
          <w:szCs w:val="32"/>
          <w:lang w:eastAsia="zh-CN"/>
          <w14:textFill>
            <w14:solidFill>
              <w14:schemeClr w14:val="tx1"/>
            </w14:solidFill>
          </w14:textFill>
        </w:rPr>
        <w:t>。</w:t>
      </w:r>
      <w:r>
        <w:rPr>
          <w:rFonts w:ascii="Times New Roman" w:hAnsi="Times New Roman" w:cs="Times New Roman"/>
          <w:color w:val="000000" w:themeColor="text1"/>
          <w:szCs w:val="32"/>
          <w14:textFill>
            <w14:solidFill>
              <w14:schemeClr w14:val="tx1"/>
            </w14:solidFill>
          </w14:textFill>
        </w:rPr>
        <w:t>发表高水平学术论文</w:t>
      </w:r>
      <w:r>
        <w:rPr>
          <w:rFonts w:hint="default" w:ascii="Times New Roman" w:hAnsi="Times New Roman" w:eastAsia="仿宋_GB2312" w:cs="Times New Roman"/>
          <w:color w:val="auto"/>
          <w:sz w:val="32"/>
          <w:szCs w:val="32"/>
          <w:highlight w:val="none"/>
          <w:u w:val="none"/>
          <w:lang w:val="en-US" w:eastAsia="zh-CN"/>
        </w:rPr>
        <w:t>≥</w:t>
      </w:r>
      <w:r>
        <w:rPr>
          <w:rFonts w:ascii="Times New Roman" w:hAnsi="Times New Roman" w:cs="Times New Roman"/>
          <w:color w:val="000000" w:themeColor="text1"/>
          <w:szCs w:val="32"/>
          <w14:textFill>
            <w14:solidFill>
              <w14:schemeClr w14:val="tx1"/>
            </w14:solidFill>
          </w14:textFill>
        </w:rPr>
        <w:t>3篇</w:t>
      </w:r>
      <w:r>
        <w:rPr>
          <w:rFonts w:hint="eastAsia" w:cs="Times New Roman"/>
          <w:color w:val="000000" w:themeColor="text1"/>
          <w:szCs w:val="32"/>
          <w:lang w:eastAsia="zh-CN"/>
          <w14:textFill>
            <w14:solidFill>
              <w14:schemeClr w14:val="tx1"/>
            </w14:solidFill>
          </w14:textFill>
        </w:rPr>
        <w:t>；</w:t>
      </w:r>
      <w:r>
        <w:rPr>
          <w:rFonts w:ascii="Times New Roman" w:hAnsi="Times New Roman" w:cs="Times New Roman"/>
          <w:color w:val="000000" w:themeColor="text1"/>
          <w:szCs w:val="32"/>
          <w14:textFill>
            <w14:solidFill>
              <w14:schemeClr w14:val="tx1"/>
            </w14:solidFill>
          </w14:textFill>
        </w:rPr>
        <w:t>针对副产氧价值实现、不同场景下的储运与供给方案、基础设施前瞻布局、典型场景经济性、商业模式及项目开发机制等关键问题，提交专项研究报告</w:t>
      </w:r>
      <w:r>
        <w:rPr>
          <w:rFonts w:hint="default" w:ascii="Times New Roman" w:hAnsi="Times New Roman" w:eastAsia="仿宋_GB2312" w:cs="Times New Roman"/>
          <w:color w:val="auto"/>
          <w:sz w:val="32"/>
          <w:szCs w:val="32"/>
          <w:highlight w:val="none"/>
          <w:u w:val="none"/>
          <w:lang w:val="en-US" w:eastAsia="zh-CN"/>
        </w:rPr>
        <w:t>≥</w:t>
      </w:r>
      <w:r>
        <w:rPr>
          <w:rFonts w:ascii="Times New Roman" w:hAnsi="Times New Roman" w:cs="Times New Roman"/>
          <w:color w:val="000000" w:themeColor="text1"/>
          <w:szCs w:val="32"/>
          <w14:textFill>
            <w14:solidFill>
              <w14:schemeClr w14:val="tx1"/>
            </w14:solidFill>
          </w14:textFill>
        </w:rPr>
        <w:t>5项。</w:t>
      </w:r>
    </w:p>
    <w:p w14:paraId="0265EF9B">
      <w:pPr>
        <w:pStyle w:val="2"/>
        <w:adjustRightInd w:val="0"/>
        <w:snapToGrid w:val="0"/>
        <w:spacing w:line="576" w:lineRule="exact"/>
        <w:ind w:firstLine="640"/>
        <w:rPr>
          <w:rFonts w:hint="default" w:ascii="Times New Roman" w:hAnsi="Times New Roman" w:eastAsia="仿宋_GB2312" w:cs="Times New Roman"/>
          <w:b/>
          <w:bCs/>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课题2：风光耦合氢氧全链一体化高原实证示范</w:t>
      </w:r>
    </w:p>
    <w:p w14:paraId="32419790">
      <w:pPr>
        <w:pStyle w:val="2"/>
        <w:adjustRightInd w:val="0"/>
        <w:snapToGrid w:val="0"/>
        <w:spacing w:line="576" w:lineRule="exact"/>
        <w:ind w:firstLine="640"/>
        <w:rPr>
          <w:rFonts w:hint="default" w:ascii="Times New Roman" w:hAnsi="Times New Roman"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cs="Times New Roman"/>
          <w:color w:val="auto"/>
          <w:sz w:val="32"/>
          <w:szCs w:val="32"/>
          <w:highlight w:val="none"/>
          <w:u w:val="none"/>
        </w:rPr>
        <w:t>作为氢氧供给与制储运技术底座，面向西藏高海拔高寒、风光波动大、供氧需求突出和产业链薄弱等条件，聚焦高原电解槽关键材料、高压储氢与柔性输氢监测、副产氧质量控制、风光氢氧一体化装备四个方向，研究装备适配、安全储运、质量管控和系统集成关键技术，建立不同场景下氢氧制取、储运与终端应用的技术经济匹配机制，形成高原氢氧制储运供一体化成套方案与实证平台，以及场景适配的工程方案和运营规范，实现与交通动力、工程物资及能源供给等应用端的稳定衔接。</w:t>
      </w:r>
    </w:p>
    <w:p w14:paraId="17AA5B34">
      <w:pPr>
        <w:pStyle w:val="2"/>
        <w:keepNext w:val="0"/>
        <w:keepLines w:val="0"/>
        <w:pageBreakBefore w:val="0"/>
        <w:widowControl w:val="0"/>
        <w:kinsoku/>
        <w:wordWrap/>
        <w:overflowPunct/>
        <w:topLinePunct w:val="0"/>
        <w:autoSpaceDE/>
        <w:autoSpaceDN/>
        <w:bidi w:val="0"/>
        <w:adjustRightInd w:val="0"/>
        <w:snapToGrid w:val="0"/>
        <w:spacing w:line="576" w:lineRule="exact"/>
        <w:ind w:firstLine="64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b w:val="0"/>
          <w:bCs w:val="0"/>
          <w:color w:val="auto"/>
          <w:sz w:val="32"/>
          <w:szCs w:val="32"/>
          <w:highlight w:val="none"/>
          <w:u w:val="none"/>
        </w:rPr>
        <w:t>密封材料：拉伸强度＞13MPa（25℃，拉伸速率500mm/min）</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永久压缩形变：＜20%（100℃24h）隔膜：厚度≤220μm，拉伸强度≥20MPa，起泡点≥2.5MPa，面电阻≤100 mΩ·cm2（80℃）</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同等级柔性输氢复合管：无氢脆、无氢致开裂风险，内衬氢气渗透性能&lt;5×10-16cm3∙cm/(cm2∙s∙Pa)</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管道静压强度&gt;3NPR</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管道爆破压力&gt;4.5NPR光纤在线监测系统：分辨率为50ppm</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检测范围：200ppm⁓40000ppm</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rPr>
        <w:t>氢</w:t>
      </w:r>
      <w:r>
        <w:rPr>
          <w:rFonts w:hint="default" w:cs="Times New Roman"/>
          <w:b w:val="0"/>
          <w:bCs w:val="0"/>
          <w:color w:val="auto"/>
          <w:sz w:val="32"/>
          <w:szCs w:val="32"/>
          <w:highlight w:val="none"/>
          <w:u w:val="none"/>
          <w:lang w:eastAsia="zh-CN"/>
        </w:rPr>
        <w:t>泄漏</w:t>
      </w:r>
      <w:r>
        <w:rPr>
          <w:rFonts w:hint="default" w:ascii="Times New Roman" w:hAnsi="Times New Roman" w:eastAsia="仿宋_GB2312" w:cs="Times New Roman"/>
          <w:b w:val="0"/>
          <w:bCs w:val="0"/>
          <w:color w:val="auto"/>
          <w:sz w:val="32"/>
          <w:szCs w:val="32"/>
          <w:highlight w:val="none"/>
          <w:u w:val="none"/>
        </w:rPr>
        <w:t>响应时间&lt;60s</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总制氢装机功率：≥10MW（单模块），支持模块化级联扩容</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配套储能规模：≥2MWh</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高压气态储氢规模：≥1吨。高原专用柔性输氢示范管道长度≥100米</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开发一套高原环境下氢氧一体化供应装备实证平台，具备5MW级别电解槽全工况综合测试能力，实现三类主流电解槽全覆盖测试诊断与性能标定</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构建一套电解水制氢等效负荷模型，模型精度≥95%；提出计及经济性、调节能力的电氢转换系统多机优化配置</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eastAsia="zh-CN"/>
        </w:rPr>
        <w:t>制定</w:t>
      </w:r>
      <w:r>
        <w:rPr>
          <w:rFonts w:hint="default" w:ascii="Times New Roman" w:hAnsi="Times New Roman" w:eastAsia="仿宋_GB2312" w:cs="Times New Roman"/>
          <w:color w:val="auto"/>
          <w:sz w:val="32"/>
          <w:szCs w:val="32"/>
          <w:highlight w:val="none"/>
          <w:u w:val="none"/>
          <w:lang w:val="en-US" w:eastAsia="zh-CN"/>
        </w:rPr>
        <w:t>行业标准</w:t>
      </w:r>
      <w:r>
        <w:rPr>
          <w:rFonts w:hint="default" w:ascii="Times New Roman" w:hAnsi="Times New Roman"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eastAsia="zh-CN"/>
        </w:rPr>
        <w:t>地方标准</w:t>
      </w:r>
      <w:r>
        <w:rPr>
          <w:rFonts w:hint="default" w:ascii="Times New Roman" w:hAnsi="Times New Roman"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lang w:eastAsia="zh-CN"/>
        </w:rPr>
        <w:t>项；</w:t>
      </w:r>
      <w:r>
        <w:rPr>
          <w:rFonts w:hint="default" w:ascii="Times New Roman" w:hAnsi="Times New Roman" w:eastAsia="仿宋_GB2312" w:cs="Times New Roman"/>
          <w:color w:val="auto"/>
          <w:sz w:val="32"/>
          <w:szCs w:val="32"/>
          <w:highlight w:val="none"/>
          <w:u w:val="none"/>
          <w:lang w:val="en-US" w:eastAsia="zh-CN"/>
        </w:rPr>
        <w:t>申请发明专利≥13项，登记软件著作权≥1项</w:t>
      </w:r>
      <w:r>
        <w:rPr>
          <w:rFonts w:hint="default" w:ascii="Times New Roman" w:hAnsi="Times New Roman" w:eastAsia="仿宋_GB2312" w:cs="Times New Roman"/>
          <w:color w:val="auto"/>
          <w:sz w:val="32"/>
          <w:szCs w:val="32"/>
          <w:highlight w:val="none"/>
          <w:u w:val="none"/>
          <w:lang w:eastAsia="zh-CN"/>
        </w:rPr>
        <w:t>；发表</w:t>
      </w:r>
      <w:r>
        <w:rPr>
          <w:rFonts w:hint="default" w:ascii="Times New Roman" w:hAnsi="Times New Roman" w:eastAsia="仿宋_GB2312" w:cs="Times New Roman"/>
          <w:color w:val="auto"/>
          <w:sz w:val="32"/>
          <w:szCs w:val="32"/>
          <w:highlight w:val="none"/>
          <w:u w:val="none"/>
          <w:lang w:val="en-US" w:eastAsia="zh-CN"/>
        </w:rPr>
        <w:t>高水平</w:t>
      </w:r>
      <w:r>
        <w:rPr>
          <w:rFonts w:hint="default" w:ascii="Times New Roman" w:hAnsi="Times New Roman" w:eastAsia="仿宋_GB2312" w:cs="Times New Roman"/>
          <w:color w:val="auto"/>
          <w:sz w:val="32"/>
          <w:szCs w:val="32"/>
          <w:highlight w:val="none"/>
          <w:u w:val="none"/>
          <w:lang w:eastAsia="zh-CN"/>
        </w:rPr>
        <w:t>论文≥</w:t>
      </w:r>
      <w:r>
        <w:rPr>
          <w:rFonts w:hint="default" w:ascii="Times New Roman" w:hAnsi="Times New Roman" w:eastAsia="仿宋_GB2312" w:cs="Times New Roman"/>
          <w:color w:val="auto"/>
          <w:sz w:val="32"/>
          <w:szCs w:val="32"/>
          <w:highlight w:val="none"/>
          <w:u w:val="none"/>
          <w:lang w:val="en-US" w:eastAsia="zh-CN"/>
        </w:rPr>
        <w:t>8</w:t>
      </w:r>
      <w:r>
        <w:rPr>
          <w:rFonts w:hint="default" w:ascii="Times New Roman" w:hAnsi="Times New Roman" w:eastAsia="仿宋_GB2312" w:cs="Times New Roman"/>
          <w:color w:val="auto"/>
          <w:sz w:val="32"/>
          <w:szCs w:val="32"/>
          <w:highlight w:val="none"/>
          <w:u w:val="none"/>
          <w:lang w:eastAsia="zh-CN"/>
        </w:rPr>
        <w:t>篇</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b w:val="0"/>
          <w:bCs/>
          <w:color w:val="auto"/>
          <w:sz w:val="32"/>
          <w:szCs w:val="32"/>
          <w:highlight w:val="none"/>
          <w:u w:val="none"/>
          <w:lang w:val="en-US" w:eastAsia="zh-CN"/>
        </w:rPr>
        <w:t>培养西藏高校</w:t>
      </w:r>
      <w:r>
        <w:rPr>
          <w:rFonts w:hint="eastAsia" w:cs="Times New Roman"/>
          <w:b w:val="0"/>
          <w:bCs/>
          <w:color w:val="auto"/>
          <w:sz w:val="32"/>
          <w:szCs w:val="32"/>
          <w:highlight w:val="none"/>
          <w:u w:val="none"/>
          <w:lang w:val="en-US" w:eastAsia="zh-CN"/>
        </w:rPr>
        <w:t>研究生</w:t>
      </w:r>
      <w:r>
        <w:rPr>
          <w:rFonts w:hint="default" w:ascii="Times New Roman" w:hAnsi="Times New Roman" w:eastAsia="仿宋_GB2312" w:cs="Times New Roman"/>
          <w:b w:val="0"/>
          <w:bCs/>
          <w:color w:val="auto"/>
          <w:sz w:val="32"/>
          <w:szCs w:val="32"/>
          <w:highlight w:val="none"/>
          <w:u w:val="none"/>
          <w:lang w:val="en-US" w:eastAsia="zh-CN"/>
        </w:rPr>
        <w:t>≥3人，培养技术人员≥3人；编制研究报告≥5项。</w:t>
      </w:r>
    </w:p>
    <w:p w14:paraId="65B47754">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课题3：双路线氢动力高原适配验证与重卡示范</w:t>
      </w:r>
    </w:p>
    <w:p w14:paraId="553AE600">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cs="Times New Roman"/>
          <w:color w:val="auto"/>
          <w:sz w:val="32"/>
          <w:szCs w:val="32"/>
          <w:highlight w:val="none"/>
          <w:u w:val="none"/>
        </w:rPr>
        <w:t>作为交通动力应用课题，面向西藏高海拔低氧、极寒低温和重载运输场景，依托具备产业化基础的燃料电池与氢内燃机动力平台，重点开展氢内燃机高原适配研究，解决低气压下进气不足、功率衰减、增压匹配、燃烧稳定性、低温启动及跨海拔参数自适应等问题，形成高原氢内燃机动力系统优化方案与整车适配方法。同步开展燃料电池动力平台高原性能测试与适配验证，组织两类氢能重卡跨域示范运行，对比分析动力性能、可靠性、环境适应性和经济性，明确两类技术路线的适用条件与应用场景，形成高原氢交通技术路线适用性评价与推广依据。</w:t>
      </w:r>
    </w:p>
    <w:p w14:paraId="543B2786">
      <w:pPr>
        <w:pStyle w:val="2"/>
        <w:keepNext w:val="0"/>
        <w:keepLines w:val="0"/>
        <w:pageBreakBefore w:val="0"/>
        <w:widowControl w:val="0"/>
        <w:kinsoku/>
        <w:wordWrap/>
        <w:overflowPunct/>
        <w:topLinePunct w:val="0"/>
        <w:autoSpaceDE/>
        <w:autoSpaceDN/>
        <w:bidi w:val="0"/>
        <w:adjustRightInd w:val="0"/>
        <w:snapToGrid w:val="0"/>
        <w:spacing w:line="576" w:lineRule="exact"/>
        <w:ind w:firstLine="64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cs="Times New Roman"/>
          <w:color w:val="auto"/>
          <w:sz w:val="32"/>
          <w:szCs w:val="32"/>
          <w:highlight w:val="none"/>
          <w:u w:val="none"/>
        </w:rPr>
        <w:t>完成燃料电池与氢内燃机动力平台高原适配优化及验证，形成动力系统优化方案和整车适配方法各1套。</w:t>
      </w:r>
      <w:r>
        <w:rPr>
          <w:rFonts w:ascii="Times New Roman" w:hAnsi="Times New Roman"/>
          <w:color w:val="000000" w:themeColor="text1"/>
          <w:szCs w:val="32"/>
          <w14:textFill>
            <w14:solidFill>
              <w14:schemeClr w14:val="tx1"/>
            </w14:solidFill>
          </w14:textFill>
        </w:rPr>
        <w:t>燃料电池系统功率≥300 kW、效率≥46%、动态响应≥20 kW/s，具备-40 ℃冷启动能力，</w:t>
      </w:r>
      <w:r>
        <w:rPr>
          <w:rFonts w:hint="default" w:ascii="Times New Roman" w:hAnsi="Times New Roman" w:eastAsia="仿宋_GB2312" w:cs="Times New Roman"/>
          <w:color w:val="auto"/>
          <w:sz w:val="32"/>
          <w:szCs w:val="32"/>
          <w:highlight w:val="none"/>
          <w:u w:val="none"/>
        </w:rPr>
        <w:t>3000m/4000m海拔功率下降≤20%/≤30%；</w:t>
      </w:r>
      <w:r>
        <w:rPr>
          <w:rFonts w:ascii="Times New Roman" w:hAnsi="Times New Roman"/>
          <w:color w:val="000000" w:themeColor="text1"/>
          <w:szCs w:val="32"/>
          <w14:textFill>
            <w14:solidFill>
              <w14:schemeClr w14:val="tx1"/>
            </w14:solidFill>
          </w14:textFill>
        </w:rPr>
        <w:t>氢内燃机功率≥412 kW、扭矩≥2600 N·m、热效率≥45%，具备-30 ℃冷启动能力；</w:t>
      </w:r>
      <w:r>
        <w:rPr>
          <w:rFonts w:hint="default" w:ascii="Times New Roman" w:hAnsi="Times New Roman" w:eastAsia="仿宋_GB2312" w:cs="Times New Roman"/>
          <w:color w:val="auto"/>
          <w:sz w:val="32"/>
          <w:szCs w:val="32"/>
          <w:highlight w:val="none"/>
          <w:u w:val="none"/>
        </w:rPr>
        <w:t>投入燃料电池、氢内燃机重卡各1辆</w:t>
      </w:r>
      <w:r>
        <w:rPr>
          <w:rFonts w:hint="default" w:ascii="Times New Roman" w:hAnsi="Times New Roman"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在西藏高海拔地区开展跨域运输示范</w:t>
      </w:r>
      <w:r>
        <w:rPr>
          <w:rFonts w:hint="eastAsia" w:ascii="Times New Roman" w:hAnsi="Times New Roman" w:cs="Times New Roman"/>
          <w:color w:val="auto"/>
          <w:sz w:val="32"/>
          <w:szCs w:val="32"/>
          <w:highlight w:val="none"/>
          <w:u w:val="none"/>
          <w:lang w:val="en-US" w:eastAsia="zh-CN"/>
        </w:rPr>
        <w:t>周期</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个月</w:t>
      </w:r>
      <w:r>
        <w:rPr>
          <w:rFonts w:hint="eastAsia" w:ascii="Times New Roman" w:hAnsi="Times New Roman" w:cs="Times New Roman"/>
          <w:color w:val="auto"/>
          <w:sz w:val="32"/>
          <w:szCs w:val="32"/>
          <w:highlight w:val="none"/>
          <w:u w:val="none"/>
          <w:lang w:eastAsia="zh-CN"/>
        </w:rPr>
        <w:t>，</w:t>
      </w:r>
      <w:r>
        <w:rPr>
          <w:rFonts w:ascii="仿宋_GB2312" w:hAnsi="仿宋_GB2312"/>
          <w:color w:val="000000" w:themeColor="text1"/>
          <w:szCs w:val="32"/>
          <w14:textFill>
            <w14:solidFill>
              <w14:schemeClr w14:val="tx1"/>
            </w14:solidFill>
          </w14:textFill>
        </w:rPr>
        <w:t>建成加氢设施</w:t>
      </w:r>
      <w:r>
        <w:rPr>
          <w:rFonts w:hint="default" w:ascii="Times New Roman" w:hAnsi="Times New Roman" w:eastAsia="仿宋_GB2312" w:cs="Times New Roman"/>
          <w:color w:val="auto"/>
          <w:sz w:val="32"/>
          <w:szCs w:val="32"/>
          <w:highlight w:val="none"/>
          <w:u w:val="none"/>
        </w:rPr>
        <w:t>≥</w:t>
      </w:r>
      <w:r>
        <w:rPr>
          <w:rFonts w:ascii="仿宋_GB2312" w:hAnsi="仿宋_GB2312"/>
          <w:color w:val="000000" w:themeColor="text1"/>
          <w:szCs w:val="32"/>
          <w14:textFill>
            <w14:solidFill>
              <w14:schemeClr w14:val="tx1"/>
            </w14:solidFill>
          </w14:textFill>
        </w:rPr>
        <w:t>1座</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申请发明专利</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6篇；发表高水平论文4篇；培养工程师及以上职称专业技术人员≥10名；编制研究报告≥3份。</w:t>
      </w:r>
    </w:p>
    <w:p w14:paraId="5256010F">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课题4：分布式硝酸铵智能制备与撬装装备研发</w:t>
      </w:r>
    </w:p>
    <w:p w14:paraId="0C047B95">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cs="Times New Roman"/>
          <w:color w:val="auto"/>
          <w:sz w:val="32"/>
          <w:szCs w:val="32"/>
          <w:highlight w:val="none"/>
          <w:u w:val="none"/>
        </w:rPr>
        <w:t>作为工程特种物资应用课题，依托绿电制氢及副产氧供给条件，针对传统空气氨氧化尾气治理难、纯氧路线成本高等瓶颈，研发富氧氨氧化封闭循环制硝酸工艺，重点突破NH₃—O₂—N₂体系安全边界、低NOx排放控制、余热与反应热梯级利用、高海拔两硝安全智能管控及核心设备紧凑撬装集成等技术，形成低消耗、低排放、本质安全的绿氢制硝酸硝铵撬装化成套装备技术方案，支撑重大工程硝酸铵就近制备与机动撤收。</w:t>
      </w:r>
    </w:p>
    <w:p w14:paraId="2E1B0D06">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color w:val="auto"/>
          <w:sz w:val="32"/>
          <w:szCs w:val="32"/>
          <w:highlight w:val="none"/>
          <w:u w:val="none"/>
        </w:rPr>
        <w:t>形成全流程模块化工艺包1套；硝铵产能2.5 t/h（液体硝酸铵，按100%硝铵计），每吨硝酸液氨消耗≤280kg，尾气≤80Nm³/h、NOx≤50mg/Nm³</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申请发明</w:t>
      </w:r>
      <w:r>
        <w:rPr>
          <w:rFonts w:hint="default" w:ascii="Times New Roman" w:hAnsi="Times New Roman" w:eastAsia="仿宋_GB2312" w:cs="Times New Roman"/>
          <w:color w:val="auto"/>
          <w:sz w:val="32"/>
          <w:szCs w:val="32"/>
          <w:highlight w:val="none"/>
          <w:u w:val="none"/>
        </w:rPr>
        <w:t>专利</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4项</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发表高水平</w:t>
      </w:r>
      <w:r>
        <w:rPr>
          <w:rFonts w:hint="default" w:ascii="Times New Roman" w:hAnsi="Times New Roman" w:eastAsia="仿宋_GB2312" w:cs="Times New Roman"/>
          <w:color w:val="auto"/>
          <w:sz w:val="32"/>
          <w:szCs w:val="32"/>
          <w:highlight w:val="none"/>
          <w:u w:val="none"/>
        </w:rPr>
        <w:t>论文</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3篇</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编制研究</w:t>
      </w:r>
      <w:r>
        <w:rPr>
          <w:rFonts w:hint="default" w:ascii="Times New Roman" w:hAnsi="Times New Roman" w:eastAsia="仿宋_GB2312" w:cs="Times New Roman"/>
          <w:color w:val="auto"/>
          <w:sz w:val="32"/>
          <w:szCs w:val="32"/>
          <w:highlight w:val="none"/>
          <w:u w:val="none"/>
        </w:rPr>
        <w:t>报告</w:t>
      </w:r>
      <w:r>
        <w:rPr>
          <w:rFonts w:hint="default" w:ascii="Times New Roman" w:hAnsi="Times New Roman" w:eastAsia="仿宋_GB2312" w:cs="Times New Roman"/>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rPr>
        <w:t>份。</w:t>
      </w:r>
    </w:p>
    <w:p w14:paraId="1F19A917">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课题5：高原异构动力源协同供能与热电联供示范</w:t>
      </w:r>
    </w:p>
    <w:p w14:paraId="577927C2">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研究内容：</w:t>
      </w:r>
      <w:r>
        <w:rPr>
          <w:rFonts w:hint="default" w:ascii="Times New Roman" w:hAnsi="Times New Roman" w:eastAsia="仿宋_GB2312" w:cs="Times New Roman"/>
          <w:color w:val="auto"/>
          <w:sz w:val="32"/>
          <w:szCs w:val="32"/>
          <w:highlight w:val="none"/>
          <w:u w:val="none"/>
        </w:rPr>
        <w:t>面向西藏高海拔低气压、弱网离网供能、风光余电消纳和降低柴油依赖需求，研发高原型氢爆震燃机，构建燃料电池—氢爆震燃机—电储能异构协同架构，突破低压氢燃烧与爆震波系稳定控制、进气与空燃比闭环调控、富氢尾气梯级利用、多时间尺度能量调度、安全容错和模块化撬装集成等技术，形成高原异构动力源热电联供系统，开展风光余电制氢储氢—氢基回发调峰及弱网离网热电联供示范。</w:t>
      </w:r>
    </w:p>
    <w:p w14:paraId="59A31A3A">
      <w:pPr>
        <w:pStyle w:val="2"/>
        <w:adjustRightInd w:val="0"/>
        <w:snapToGrid w:val="0"/>
        <w:spacing w:line="576" w:lineRule="exact"/>
        <w:ind w:firstLine="64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考核指标：</w:t>
      </w:r>
      <w:r>
        <w:rPr>
          <w:rFonts w:hint="default" w:ascii="Times New Roman" w:hAnsi="Times New Roman" w:eastAsia="仿宋_GB2312" w:cs="Times New Roman"/>
          <w:color w:val="auto"/>
          <w:sz w:val="32"/>
          <w:szCs w:val="32"/>
          <w:highlight w:val="none"/>
          <w:u w:val="none"/>
        </w:rPr>
        <w:t>研制高原型氢爆震燃机样机1台（15℃、4000m功率≥200kW，氢掺混0—100%，燃烧效率&gt;99.5%，余热&gt;850kW，综合能效&gt;80%，NOx≤15ppm</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CO≤35 ppm）转速＞30000 rpm</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涡轮前温＞900 ℃；开发异构协同供能控制系统1套（可用率≥95%，故障诊断覆盖率≥95%</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0</w:t>
      </w:r>
      <w:r>
        <w:rPr>
          <w:rFonts w:hint="default" w:ascii="Times New Roman" w:hAnsi="Times New Roman"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5000m自适应，支持故障穿越和黑启动）；本体综合发电效率≥15%，热电联供综合能效≥80%</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形成系统解决方案1套</w:t>
      </w:r>
      <w:r>
        <w:rPr>
          <w:rFonts w:hint="eastAsia"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申请发明</w:t>
      </w:r>
      <w:r>
        <w:rPr>
          <w:rFonts w:hint="default" w:ascii="Times New Roman" w:hAnsi="Times New Roman" w:eastAsia="仿宋_GB2312" w:cs="Times New Roman"/>
          <w:color w:val="auto"/>
          <w:sz w:val="32"/>
          <w:szCs w:val="32"/>
          <w:highlight w:val="none"/>
          <w:u w:val="none"/>
        </w:rPr>
        <w:t>专利≥7项</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登记软件著作权</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rPr>
        <w:t>项</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发表高水平论文</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6篇，</w:t>
      </w:r>
      <w:r>
        <w:rPr>
          <w:rFonts w:hint="default" w:ascii="Times New Roman" w:hAnsi="Times New Roman" w:eastAsia="仿宋_GB2312" w:cs="Times New Roman"/>
          <w:b w:val="0"/>
          <w:bCs/>
          <w:color w:val="auto"/>
          <w:sz w:val="32"/>
          <w:szCs w:val="32"/>
          <w:highlight w:val="none"/>
          <w:u w:val="none"/>
          <w:lang w:val="en-US" w:eastAsia="zh-CN"/>
        </w:rPr>
        <w:t>其中西藏本地期刊论文≥1篇；在西藏开展科普活动≥2场次，参与人数≥200人次；</w:t>
      </w:r>
      <w:r>
        <w:rPr>
          <w:rFonts w:hint="default" w:ascii="Times New Roman" w:hAnsi="Times New Roman" w:cs="Times New Roman"/>
          <w:b w:val="0"/>
          <w:bCs/>
          <w:color w:val="auto"/>
          <w:sz w:val="32"/>
          <w:szCs w:val="32"/>
          <w:highlight w:val="none"/>
          <w:u w:val="none"/>
          <w:lang w:val="en-US" w:eastAsia="zh-CN"/>
        </w:rPr>
        <w:t>应用示范</w:t>
      </w:r>
      <w:r>
        <w:rPr>
          <w:rFonts w:hint="default" w:ascii="Times New Roman" w:hAnsi="Times New Roman" w:eastAsia="仿宋_GB2312" w:cs="Times New Roman"/>
          <w:b w:val="0"/>
          <w:bCs/>
          <w:color w:val="auto"/>
          <w:sz w:val="32"/>
          <w:szCs w:val="32"/>
          <w:highlight w:val="none"/>
          <w:u w:val="none"/>
          <w:lang w:val="en-US" w:eastAsia="zh-CN"/>
        </w:rPr>
        <w:t>≥2</w:t>
      </w:r>
      <w:r>
        <w:rPr>
          <w:rFonts w:hint="default" w:ascii="Times New Roman" w:hAnsi="Times New Roman" w:cs="Times New Roman"/>
          <w:b w:val="0"/>
          <w:bCs/>
          <w:color w:val="auto"/>
          <w:sz w:val="32"/>
          <w:szCs w:val="32"/>
          <w:highlight w:val="none"/>
          <w:u w:val="none"/>
          <w:lang w:val="en-US" w:eastAsia="zh-CN"/>
        </w:rPr>
        <w:t>处；</w:t>
      </w:r>
      <w:r>
        <w:rPr>
          <w:rFonts w:hint="default" w:ascii="Times New Roman" w:hAnsi="Times New Roman" w:eastAsia="仿宋_GB2312" w:cs="Times New Roman"/>
          <w:color w:val="auto"/>
          <w:sz w:val="32"/>
          <w:szCs w:val="32"/>
          <w:highlight w:val="none"/>
          <w:u w:val="none"/>
        </w:rPr>
        <w:t>编制</w:t>
      </w:r>
      <w:r>
        <w:rPr>
          <w:rFonts w:hint="default" w:ascii="Times New Roman" w:hAnsi="Times New Roman" w:eastAsia="仿宋_GB2312" w:cs="Times New Roman"/>
          <w:color w:val="auto"/>
          <w:sz w:val="32"/>
          <w:szCs w:val="32"/>
          <w:highlight w:val="none"/>
          <w:u w:val="none"/>
          <w:lang w:val="en-US" w:eastAsia="zh-CN"/>
        </w:rPr>
        <w:t>研究</w:t>
      </w:r>
      <w:r>
        <w:rPr>
          <w:rFonts w:hint="default" w:ascii="Times New Roman" w:hAnsi="Times New Roman" w:eastAsia="仿宋_GB2312" w:cs="Times New Roman"/>
          <w:color w:val="auto"/>
          <w:sz w:val="32"/>
          <w:szCs w:val="32"/>
          <w:highlight w:val="none"/>
          <w:u w:val="none"/>
        </w:rPr>
        <w:t>报告≥</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份</w:t>
      </w:r>
      <w:r>
        <w:rPr>
          <w:rFonts w:hint="default" w:ascii="Times New Roman" w:hAnsi="Times New Roman" w:eastAsia="仿宋_GB2312" w:cs="Times New Roman"/>
          <w:color w:val="auto"/>
          <w:sz w:val="32"/>
          <w:szCs w:val="32"/>
          <w:highlight w:val="none"/>
          <w:u w:val="none"/>
          <w:lang w:eastAsia="zh-CN"/>
        </w:rPr>
        <w:t>。</w:t>
      </w:r>
    </w:p>
    <w:p w14:paraId="33054401">
      <w:pPr>
        <w:pStyle w:val="2"/>
        <w:adjustRightInd w:val="0"/>
        <w:snapToGrid w:val="0"/>
        <w:spacing w:line="576" w:lineRule="exact"/>
        <w:ind w:firstLine="640"/>
        <w:rPr>
          <w:rFonts w:hint="default" w:ascii="Times New Roman" w:hAnsi="Times New Roman" w:cs="Times New Roman"/>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u w:val="none"/>
        </w:rPr>
        <w:t>关键词：</w:t>
      </w:r>
      <w:r>
        <w:rPr>
          <w:rFonts w:hint="default" w:ascii="Times New Roman" w:hAnsi="Times New Roman" w:cs="Times New Roman"/>
          <w:color w:val="auto"/>
          <w:sz w:val="32"/>
          <w:szCs w:val="32"/>
          <w:highlight w:val="none"/>
          <w:u w:val="none"/>
        </w:rPr>
        <w:t>高原氢氧协同；以氧哺氢；氢氧制储运一体化；高原氢能动力适配；绿氢制工程特种物资；氢爆震燃机；异构热电联供；风光氢储一体化；高原氢能区域闭环</w:t>
      </w:r>
    </w:p>
    <w:p w14:paraId="650BE2D7">
      <w:pPr>
        <w:ind w:left="0" w:leftChars="0" w:firstLine="643" w:firstLineChars="200"/>
        <w:rPr>
          <w:rFonts w:hint="default" w:ascii="Times New Roman" w:hAnsi="Times New Roman" w:cs="Times New Roman"/>
          <w:color w:val="auto"/>
          <w:sz w:val="32"/>
          <w:szCs w:val="32"/>
          <w:highlight w:val="none"/>
          <w:u w:val="none"/>
          <w:lang w:eastAsia="zh-CN"/>
        </w:rPr>
      </w:pPr>
      <w:r>
        <w:rPr>
          <w:rFonts w:hint="default" w:ascii="Times New Roman" w:hAnsi="Times New Roman" w:eastAsia="仿宋_GB2312" w:cs="Times New Roman"/>
          <w:b/>
          <w:bCs/>
          <w:color w:val="auto"/>
          <w:kern w:val="2"/>
          <w:sz w:val="32"/>
          <w:szCs w:val="32"/>
          <w:highlight w:val="none"/>
          <w:u w:val="none"/>
          <w:lang w:val="en-US" w:eastAsia="zh-CN" w:bidi="ar"/>
        </w:rPr>
        <w:t>其他要求：</w:t>
      </w:r>
      <w:r>
        <w:rPr>
          <w:rFonts w:hint="default" w:ascii="Times New Roman" w:hAnsi="Times New Roman" w:eastAsia="仿宋_GB2312" w:cs="Times New Roman"/>
          <w:b w:val="0"/>
          <w:bCs w:val="0"/>
          <w:color w:val="auto"/>
          <w:kern w:val="2"/>
          <w:sz w:val="32"/>
          <w:szCs w:val="32"/>
          <w:highlight w:val="none"/>
          <w:u w:val="none"/>
          <w:lang w:val="en-US" w:eastAsia="zh-CN" w:bidi="ar"/>
        </w:rPr>
        <w:t>财政资金资助强度原则上不超过</w:t>
      </w:r>
      <w:r>
        <w:rPr>
          <w:rFonts w:hint="default" w:ascii="Times New Roman" w:hAnsi="Times New Roman" w:cs="Times New Roman"/>
          <w:b w:val="0"/>
          <w:bCs w:val="0"/>
          <w:color w:val="auto"/>
          <w:kern w:val="2"/>
          <w:sz w:val="32"/>
          <w:szCs w:val="32"/>
          <w:highlight w:val="none"/>
          <w:u w:val="none"/>
          <w:lang w:val="en-US" w:eastAsia="zh-CN" w:bidi="ar"/>
        </w:rPr>
        <w:t>2000</w:t>
      </w:r>
      <w:r>
        <w:rPr>
          <w:rFonts w:hint="default" w:ascii="Times New Roman" w:hAnsi="Times New Roman" w:eastAsia="仿宋_GB2312" w:cs="Times New Roman"/>
          <w:b w:val="0"/>
          <w:bCs w:val="0"/>
          <w:color w:val="auto"/>
          <w:kern w:val="2"/>
          <w:sz w:val="32"/>
          <w:szCs w:val="32"/>
          <w:highlight w:val="none"/>
          <w:u w:val="none"/>
          <w:lang w:val="en-US" w:eastAsia="zh-CN" w:bidi="ar"/>
        </w:rPr>
        <w:t>万元；申报单位自筹资金（其他渠道非财政资金）与财政资金比例原则上不低于3:1。</w:t>
      </w:r>
      <w:bookmarkStart w:id="3" w:name="_GoBack"/>
      <w:bookmarkEnd w:id="3"/>
    </w:p>
    <w:p w14:paraId="7A58C06C">
      <w:pPr>
        <w:ind w:left="0" w:leftChars="0" w:firstLine="0" w:firstLineChars="0"/>
        <w:rPr>
          <w:rFonts w:hint="default" w:ascii="Times New Roman" w:hAnsi="Times New Roman" w:cs="Times New Roman"/>
          <w:color w:val="auto"/>
          <w:sz w:val="32"/>
          <w:szCs w:val="32"/>
          <w:highlight w:val="none"/>
          <w:lang w:eastAsia="zh-CN"/>
        </w:rPr>
      </w:pPr>
    </w:p>
    <w:sectPr>
      <w:footerReference r:id="rId5" w:type="default"/>
      <w:pgSz w:w="11906" w:h="16838"/>
      <w:pgMar w:top="1440" w:right="1800" w:bottom="1440" w:left="1800"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61B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095F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B095F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237F7"/>
    <w:rsid w:val="03962305"/>
    <w:rsid w:val="05DE6D59"/>
    <w:rsid w:val="06915006"/>
    <w:rsid w:val="0A5B7E05"/>
    <w:rsid w:val="0CF34325"/>
    <w:rsid w:val="0E9B6767"/>
    <w:rsid w:val="0EC6059E"/>
    <w:rsid w:val="11EE155E"/>
    <w:rsid w:val="16184DFC"/>
    <w:rsid w:val="16C07C9C"/>
    <w:rsid w:val="18BC4164"/>
    <w:rsid w:val="1B486183"/>
    <w:rsid w:val="1C1C4F1A"/>
    <w:rsid w:val="1D8F0099"/>
    <w:rsid w:val="201A152D"/>
    <w:rsid w:val="203A47A8"/>
    <w:rsid w:val="208E6682"/>
    <w:rsid w:val="21677702"/>
    <w:rsid w:val="2F2648AA"/>
    <w:rsid w:val="31C205E6"/>
    <w:rsid w:val="355F614C"/>
    <w:rsid w:val="35E30B2B"/>
    <w:rsid w:val="379320DC"/>
    <w:rsid w:val="38A01A90"/>
    <w:rsid w:val="3AA80595"/>
    <w:rsid w:val="3B765F9D"/>
    <w:rsid w:val="40714F85"/>
    <w:rsid w:val="43BD1F91"/>
    <w:rsid w:val="444924A1"/>
    <w:rsid w:val="4487121B"/>
    <w:rsid w:val="46F048EE"/>
    <w:rsid w:val="47431429"/>
    <w:rsid w:val="4CE30FB8"/>
    <w:rsid w:val="4EA1510B"/>
    <w:rsid w:val="504E5064"/>
    <w:rsid w:val="50F973EA"/>
    <w:rsid w:val="52DD454B"/>
    <w:rsid w:val="556F788D"/>
    <w:rsid w:val="57853398"/>
    <w:rsid w:val="578C2978"/>
    <w:rsid w:val="581D136C"/>
    <w:rsid w:val="59A07B85"/>
    <w:rsid w:val="5CFC40FC"/>
    <w:rsid w:val="5F5923D9"/>
    <w:rsid w:val="5FC13EA7"/>
    <w:rsid w:val="5FFC08B7"/>
    <w:rsid w:val="6B364C7D"/>
    <w:rsid w:val="6C136D6D"/>
    <w:rsid w:val="6C1E3B87"/>
    <w:rsid w:val="6CA976D1"/>
    <w:rsid w:val="6DB36A59"/>
    <w:rsid w:val="6EEA46FD"/>
    <w:rsid w:val="723932A5"/>
    <w:rsid w:val="74B75792"/>
    <w:rsid w:val="75AD3D8E"/>
    <w:rsid w:val="764A5A81"/>
    <w:rsid w:val="777D3C34"/>
    <w:rsid w:val="798C1E93"/>
    <w:rsid w:val="7F160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76" w:lineRule="exact"/>
      <w:jc w:val="both"/>
      <w:outlineLvl w:val="0"/>
    </w:pPr>
    <w:rPr>
      <w:rFonts w:ascii="Calibri" w:hAnsi="Calibri"/>
      <w:b/>
      <w:kern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4602</Words>
  <Characters>5096</Characters>
  <Lines>0</Lines>
  <Paragraphs>0</Paragraphs>
  <TotalTime>4</TotalTime>
  <ScaleCrop>false</ScaleCrop>
  <LinksUpToDate>false</LinksUpToDate>
  <CharactersWithSpaces>5112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2026-07-26T15:02:00Z</dcterms:created>
  <dc:creator>admin</dc:creator>
  <cp:lastModifiedBy>李琛</cp:lastModifiedBy>
  <dcterms:modified xsi:type="dcterms:W3CDTF">2026-08-02T06:27:35Z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eyJoZGlkIjoiODFhMjM2NDFkNzhhYWE5NjFhYTg0N2EzZjFmYjc4NGMiLCJ1c2VySWQiOiI2MDI5MDA4MDgifQ==</vt:lpwstr>
  </property>
  <property fmtid="{D5CDD505-2E9C-101B-9397-08002B2CF9AE}" pid="4" name="ICV">
    <vt:lpwstr>1E3B3008EB7B40CAB01416DD02B22089_12</vt:lpwstr>
  </property>
</Properties>
</file>