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26212">
      <w:pPr>
        <w:widowControl w:val="0"/>
        <w:ind w:firstLine="0" w:firstLineChars="0"/>
        <w:rPr>
          <w:rFonts w:hint="eastAsia" w:eastAsia="黑体" w:cs="Times New Roman"/>
          <w:lang w:eastAsia="zh-CN"/>
        </w:rPr>
      </w:pPr>
      <w:r>
        <w:rPr>
          <w:rFonts w:eastAsia="黑体" w:cs="Times New Roman"/>
        </w:rPr>
        <w:t>附件</w:t>
      </w:r>
      <w:r>
        <w:rPr>
          <w:rFonts w:hint="eastAsia" w:eastAsia="黑体" w:cs="Times New Roman"/>
          <w:lang w:val="en-US" w:eastAsia="zh-CN"/>
        </w:rPr>
        <w:t>1</w:t>
      </w:r>
    </w:p>
    <w:p w14:paraId="462B5533">
      <w:pPr>
        <w:widowControl w:val="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零碳园区建设指标情况表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220"/>
        <w:gridCol w:w="13"/>
        <w:gridCol w:w="1209"/>
        <w:gridCol w:w="24"/>
        <w:gridCol w:w="1197"/>
        <w:gridCol w:w="34"/>
        <w:gridCol w:w="1188"/>
        <w:gridCol w:w="44"/>
        <w:gridCol w:w="1212"/>
        <w:gridCol w:w="19"/>
        <w:gridCol w:w="1218"/>
        <w:gridCol w:w="13"/>
        <w:gridCol w:w="1223"/>
        <w:gridCol w:w="8"/>
        <w:gridCol w:w="1231"/>
        <w:gridCol w:w="1236"/>
        <w:gridCol w:w="1240"/>
      </w:tblGrid>
      <w:tr w14:paraId="6D1A6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3" w:type="dxa"/>
            <w:noWrap w:val="0"/>
            <w:vAlign w:val="center"/>
          </w:tcPr>
          <w:p w14:paraId="19899FCD">
            <w:pPr>
              <w:widowControl w:val="0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园区名称</w:t>
            </w:r>
          </w:p>
        </w:tc>
        <w:tc>
          <w:tcPr>
            <w:tcW w:w="4885" w:type="dxa"/>
            <w:gridSpan w:val="7"/>
            <w:noWrap w:val="0"/>
            <w:vAlign w:val="center"/>
          </w:tcPr>
          <w:p w14:paraId="5DA4608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3729" w:type="dxa"/>
            <w:gridSpan w:val="6"/>
            <w:noWrap w:val="0"/>
            <w:vAlign w:val="center"/>
          </w:tcPr>
          <w:p w14:paraId="5738D1CA">
            <w:pPr>
              <w:widowControl w:val="0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申报面积（平方公里）</w:t>
            </w:r>
          </w:p>
        </w:tc>
        <w:tc>
          <w:tcPr>
            <w:tcW w:w="3715" w:type="dxa"/>
            <w:gridSpan w:val="4"/>
            <w:noWrap w:val="0"/>
            <w:vAlign w:val="center"/>
          </w:tcPr>
          <w:p w14:paraId="265BA483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C7B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3" w:type="dxa"/>
            <w:noWrap w:val="0"/>
            <w:vAlign w:val="center"/>
          </w:tcPr>
          <w:p w14:paraId="716A5E8B">
            <w:pPr>
              <w:widowControl w:val="0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主导产业类别</w:t>
            </w:r>
          </w:p>
        </w:tc>
        <w:tc>
          <w:tcPr>
            <w:tcW w:w="4885" w:type="dxa"/>
            <w:gridSpan w:val="7"/>
            <w:noWrap w:val="0"/>
            <w:vAlign w:val="center"/>
          </w:tcPr>
          <w:p w14:paraId="2C495B2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3729" w:type="dxa"/>
            <w:gridSpan w:val="6"/>
            <w:noWrap w:val="0"/>
            <w:vAlign w:val="center"/>
          </w:tcPr>
          <w:p w14:paraId="61232252">
            <w:pPr>
              <w:widowControl w:val="0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建设周期</w:t>
            </w:r>
          </w:p>
        </w:tc>
        <w:tc>
          <w:tcPr>
            <w:tcW w:w="3715" w:type="dxa"/>
            <w:gridSpan w:val="4"/>
            <w:noWrap w:val="0"/>
            <w:vAlign w:val="center"/>
          </w:tcPr>
          <w:p w14:paraId="22D439F0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20XX年—20XX年</w:t>
            </w:r>
          </w:p>
        </w:tc>
      </w:tr>
      <w:tr w14:paraId="59D0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992" w:type="dxa"/>
            <w:gridSpan w:val="18"/>
            <w:noWrap w:val="0"/>
            <w:vAlign w:val="center"/>
          </w:tcPr>
          <w:p w14:paraId="16040DFE">
            <w:pPr>
              <w:widowControl w:val="0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一、基础现状</w:t>
            </w:r>
          </w:p>
        </w:tc>
      </w:tr>
      <w:tr w14:paraId="2A5C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1663" w:type="dxa"/>
            <w:noWrap w:val="0"/>
            <w:vAlign w:val="top"/>
          </w:tcPr>
          <w:p w14:paraId="6E1156DB">
            <w:pPr>
              <w:widowControl w:val="0"/>
              <w:ind w:firstLine="0" w:firstLineChars="0"/>
              <w:rPr>
                <w:sz w:val="24"/>
                <w:szCs w:val="24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0AB5538A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地区生产总值（万元）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 w14:paraId="2FCBB521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单位能耗碳排放（吨CO</w:t>
            </w:r>
            <w:r>
              <w:rPr>
                <w:rFonts w:hint="eastAsia"/>
                <w:sz w:val="24"/>
                <w:szCs w:val="24"/>
                <w:vertAlign w:val="subscript"/>
              </w:rPr>
              <w:t>2</w:t>
            </w:r>
            <w:r>
              <w:rPr>
                <w:rFonts w:hint="eastAsia"/>
                <w:sz w:val="24"/>
                <w:szCs w:val="24"/>
              </w:rPr>
              <w:t>/吨标准煤）</w:t>
            </w:r>
          </w:p>
        </w:tc>
        <w:tc>
          <w:tcPr>
            <w:tcW w:w="1221" w:type="dxa"/>
            <w:gridSpan w:val="2"/>
            <w:noWrap w:val="0"/>
            <w:vAlign w:val="center"/>
          </w:tcPr>
          <w:p w14:paraId="7AD25EAD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年度能耗强度（吨标准煤/万元）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 w14:paraId="5308ED36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年度碳排放强度（吨CO</w:t>
            </w:r>
            <w:r>
              <w:rPr>
                <w:rFonts w:hint="eastAsia"/>
                <w:sz w:val="24"/>
                <w:szCs w:val="24"/>
                <w:vertAlign w:val="subscript"/>
              </w:rPr>
              <w:t>2</w:t>
            </w:r>
            <w:r>
              <w:rPr>
                <w:rFonts w:hint="eastAsia"/>
                <w:sz w:val="24"/>
                <w:szCs w:val="24"/>
              </w:rPr>
              <w:t>/万元）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2ECF7DF2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可再生能源电力使用量</w:t>
            </w:r>
            <w:r>
              <w:rPr>
                <w:rStyle w:val="7"/>
                <w:sz w:val="24"/>
              </w:rPr>
              <w:footnoteReference w:id="0"/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万kWh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743B8529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清洁能源消费占比（%）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34F8C510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园区企业产出产品单位能耗</w:t>
            </w:r>
          </w:p>
        </w:tc>
        <w:tc>
          <w:tcPr>
            <w:tcW w:w="1239" w:type="dxa"/>
            <w:gridSpan w:val="2"/>
            <w:noWrap w:val="0"/>
            <w:vAlign w:val="center"/>
          </w:tcPr>
          <w:p w14:paraId="7261D0F2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工业固体废弃物综合利用率（%）</w:t>
            </w:r>
          </w:p>
        </w:tc>
        <w:tc>
          <w:tcPr>
            <w:tcW w:w="1236" w:type="dxa"/>
            <w:noWrap w:val="0"/>
            <w:vAlign w:val="center"/>
          </w:tcPr>
          <w:p w14:paraId="13D8AEA6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余热/余冷/余压综合利用率（%）</w:t>
            </w:r>
          </w:p>
        </w:tc>
        <w:tc>
          <w:tcPr>
            <w:tcW w:w="1240" w:type="dxa"/>
            <w:noWrap w:val="0"/>
            <w:vAlign w:val="center"/>
          </w:tcPr>
          <w:p w14:paraId="6BFB2169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工业用水重复利用率（%）</w:t>
            </w:r>
          </w:p>
        </w:tc>
      </w:tr>
      <w:tr w14:paraId="2657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576DEDE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2023年度</w:t>
            </w:r>
          </w:p>
        </w:tc>
        <w:tc>
          <w:tcPr>
            <w:tcW w:w="1220" w:type="dxa"/>
            <w:noWrap w:val="0"/>
            <w:vAlign w:val="center"/>
          </w:tcPr>
          <w:p w14:paraId="5F47B39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0977D9F4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 w14:paraId="3FCBF026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1FCED92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55FED516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3A5CD14F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28EFCF5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25A7252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1480A82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74ECAC6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732C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2F9B0F4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2024年度</w:t>
            </w:r>
          </w:p>
        </w:tc>
        <w:tc>
          <w:tcPr>
            <w:tcW w:w="1220" w:type="dxa"/>
            <w:noWrap w:val="0"/>
            <w:vAlign w:val="center"/>
          </w:tcPr>
          <w:p w14:paraId="1553A4F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17126B5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 w14:paraId="226513D7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3DE3040B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4E67444B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310EC7D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292946D9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372DEFF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19C8A90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7C796180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3A16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42831E59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2025年度</w:t>
            </w:r>
          </w:p>
        </w:tc>
        <w:tc>
          <w:tcPr>
            <w:tcW w:w="1220" w:type="dxa"/>
            <w:noWrap w:val="0"/>
            <w:vAlign w:val="center"/>
          </w:tcPr>
          <w:p w14:paraId="25FD63D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6C285E8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noWrap w:val="0"/>
            <w:vAlign w:val="center"/>
          </w:tcPr>
          <w:p w14:paraId="1E17D6B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7F55F1B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4AB4345F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32D2C208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 w14:paraId="22D446F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noWrap w:val="0"/>
            <w:vAlign w:val="center"/>
          </w:tcPr>
          <w:p w14:paraId="200F588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056672FB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129BD6C4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6450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2" w:type="dxa"/>
            <w:gridSpan w:val="18"/>
            <w:noWrap w:val="0"/>
            <w:vAlign w:val="center"/>
          </w:tcPr>
          <w:p w14:paraId="2E96967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二、建设目标</w:t>
            </w:r>
          </w:p>
        </w:tc>
      </w:tr>
      <w:tr w14:paraId="111D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178EC06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112A702A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地区生产总值（万元）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3B3C4E80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单位能耗碳排放（吨CO</w:t>
            </w:r>
            <w:r>
              <w:rPr>
                <w:rFonts w:hint="eastAsia"/>
                <w:sz w:val="24"/>
                <w:szCs w:val="24"/>
                <w:vertAlign w:val="subscript"/>
              </w:rPr>
              <w:t>2</w:t>
            </w:r>
            <w:r>
              <w:rPr>
                <w:rFonts w:hint="eastAsia"/>
                <w:sz w:val="24"/>
                <w:szCs w:val="24"/>
              </w:rPr>
              <w:t>/吨标准煤）</w:t>
            </w:r>
          </w:p>
        </w:tc>
        <w:tc>
          <w:tcPr>
            <w:tcW w:w="1231" w:type="dxa"/>
            <w:gridSpan w:val="2"/>
            <w:noWrap w:val="0"/>
            <w:vAlign w:val="center"/>
          </w:tcPr>
          <w:p w14:paraId="65C24E16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年度能耗强度（吨标准煤/万元）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 w14:paraId="677F0AE4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年度碳排放强度（吨CO</w:t>
            </w:r>
            <w:r>
              <w:rPr>
                <w:rFonts w:hint="eastAsia"/>
                <w:sz w:val="24"/>
                <w:szCs w:val="24"/>
                <w:vertAlign w:val="subscript"/>
              </w:rPr>
              <w:t>2</w:t>
            </w:r>
            <w:r>
              <w:rPr>
                <w:rFonts w:hint="eastAsia"/>
                <w:sz w:val="24"/>
                <w:szCs w:val="24"/>
              </w:rPr>
              <w:t>/万元）</w:t>
            </w:r>
          </w:p>
        </w:tc>
        <w:tc>
          <w:tcPr>
            <w:tcW w:w="1231" w:type="dxa"/>
            <w:gridSpan w:val="2"/>
            <w:noWrap w:val="0"/>
            <w:vAlign w:val="center"/>
          </w:tcPr>
          <w:p w14:paraId="31552B36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可再生能源电力使用量（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万kWh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231" w:type="dxa"/>
            <w:gridSpan w:val="2"/>
            <w:noWrap w:val="0"/>
            <w:vAlign w:val="center"/>
          </w:tcPr>
          <w:p w14:paraId="35DE2D0F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清洁能源消费占比（%）</w:t>
            </w:r>
          </w:p>
        </w:tc>
        <w:tc>
          <w:tcPr>
            <w:tcW w:w="1231" w:type="dxa"/>
            <w:gridSpan w:val="2"/>
            <w:noWrap w:val="0"/>
            <w:vAlign w:val="center"/>
          </w:tcPr>
          <w:p w14:paraId="527CC335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园区企业产出产品单位能耗</w:t>
            </w:r>
          </w:p>
        </w:tc>
        <w:tc>
          <w:tcPr>
            <w:tcW w:w="1231" w:type="dxa"/>
            <w:noWrap w:val="0"/>
            <w:vAlign w:val="center"/>
          </w:tcPr>
          <w:p w14:paraId="5D26A5D0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工业固体废弃物综合利用率（%）</w:t>
            </w:r>
          </w:p>
        </w:tc>
        <w:tc>
          <w:tcPr>
            <w:tcW w:w="1236" w:type="dxa"/>
            <w:noWrap w:val="0"/>
            <w:vAlign w:val="center"/>
          </w:tcPr>
          <w:p w14:paraId="2555F7DC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余热/余冷/余压综合利用率（%）</w:t>
            </w:r>
          </w:p>
        </w:tc>
        <w:tc>
          <w:tcPr>
            <w:tcW w:w="1240" w:type="dxa"/>
            <w:noWrap w:val="0"/>
            <w:vAlign w:val="center"/>
          </w:tcPr>
          <w:p w14:paraId="2D0DF422">
            <w:pPr>
              <w:widowControl w:val="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工业用水重复利用率（%）</w:t>
            </w:r>
          </w:p>
        </w:tc>
      </w:tr>
      <w:tr w14:paraId="0E2C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2FC88B73">
            <w:pPr>
              <w:widowControl/>
              <w:ind w:firstLine="0" w:firstLineChars="0"/>
              <w:jc w:val="center"/>
              <w:rPr>
                <w:rFonts w:cs="Times New Roman"/>
                <w:sz w:val="24"/>
                <w:szCs w:val="24"/>
                <w:lang w:bidi="ar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2026年度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5BE76E2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67A064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2BEE5FC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3327A6F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0CBFD51F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03C2BB16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6E3407A3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8E91AB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3E16EB9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183E6AA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4E6DA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3B1D1570">
            <w:pPr>
              <w:widowControl/>
              <w:ind w:firstLine="0" w:firstLineChars="0"/>
              <w:jc w:val="center"/>
              <w:rPr>
                <w:rFonts w:cs="Times New Roman"/>
                <w:sz w:val="24"/>
                <w:szCs w:val="24"/>
                <w:lang w:bidi="ar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2027</w:t>
            </w:r>
            <w:r>
              <w:rPr>
                <w:rFonts w:hint="eastAsia" w:ascii="仿宋_GB2312" w:cs="仿宋_GB2312"/>
                <w:sz w:val="24"/>
                <w:szCs w:val="24"/>
                <w:lang w:bidi="ar"/>
              </w:rPr>
              <w:t>年度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6718804B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7B0B97DF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43D7FE8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2226B856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4ED462F0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1B7C7378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367B4568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CE8084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49A206E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69B158A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05CA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166A8EE8">
            <w:pPr>
              <w:widowControl/>
              <w:ind w:firstLine="0" w:firstLineChars="0"/>
              <w:jc w:val="center"/>
              <w:rPr>
                <w:rFonts w:cs="Times New Roman"/>
                <w:sz w:val="24"/>
                <w:szCs w:val="24"/>
                <w:lang w:bidi="ar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2028</w:t>
            </w:r>
            <w:r>
              <w:rPr>
                <w:rFonts w:hint="eastAsia" w:ascii="仿宋_GB2312" w:cs="仿宋_GB2312"/>
                <w:sz w:val="24"/>
                <w:szCs w:val="24"/>
                <w:lang w:bidi="ar"/>
              </w:rPr>
              <w:t>年度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52592D34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1E4A29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4C1418C8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6586178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55FDCD6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1899AD7B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00A6271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1828D8A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32C21367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2B5A87E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6DC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78D7E02C">
            <w:pPr>
              <w:widowControl/>
              <w:ind w:firstLine="0" w:firstLineChars="0"/>
              <w:jc w:val="center"/>
              <w:rPr>
                <w:rFonts w:cs="Times New Roman"/>
                <w:sz w:val="24"/>
                <w:szCs w:val="24"/>
                <w:lang w:bidi="ar"/>
              </w:rPr>
            </w:pPr>
            <w:r>
              <w:rPr>
                <w:rFonts w:hint="eastAsia" w:cs="Times New Roman"/>
                <w:sz w:val="24"/>
                <w:szCs w:val="24"/>
                <w:lang w:bidi="ar"/>
              </w:rPr>
              <w:t>2029年度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471168A4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7015112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356BD22A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4537B263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2A4000B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192687F9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1E22E92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6D320133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027A0C6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1D08E6CF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241E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3" w:type="dxa"/>
            <w:noWrap w:val="0"/>
            <w:vAlign w:val="center"/>
          </w:tcPr>
          <w:p w14:paraId="470074B7">
            <w:pPr>
              <w:widowControl/>
              <w:ind w:firstLine="0" w:firstLineChars="0"/>
              <w:jc w:val="center"/>
              <w:rPr>
                <w:rFonts w:cs="Times New Roman"/>
                <w:sz w:val="24"/>
                <w:szCs w:val="24"/>
                <w:lang w:bidi="ar"/>
              </w:rPr>
            </w:pPr>
            <w:r>
              <w:rPr>
                <w:rFonts w:cs="Times New Roman"/>
                <w:sz w:val="24"/>
                <w:szCs w:val="24"/>
                <w:lang w:bidi="ar"/>
              </w:rPr>
              <w:t>20</w:t>
            </w:r>
            <w:r>
              <w:rPr>
                <w:rFonts w:hint="eastAsia" w:cs="Times New Roman"/>
                <w:sz w:val="24"/>
                <w:szCs w:val="24"/>
                <w:lang w:bidi="ar"/>
              </w:rPr>
              <w:t>30</w:t>
            </w:r>
            <w:r>
              <w:rPr>
                <w:rFonts w:cs="Times New Roman"/>
                <w:sz w:val="24"/>
                <w:szCs w:val="24"/>
                <w:lang w:bidi="ar"/>
              </w:rPr>
              <w:t>年度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75D2F633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BA49BD2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6E0198B6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noWrap w:val="0"/>
            <w:vAlign w:val="center"/>
          </w:tcPr>
          <w:p w14:paraId="6C6C5BF9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7060AAEE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246B506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noWrap w:val="0"/>
            <w:vAlign w:val="center"/>
          </w:tcPr>
          <w:p w14:paraId="6D33AC5C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1791B421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635C7445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2EDC51BD">
            <w:pPr>
              <w:widowControl w:val="0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</w:tbl>
    <w:p w14:paraId="35557252">
      <w:pPr>
        <w:ind w:left="0" w:leftChars="0" w:firstLine="0" w:firstLineChars="0"/>
        <w:rPr>
          <w:rFonts w:hint="eastAsia" w:eastAsia="黑体" w:cs="Times New Roman"/>
          <w:lang w:eastAsia="zh-CN"/>
        </w:rPr>
      </w:pPr>
      <w:r>
        <w:br w:type="page"/>
      </w:r>
      <w:r>
        <w:rPr>
          <w:rFonts w:eastAsia="黑体" w:cs="Times New Roman"/>
        </w:rPr>
        <w:t>附件</w:t>
      </w:r>
      <w:r>
        <w:rPr>
          <w:rFonts w:hint="eastAsia" w:eastAsia="黑体" w:cs="Times New Roman"/>
          <w:lang w:val="en-US" w:eastAsia="zh-CN"/>
        </w:rPr>
        <w:t>2</w:t>
      </w:r>
    </w:p>
    <w:p w14:paraId="4C729D61">
      <w:pPr>
        <w:widowControl w:val="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零碳园区建设重点项目清单</w:t>
      </w:r>
    </w:p>
    <w:p w14:paraId="6F2DA0D0">
      <w:pPr>
        <w:widowControl w:val="0"/>
        <w:ind w:firstLine="0" w:firstLineChars="0"/>
        <w:jc w:val="both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园区名称：</w:t>
      </w:r>
    </w:p>
    <w:tbl>
      <w:tblPr>
        <w:tblStyle w:val="5"/>
        <w:tblW w:w="502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81"/>
        <w:gridCol w:w="2048"/>
        <w:gridCol w:w="1845"/>
        <w:gridCol w:w="2147"/>
        <w:gridCol w:w="1424"/>
        <w:gridCol w:w="1904"/>
        <w:gridCol w:w="2627"/>
        <w:gridCol w:w="1170"/>
      </w:tblGrid>
      <w:tr w14:paraId="74692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7" w:hRule="atLeast"/>
        </w:trPr>
        <w:tc>
          <w:tcPr>
            <w:tcW w:w="280" w:type="pct"/>
            <w:noWrap w:val="0"/>
            <w:vAlign w:val="center"/>
          </w:tcPr>
          <w:p w14:paraId="5144F7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734" w:type="pct"/>
            <w:noWrap w:val="0"/>
            <w:vAlign w:val="center"/>
          </w:tcPr>
          <w:p w14:paraId="6B34FF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661" w:type="pct"/>
            <w:noWrap w:val="0"/>
            <w:vAlign w:val="center"/>
          </w:tcPr>
          <w:p w14:paraId="0327D8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建设单位</w:t>
            </w:r>
          </w:p>
        </w:tc>
        <w:tc>
          <w:tcPr>
            <w:tcW w:w="769" w:type="pct"/>
            <w:noWrap w:val="0"/>
            <w:vAlign w:val="center"/>
          </w:tcPr>
          <w:p w14:paraId="65C27A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主要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建设内容</w:t>
            </w:r>
          </w:p>
          <w:p w14:paraId="559166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eastAsia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及预期效果</w:t>
            </w:r>
          </w:p>
        </w:tc>
        <w:tc>
          <w:tcPr>
            <w:tcW w:w="510" w:type="pct"/>
            <w:noWrap w:val="0"/>
            <w:vAlign w:val="center"/>
          </w:tcPr>
          <w:p w14:paraId="035A67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总投资</w:t>
            </w:r>
          </w:p>
          <w:p w14:paraId="735C57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（万元）</w:t>
            </w:r>
          </w:p>
        </w:tc>
        <w:tc>
          <w:tcPr>
            <w:tcW w:w="682" w:type="pct"/>
            <w:noWrap w:val="0"/>
            <w:vAlign w:val="center"/>
          </w:tcPr>
          <w:p w14:paraId="2231F7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eastAsia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开竣工时间</w:t>
            </w:r>
          </w:p>
        </w:tc>
        <w:tc>
          <w:tcPr>
            <w:tcW w:w="941" w:type="pct"/>
            <w:noWrap w:val="0"/>
            <w:vAlign w:val="center"/>
          </w:tcPr>
          <w:p w14:paraId="063080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建设</w:t>
            </w:r>
            <w:r>
              <w:rPr>
                <w:rFonts w:hint="eastAsia"/>
                <w:b w:val="0"/>
                <w:bCs w:val="0"/>
                <w:sz w:val="28"/>
                <w:szCs w:val="28"/>
              </w:rPr>
              <w:t>进度</w:t>
            </w:r>
          </w:p>
        </w:tc>
        <w:tc>
          <w:tcPr>
            <w:tcW w:w="419" w:type="pct"/>
            <w:noWrap w:val="0"/>
            <w:vAlign w:val="center"/>
          </w:tcPr>
          <w:p w14:paraId="09D00E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备注</w:t>
            </w:r>
          </w:p>
        </w:tc>
      </w:tr>
      <w:tr w14:paraId="7E5C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280" w:type="pct"/>
            <w:noWrap w:val="0"/>
            <w:vAlign w:val="center"/>
          </w:tcPr>
          <w:p w14:paraId="03D6CC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34" w:type="pct"/>
            <w:noWrap w:val="0"/>
            <w:vAlign w:val="center"/>
          </w:tcPr>
          <w:p w14:paraId="490608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61" w:type="pct"/>
            <w:noWrap w:val="0"/>
            <w:vAlign w:val="center"/>
          </w:tcPr>
          <w:p w14:paraId="4FB5AA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F6554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418AF7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82" w:type="pct"/>
            <w:noWrap w:val="0"/>
            <w:vAlign w:val="center"/>
          </w:tcPr>
          <w:p w14:paraId="540B33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41" w:type="pct"/>
            <w:noWrap w:val="0"/>
            <w:vAlign w:val="center"/>
          </w:tcPr>
          <w:p w14:paraId="40B1EA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19" w:type="pct"/>
            <w:noWrap w:val="0"/>
            <w:vAlign w:val="center"/>
          </w:tcPr>
          <w:p w14:paraId="0D3029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</w:tr>
      <w:tr w14:paraId="5DA7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280" w:type="pct"/>
            <w:noWrap w:val="0"/>
            <w:vAlign w:val="center"/>
          </w:tcPr>
          <w:p w14:paraId="0F1227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34" w:type="pct"/>
            <w:noWrap w:val="0"/>
            <w:vAlign w:val="center"/>
          </w:tcPr>
          <w:p w14:paraId="63CC3E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61" w:type="pct"/>
            <w:noWrap w:val="0"/>
            <w:vAlign w:val="center"/>
          </w:tcPr>
          <w:p w14:paraId="125079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69" w:type="pct"/>
            <w:noWrap w:val="0"/>
            <w:vAlign w:val="center"/>
          </w:tcPr>
          <w:p w14:paraId="79FD8D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259184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82" w:type="pct"/>
            <w:noWrap w:val="0"/>
            <w:vAlign w:val="center"/>
          </w:tcPr>
          <w:p w14:paraId="62E410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41" w:type="pct"/>
            <w:noWrap w:val="0"/>
            <w:vAlign w:val="center"/>
          </w:tcPr>
          <w:p w14:paraId="2DA330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19" w:type="pct"/>
            <w:noWrap w:val="0"/>
            <w:vAlign w:val="center"/>
          </w:tcPr>
          <w:p w14:paraId="2331E7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</w:tr>
      <w:tr w14:paraId="499B0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280" w:type="pct"/>
            <w:noWrap w:val="0"/>
            <w:vAlign w:val="center"/>
          </w:tcPr>
          <w:p w14:paraId="7B2784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34" w:type="pct"/>
            <w:noWrap w:val="0"/>
            <w:vAlign w:val="center"/>
          </w:tcPr>
          <w:p w14:paraId="630D85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61" w:type="pct"/>
            <w:noWrap w:val="0"/>
            <w:vAlign w:val="center"/>
          </w:tcPr>
          <w:p w14:paraId="3D8A39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A78C3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00F772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82" w:type="pct"/>
            <w:noWrap w:val="0"/>
            <w:vAlign w:val="center"/>
          </w:tcPr>
          <w:p w14:paraId="302CD9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41" w:type="pct"/>
            <w:noWrap w:val="0"/>
            <w:vAlign w:val="center"/>
          </w:tcPr>
          <w:p w14:paraId="4DC2F3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19" w:type="pct"/>
            <w:noWrap w:val="0"/>
            <w:vAlign w:val="center"/>
          </w:tcPr>
          <w:p w14:paraId="7F4AE4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</w:tr>
      <w:tr w14:paraId="0A5B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280" w:type="pct"/>
            <w:noWrap w:val="0"/>
            <w:vAlign w:val="center"/>
          </w:tcPr>
          <w:p w14:paraId="3CEEB4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……</w:t>
            </w:r>
          </w:p>
        </w:tc>
        <w:tc>
          <w:tcPr>
            <w:tcW w:w="734" w:type="pct"/>
            <w:noWrap w:val="0"/>
            <w:vAlign w:val="center"/>
          </w:tcPr>
          <w:p w14:paraId="599DE6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61" w:type="pct"/>
            <w:noWrap w:val="0"/>
            <w:vAlign w:val="center"/>
          </w:tcPr>
          <w:p w14:paraId="51C66B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69" w:type="pct"/>
            <w:noWrap w:val="0"/>
            <w:vAlign w:val="center"/>
          </w:tcPr>
          <w:p w14:paraId="622CBB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510" w:type="pct"/>
            <w:noWrap w:val="0"/>
            <w:vAlign w:val="center"/>
          </w:tcPr>
          <w:p w14:paraId="4EB1B0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82" w:type="pct"/>
            <w:noWrap w:val="0"/>
            <w:vAlign w:val="center"/>
          </w:tcPr>
          <w:p w14:paraId="745C20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41" w:type="pct"/>
            <w:noWrap w:val="0"/>
            <w:vAlign w:val="center"/>
          </w:tcPr>
          <w:p w14:paraId="51C4CB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419" w:type="pct"/>
            <w:noWrap w:val="0"/>
            <w:vAlign w:val="center"/>
          </w:tcPr>
          <w:p w14:paraId="1F596B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4CA577B7">
      <w:pPr>
        <w:ind w:firstLine="0" w:firstLineChars="0"/>
        <w:sectPr>
          <w:headerReference r:id="rId5" w:type="default"/>
          <w:pgSz w:w="16838" w:h="11906" w:orient="landscape"/>
          <w:pgMar w:top="2098" w:right="1474" w:bottom="1985" w:left="1588" w:header="851" w:footer="1474" w:gutter="0"/>
          <w:pgNumType w:fmt="numberInDash"/>
          <w:cols w:space="720" w:num="1"/>
          <w:docGrid w:type="lines" w:linePitch="312" w:charSpace="0"/>
        </w:sectPr>
      </w:pPr>
    </w:p>
    <w:p w14:paraId="241F0E99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textAlignment w:val="auto"/>
        <w:rPr>
          <w:rFonts w:hint="eastAsia" w:eastAsia="黑体" w:cs="Times New Roman"/>
        </w:rPr>
      </w:pPr>
      <w:r>
        <w:rPr>
          <w:rFonts w:hint="eastAsia" w:eastAsia="黑体" w:cs="Times New Roman"/>
        </w:rPr>
        <w:t>附件3</w:t>
      </w:r>
    </w:p>
    <w:p w14:paraId="5B292976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textAlignment w:val="auto"/>
        <w:rPr>
          <w:rFonts w:hint="eastAsia" w:eastAsia="黑体" w:cs="Times New Roman"/>
        </w:rPr>
      </w:pPr>
    </w:p>
    <w:p w14:paraId="5D958C59">
      <w:pPr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零碳园区建设年度自评估报告大纲</w:t>
      </w:r>
    </w:p>
    <w:p w14:paraId="01DED9C9">
      <w:pPr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983E303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</w:rPr>
      </w:pPr>
      <w:r>
        <w:rPr>
          <w:rFonts w:hint="eastAsia" w:eastAsia="黑体"/>
          <w:bCs/>
          <w:kern w:val="44"/>
          <w:szCs w:val="44"/>
        </w:rPr>
        <w:t>一、</w:t>
      </w:r>
      <w:r>
        <w:rPr>
          <w:rFonts w:hint="eastAsia" w:ascii="黑体" w:hAnsi="黑体" w:eastAsia="黑体" w:cs="黑体"/>
        </w:rPr>
        <w:t>园区基本情况</w:t>
      </w:r>
    </w:p>
    <w:p w14:paraId="43F1F0AB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lang w:bidi="ar"/>
        </w:rPr>
      </w:pPr>
      <w:r>
        <w:rPr>
          <w:rFonts w:hint="eastAsia"/>
          <w:lang w:bidi="ar"/>
        </w:rPr>
        <w:t>简述园区年度经济产业发展水平等基本情况。</w:t>
      </w:r>
    </w:p>
    <w:p w14:paraId="7CA9E67A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  <w:lang w:bidi="ar"/>
        </w:rPr>
      </w:pPr>
      <w:r>
        <w:rPr>
          <w:rFonts w:hint="eastAsia" w:eastAsia="黑体"/>
          <w:bCs/>
          <w:kern w:val="44"/>
          <w:szCs w:val="44"/>
          <w:lang w:bidi="ar"/>
        </w:rPr>
        <w:t>二、目标完成情况</w:t>
      </w:r>
    </w:p>
    <w:p w14:paraId="3A38C5EF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 w:ascii="楷体_GB2312" w:hAnsi="楷体_GB2312" w:eastAsia="楷体_GB2312" w:cs="楷体_GB2312"/>
        </w:rPr>
        <w:t>（一）能源供应及消费情况。</w:t>
      </w:r>
      <w:r>
        <w:t>简述园区</w:t>
      </w:r>
      <w:r>
        <w:rPr>
          <w:rFonts w:hint="eastAsia"/>
        </w:rPr>
        <w:t>年度</w:t>
      </w:r>
      <w:r>
        <w:t>分能源品种的能源供应与消费情况。能源供应部分区分园区外购能源和自供能源，能源消费部分区分用作燃料、用于能源加工转换及用作原料等用途。</w:t>
      </w:r>
    </w:p>
    <w:p w14:paraId="43E7EB96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ascii="楷体_GB2312" w:hAnsi="楷体_GB2312" w:eastAsia="楷体_GB2312" w:cs="楷体_GB2312"/>
        </w:rPr>
        <w:t>（</w:t>
      </w:r>
      <w:r>
        <w:rPr>
          <w:rFonts w:hint="eastAsia" w:ascii="楷体_GB2312" w:hAnsi="楷体_GB2312" w:eastAsia="楷体_GB2312" w:cs="楷体_GB2312"/>
        </w:rPr>
        <w:t>二</w:t>
      </w:r>
      <w:r>
        <w:rPr>
          <w:rFonts w:ascii="楷体_GB2312" w:hAnsi="楷体_GB2312" w:eastAsia="楷体_GB2312" w:cs="楷体_GB2312"/>
        </w:rPr>
        <w:t>）碳排放情况。</w:t>
      </w:r>
      <w:r>
        <w:t>根据零碳园区碳排放核算方法对园区</w:t>
      </w:r>
      <w:r>
        <w:rPr>
          <w:rFonts w:hint="eastAsia"/>
        </w:rPr>
        <w:t>年度</w:t>
      </w:r>
      <w:r>
        <w:t>碳排放进行测算分析，内容包括但不限于园区分年度碳排放量、单位能耗碳排放、碳排放结构等。</w:t>
      </w:r>
    </w:p>
    <w:p w14:paraId="309E002A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 w:ascii="楷体_GB2312" w:hAnsi="楷体_GB2312" w:eastAsia="楷体_GB2312" w:cs="楷体_GB2312"/>
        </w:rPr>
        <w:t>（三）指标情况。</w:t>
      </w:r>
      <w:r>
        <w:rPr>
          <w:rFonts w:hint="eastAsia"/>
        </w:rPr>
        <w:t>对照零碳园区申报书，简述年度目标完成情况，指标未达预期</w:t>
      </w:r>
      <w:r>
        <w:rPr>
          <w:rFonts w:hint="eastAsia"/>
          <w:lang w:eastAsia="zh-CN"/>
        </w:rPr>
        <w:t>的</w:t>
      </w:r>
      <w:r>
        <w:rPr>
          <w:rFonts w:hint="eastAsia"/>
        </w:rPr>
        <w:t>阐述具体原因。</w:t>
      </w:r>
    </w:p>
    <w:p w14:paraId="1789F4FD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 w:ascii="楷体_GB2312" w:hAnsi="楷体_GB2312" w:eastAsia="楷体_GB2312" w:cs="楷体_GB2312"/>
        </w:rPr>
        <w:t>（四）项目情况。</w:t>
      </w:r>
      <w:r>
        <w:rPr>
          <w:rFonts w:hint="eastAsia"/>
        </w:rPr>
        <w:t>对照</w:t>
      </w:r>
      <w:r>
        <w:rPr>
          <w:rFonts w:hint="eastAsia"/>
          <w:lang w:eastAsia="zh-CN"/>
        </w:rPr>
        <w:t>重点</w:t>
      </w:r>
      <w:r>
        <w:rPr>
          <w:rFonts w:hint="eastAsia"/>
        </w:rPr>
        <w:t>项目清单，简述项目进展</w:t>
      </w:r>
      <w:r>
        <w:rPr>
          <w:rFonts w:hint="eastAsia"/>
          <w:lang w:eastAsia="zh-CN"/>
        </w:rPr>
        <w:t>情况</w:t>
      </w:r>
      <w:r>
        <w:rPr>
          <w:rFonts w:hint="eastAsia"/>
        </w:rPr>
        <w:t>。</w:t>
      </w:r>
    </w:p>
    <w:p w14:paraId="08B540C6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  <w:lang w:bidi="ar"/>
        </w:rPr>
      </w:pPr>
      <w:r>
        <w:rPr>
          <w:rFonts w:hint="eastAsia" w:eastAsia="黑体"/>
          <w:bCs/>
          <w:kern w:val="44"/>
          <w:szCs w:val="44"/>
          <w:lang w:bidi="ar"/>
        </w:rPr>
        <w:t>三、任务落实情况</w:t>
      </w:r>
    </w:p>
    <w:p w14:paraId="0C02DCA9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/>
          <w:lang w:eastAsia="zh-CN"/>
        </w:rPr>
        <w:t>梳理总结园区在加快用能结构转型、推进节能降碳、调整优化产业结构、强化资源节约集约、完善升级基础设施、加强先进适用技术应用、提升能碳管理能力、加强改革创新等方面所做的工作及成效</w:t>
      </w:r>
      <w:r>
        <w:rPr>
          <w:rFonts w:hint="eastAsia"/>
        </w:rPr>
        <w:t>。</w:t>
      </w:r>
    </w:p>
    <w:p w14:paraId="55EF3A12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  <w:lang w:bidi="ar"/>
        </w:rPr>
      </w:pPr>
      <w:r>
        <w:rPr>
          <w:rFonts w:hint="eastAsia" w:eastAsia="黑体"/>
          <w:bCs/>
          <w:kern w:val="44"/>
          <w:szCs w:val="44"/>
          <w:lang w:bidi="ar"/>
        </w:rPr>
        <w:t>四、存在问题与挑战</w:t>
      </w:r>
    </w:p>
    <w:p w14:paraId="515BE802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/>
        </w:rPr>
        <w:t>分析推进零碳园区建设中遇到的困难及原因。</w:t>
      </w:r>
    </w:p>
    <w:p w14:paraId="1F7FA36B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  <w:lang w:bidi="ar"/>
        </w:rPr>
      </w:pPr>
      <w:r>
        <w:rPr>
          <w:rFonts w:hint="eastAsia" w:eastAsia="黑体"/>
          <w:bCs/>
          <w:kern w:val="44"/>
          <w:szCs w:val="44"/>
          <w:lang w:bidi="ar"/>
        </w:rPr>
        <w:t>五、保障措施</w:t>
      </w:r>
    </w:p>
    <w:p w14:paraId="07C6C570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/>
        </w:rPr>
        <w:t>简述组织方式、政策支持、能力建设等方面的具体举措。</w:t>
      </w:r>
    </w:p>
    <w:p w14:paraId="0BCE5115">
      <w:pPr>
        <w:keepNext/>
        <w:keepLines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0"/>
        <w:rPr>
          <w:rFonts w:eastAsia="黑体"/>
          <w:bCs/>
          <w:kern w:val="44"/>
          <w:szCs w:val="44"/>
          <w:lang w:bidi="ar"/>
        </w:rPr>
      </w:pPr>
      <w:r>
        <w:rPr>
          <w:rFonts w:hint="eastAsia" w:eastAsia="黑体"/>
          <w:bCs/>
          <w:kern w:val="44"/>
          <w:szCs w:val="44"/>
          <w:lang w:bidi="ar"/>
        </w:rPr>
        <w:t>六、下一步工作</w:t>
      </w:r>
    </w:p>
    <w:p w14:paraId="6A172BD0">
      <w:pPr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</w:pPr>
      <w:r>
        <w:rPr>
          <w:rFonts w:hint="eastAsia"/>
          <w:lang w:eastAsia="zh-CN"/>
        </w:rPr>
        <w:t>明确</w:t>
      </w:r>
      <w:r>
        <w:rPr>
          <w:rFonts w:hint="eastAsia"/>
        </w:rPr>
        <w:t>下年度重点</w:t>
      </w:r>
      <w:r>
        <w:rPr>
          <w:rFonts w:hint="eastAsia"/>
          <w:lang w:eastAsia="zh-CN"/>
        </w:rPr>
        <w:t>任务和</w:t>
      </w:r>
      <w:r>
        <w:rPr>
          <w:rFonts w:hint="eastAsia"/>
        </w:rPr>
        <w:t>项目</w:t>
      </w:r>
      <w:r>
        <w:rPr>
          <w:rFonts w:hint="eastAsia"/>
          <w:lang w:eastAsia="zh-CN"/>
        </w:rPr>
        <w:t>计划</w:t>
      </w:r>
      <w:r>
        <w:rPr>
          <w:rFonts w:hint="eastAsia"/>
        </w:rPr>
        <w:t>，提出政策建议。</w:t>
      </w:r>
    </w:p>
    <w:p w14:paraId="64DE5583">
      <w:pPr>
        <w:spacing w:line="580" w:lineRule="exact"/>
        <w:ind w:firstLine="0" w:firstLineChars="0"/>
      </w:pPr>
    </w:p>
    <w:p w14:paraId="56E90DC3">
      <w:pPr>
        <w:spacing w:line="580" w:lineRule="exact"/>
        <w:ind w:firstLine="0" w:firstLineChars="0"/>
      </w:pPr>
    </w:p>
    <w:p w14:paraId="72A2D07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ind w:firstLine="640"/>
      </w:pPr>
      <w:r>
        <w:separator/>
      </w:r>
    </w:p>
  </w:footnote>
  <w:footnote w:type="continuationSeparator" w:id="3">
    <w:p>
      <w:pPr>
        <w:ind w:firstLine="640"/>
      </w:pPr>
      <w:r>
        <w:continuationSeparator/>
      </w:r>
    </w:p>
  </w:footnote>
  <w:footnote w:id="0">
    <w:p w14:paraId="5555BA93">
      <w:pPr>
        <w:snapToGrid w:val="0"/>
        <w:ind w:firstLine="480"/>
        <w:rPr>
          <w:sz w:val="24"/>
        </w:rPr>
      </w:pPr>
      <w:r>
        <w:rPr>
          <w:rStyle w:val="7"/>
          <w:sz w:val="24"/>
        </w:rPr>
        <w:footnoteRef/>
      </w:r>
      <w:r>
        <w:rPr>
          <w:sz w:val="24"/>
        </w:rPr>
        <w:t xml:space="preserve"> </w:t>
      </w:r>
      <w:r>
        <w:rPr>
          <w:rFonts w:hint="eastAsia"/>
          <w:sz w:val="24"/>
        </w:rPr>
        <w:t>可再生能源电力使用量：包括非化石能源电力与绿证绿电交易。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59945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ind w:firstLine="36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33FD4"/>
    <w:rsid w:val="5D83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2026-03-26T09:27:00Z</dcterms:created>
  <dc:creator>ChenCL</dc:creator>
  <cp:lastModifiedBy>ChenCL</cp:lastModifiedBy>
  <dcterms:modified xsi:type="dcterms:W3CDTF">2026-03-26T09:28:31Z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AA951FB6C95A464CAFCE79FD923891C6_11</vt:lpwstr>
  </property>
  <property fmtid="{D5CDD505-2E9C-101B-9397-08002B2CF9AE}" pid="4" name="KSOTemplateDocerSaveRecord">
    <vt:lpwstr>eyJoZGlkIjoiNzFmZWJjOWQ3ZDQ4N2FiOWU0YzVkZDU1NDE0N2QzNzMifQ==</vt:lpwstr>
  </property>
</Properties>
</file>