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after="0" w:line="560" w:lineRule="exact"/>
        <w:ind w:left="0" w:leftChars="0" w:firstLine="0" w:firstLineChars="0"/>
        <w:jc w:val="both"/>
        <w:textAlignment w:val="auto"/>
        <w:rPr>
          <w:rFonts w:hint="eastAsia" w:ascii="Times New Roman" w:hAnsi="Times New Roman" w:eastAsia="黑体" w:cs="黑体"/>
          <w:sz w:val="32"/>
          <w:szCs w:val="32"/>
          <w:lang w:val="en-US" w:eastAsia="zh-CN"/>
        </w:rPr>
      </w:pPr>
      <w:bookmarkStart w:id="0" w:name="_GoBack"/>
      <w:bookmarkEnd w:id="0"/>
      <w:r>
        <w:rPr>
          <w:rFonts w:hint="eastAsia" w:ascii="Times New Roman" w:hAnsi="Times New Roman" w:eastAsia="黑体" w:cs="黑体"/>
          <w:sz w:val="32"/>
          <w:szCs w:val="32"/>
          <w:lang w:val="en-US" w:eastAsia="zh-CN"/>
        </w:rPr>
        <w:t>附件2</w:t>
      </w:r>
    </w:p>
    <w:p>
      <w:pPr>
        <w:pStyle w:val="2"/>
        <w:keepNext w:val="0"/>
        <w:keepLines w:val="0"/>
        <w:pageBreakBefore w:val="0"/>
        <w:widowControl w:val="0"/>
        <w:kinsoku/>
        <w:wordWrap/>
        <w:overflowPunct w:val="0"/>
        <w:topLinePunct w:val="0"/>
        <w:autoSpaceDE/>
        <w:autoSpaceDN/>
        <w:bidi w:val="0"/>
        <w:adjustRightInd/>
        <w:snapToGrid/>
        <w:spacing w:before="0" w:after="0" w:line="560" w:lineRule="exact"/>
        <w:ind w:left="0" w:leftChars="0" w:firstLine="0" w:firstLineChars="0"/>
        <w:jc w:val="both"/>
        <w:textAlignment w:val="auto"/>
        <w:rPr>
          <w:rFonts w:hint="default" w:ascii="Times New Roman" w:hAnsi="Times New Roman"/>
          <w:lang w:val="en-US" w:eastAsia="zh-CN"/>
        </w:rPr>
      </w:pPr>
    </w:p>
    <w:p>
      <w:pPr>
        <w:keepNext w:val="0"/>
        <w:keepLines w:val="0"/>
        <w:pageBreakBefore w:val="0"/>
        <w:widowControl w:val="0"/>
        <w:kinsoku/>
        <w:wordWrap/>
        <w:overflowPunct w:val="0"/>
        <w:topLinePunct w:val="0"/>
        <w:autoSpaceDE/>
        <w:autoSpaceDN/>
        <w:bidi w:val="0"/>
        <w:adjustRightInd/>
        <w:snapToGrid/>
        <w:spacing w:after="0" w:line="560" w:lineRule="exact"/>
        <w:ind w:left="0" w:leftChars="0" w:firstLine="0" w:firstLineChars="0"/>
        <w:jc w:val="center"/>
        <w:textAlignment w:val="auto"/>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来宾市医疗废物处置收费调整方案</w:t>
      </w:r>
    </w:p>
    <w:p>
      <w:pPr>
        <w:keepNext w:val="0"/>
        <w:keepLines w:val="0"/>
        <w:pageBreakBefore w:val="0"/>
        <w:widowControl w:val="0"/>
        <w:kinsoku/>
        <w:wordWrap/>
        <w:overflowPunct w:val="0"/>
        <w:topLinePunct w:val="0"/>
        <w:autoSpaceDE/>
        <w:autoSpaceDN/>
        <w:bidi w:val="0"/>
        <w:adjustRightInd/>
        <w:snapToGrid/>
        <w:spacing w:after="0" w:line="560" w:lineRule="exact"/>
        <w:ind w:left="0" w:leftChars="0" w:firstLine="0" w:firstLineChars="0"/>
        <w:jc w:val="center"/>
        <w:textAlignment w:val="auto"/>
        <w:rPr>
          <w:rFonts w:hint="eastAsia" w:ascii="Times New Roman" w:hAnsi="Times New Roman" w:eastAsia="方正小标宋_GBK" w:cs="方正小标宋_GBK"/>
          <w:sz w:val="44"/>
          <w:szCs w:val="44"/>
          <w:lang w:eastAsia="zh-CN"/>
        </w:rPr>
      </w:pPr>
      <w:r>
        <w:rPr>
          <w:rFonts w:hint="eastAsia" w:ascii="Times New Roman" w:hAnsi="Times New Roman" w:eastAsia="方正小标宋_GBK" w:cs="方正小标宋_GBK"/>
          <w:sz w:val="44"/>
          <w:szCs w:val="44"/>
          <w:lang w:val="en-US" w:eastAsia="zh-CN"/>
        </w:rPr>
        <w:t>（征求意见稿）</w:t>
      </w:r>
      <w:r>
        <w:rPr>
          <w:rFonts w:hint="eastAsia" w:ascii="Times New Roman" w:hAnsi="Times New Roman" w:eastAsia="方正小标宋_GBK" w:cs="方正小标宋_GBK"/>
          <w:sz w:val="44"/>
          <w:szCs w:val="44"/>
          <w:lang w:eastAsia="zh-CN"/>
        </w:rPr>
        <w:t>起草说明</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rPr>
      </w:pP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根据来宾市产投环保工程有限公司申请，</w:t>
      </w:r>
      <w:r>
        <w:rPr>
          <w:rFonts w:hint="eastAsia" w:ascii="Times New Roman" w:hAnsi="Times New Roman" w:eastAsia="仿宋_GB2312" w:cs="仿宋_GB2312"/>
          <w:sz w:val="32"/>
          <w:szCs w:val="32"/>
          <w:lang w:val="en" w:eastAsia="zh-CN"/>
        </w:rPr>
        <w:t>我</w:t>
      </w:r>
      <w:r>
        <w:rPr>
          <w:rFonts w:hint="eastAsia" w:ascii="Times New Roman" w:hAnsi="Times New Roman" w:eastAsia="仿宋_GB2312" w:cs="仿宋_GB2312"/>
          <w:sz w:val="32"/>
          <w:szCs w:val="32"/>
          <w:lang w:val="en-US" w:eastAsia="zh-CN"/>
        </w:rPr>
        <w:t>委按程序开展来宾市医疗废物处置收费标准调价工作。经定价成本调查</w:t>
      </w:r>
      <w:r>
        <w:rPr>
          <w:rFonts w:hint="eastAsia" w:ascii="Times New Roman" w:hAnsi="Times New Roman" w:eastAsia="仿宋_GB2312" w:cs="仿宋_GB2312"/>
          <w:sz w:val="32"/>
          <w:szCs w:val="32"/>
          <w:lang w:val="en" w:eastAsia="zh-CN"/>
        </w:rPr>
        <w:t>，对经营企业进行营收测算，综合考虑各类医疗废物产生机构情况和计费方式、</w:t>
      </w:r>
      <w:r>
        <w:rPr>
          <w:rFonts w:hint="eastAsia" w:ascii="Times New Roman" w:hAnsi="Times New Roman" w:eastAsia="仿宋_GB2312" w:cs="仿宋_GB2312"/>
          <w:sz w:val="32"/>
          <w:szCs w:val="32"/>
          <w:lang w:val="en-US" w:eastAsia="zh-CN"/>
        </w:rPr>
        <w:t>医疗废物处置机构可持续发展和来宾实际情况等因素，</w:t>
      </w:r>
      <w:r>
        <w:rPr>
          <w:rFonts w:hint="eastAsia" w:ascii="Times New Roman" w:hAnsi="Times New Roman" w:eastAsia="仿宋_GB2312" w:cs="仿宋_GB2312"/>
          <w:sz w:val="32"/>
          <w:szCs w:val="32"/>
          <w:lang w:val="en" w:eastAsia="zh-CN"/>
        </w:rPr>
        <w:t>拟定</w:t>
      </w:r>
      <w:r>
        <w:rPr>
          <w:rFonts w:hint="eastAsia" w:ascii="Times New Roman" w:hAnsi="Times New Roman" w:eastAsia="仿宋_GB2312" w:cs="仿宋_GB2312"/>
          <w:sz w:val="32"/>
          <w:szCs w:val="32"/>
          <w:lang w:val="en-US" w:eastAsia="zh-CN"/>
        </w:rPr>
        <w:t>《来宾市医疗废物处置收费调整方案（征求意见稿）》。</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CN"/>
        </w:rPr>
        <w:t>我市医疗废物处置基本情况</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来宾市医疗废物处置中心（以下简称医废中心）位于来宾市兴宾区城厢镇莆田村，占地面积4910㎡，土地使用权证号：来国用（2012）第0908020120号，土地使用权类型为划拨；土地使用权所有人是来宾工投公司。</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医废中心现有2条生产线，其中正在运行的是日处理5吨医疗废物的高温蒸煮灭菌生产线，另外一条是日处理10吨的焚烧生产线，焚烧生产线于2023年因为工程纠纷问题停止运行，目前法院判决要求设备供应商拆除设备，退还部分设备款。</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sz w:val="32"/>
          <w:szCs w:val="32"/>
          <w:lang w:val="en-US" w:eastAsia="zh-CN"/>
        </w:rPr>
        <w:t>医废中心于2022年11月1日起由依法取得危险废物经营许可资质的</w:t>
      </w:r>
      <w:r>
        <w:rPr>
          <w:rFonts w:hint="eastAsia" w:ascii="Times New Roman" w:hAnsi="Times New Roman" w:eastAsia="仿宋_GB2312" w:cs="仿宋_GB2312"/>
          <w:sz w:val="32"/>
          <w:szCs w:val="32"/>
        </w:rPr>
        <w:t>来宾</w:t>
      </w:r>
      <w:r>
        <w:rPr>
          <w:rFonts w:hint="eastAsia" w:ascii="Times New Roman" w:hAnsi="Times New Roman" w:eastAsia="仿宋_GB2312" w:cs="仿宋_GB2312"/>
          <w:sz w:val="32"/>
          <w:szCs w:val="32"/>
          <w:lang w:eastAsia="zh-CN"/>
        </w:rPr>
        <w:t>市产投环保工程</w:t>
      </w:r>
      <w:r>
        <w:rPr>
          <w:rFonts w:hint="eastAsia" w:ascii="Times New Roman" w:hAnsi="Times New Roman" w:eastAsia="仿宋_GB2312" w:cs="仿宋_GB2312"/>
          <w:sz w:val="32"/>
          <w:szCs w:val="32"/>
        </w:rPr>
        <w:t>有限</w:t>
      </w:r>
      <w:r>
        <w:rPr>
          <w:rFonts w:hint="eastAsia" w:ascii="Times New Roman" w:hAnsi="Times New Roman" w:eastAsia="仿宋_GB2312" w:cs="仿宋_GB2312"/>
          <w:b w:val="0"/>
          <w:bCs w:val="0"/>
          <w:sz w:val="32"/>
          <w:szCs w:val="32"/>
          <w:lang w:val="en-US" w:eastAsia="zh-CN"/>
        </w:rPr>
        <w:t>公司负责运营，目前按照《关于来宾市医疗废物处置收费有关问题的通知》（来发改价格〔2022〕241号）及《来宾市发展和改革委员会关于延长来宾市医疗废物处置收费试行期的通知》（来发改价格〔2024〕168号）收取医疗废物处置服务费，收费试行至2025年9月底满期。</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2020至2024年来宾市医疗废物处置量分别为1046.27吨、1454.26吨、1867.72吨、1631.79吨、1702.31吨，除疫情影响导致处置量额外增加外，近五年医疗废物的处置量逐年上升，已做到全部覆盖来宾市辖区范围内乡镇及以上医疗机构，很好的完成了上级下达的处置任务，确保医废处置安全稳定。</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val="en" w:eastAsia="zh-CN"/>
        </w:rPr>
        <w:t>定</w:t>
      </w:r>
      <w:r>
        <w:rPr>
          <w:rFonts w:hint="eastAsia" w:ascii="黑体" w:hAnsi="黑体" w:eastAsia="黑体" w:cs="黑体"/>
          <w:sz w:val="32"/>
          <w:szCs w:val="32"/>
          <w:lang w:val="en"/>
        </w:rPr>
        <w:t>价依据</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根据《中华人民共和国价格法》、《政府制定价格行为规则》（中华人民共和国国家发展和改革委员会令 第7号）及《广西壮族自治区定价目录》（桂发改收费规〔2021〕1224号）等规定，医疗废物处置费收费标准授权市人民政府制定，价格主管部门负责具体工作。</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三、</w:t>
      </w:r>
      <w:r>
        <w:rPr>
          <w:rFonts w:hint="eastAsia" w:ascii="黑体" w:hAnsi="黑体" w:eastAsia="黑体" w:cs="黑体"/>
          <w:sz w:val="32"/>
          <w:szCs w:val="32"/>
          <w:lang w:val="en-US" w:eastAsia="zh-CN"/>
        </w:rPr>
        <w:t>收费标准调整情况</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收费标准调整对比表：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5"/>
        <w:gridCol w:w="1815"/>
        <w:gridCol w:w="1890"/>
        <w:gridCol w:w="1650"/>
        <w:gridCol w:w="1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类   别</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当前标准</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拟定标准</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调高幅度 （%）</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区内高低排位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both"/>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rPr>
              <w:t>三级医院</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rPr>
              <w:t>2.70元/床·日</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lang w:val="en-US" w:eastAsia="zh-CN"/>
              </w:rPr>
              <w:t>3.0</w:t>
            </w:r>
            <w:r>
              <w:rPr>
                <w:rFonts w:hint="eastAsia" w:ascii="Times New Roman" w:hAnsi="Times New Roman" w:eastAsia="仿宋_GB2312" w:cs="仿宋_GB2312"/>
                <w:sz w:val="24"/>
                <w:szCs w:val="24"/>
              </w:rPr>
              <w:t>元/床·日</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11.11</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both"/>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二级医院</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rPr>
              <w:t>2.30元/床·日</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lang w:val="en-US" w:eastAsia="zh-CN"/>
              </w:rPr>
              <w:t>2.6</w:t>
            </w:r>
            <w:r>
              <w:rPr>
                <w:rFonts w:hint="eastAsia" w:ascii="Times New Roman" w:hAnsi="Times New Roman" w:eastAsia="仿宋_GB2312" w:cs="仿宋_GB2312"/>
                <w:sz w:val="24"/>
                <w:szCs w:val="24"/>
              </w:rPr>
              <w:t>元/床·日</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13.04</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both"/>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一级医院、中心卫生院</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0.90元/床·日</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1.05元/床·日</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16.67</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both"/>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普通卫生院、社区卫生服务中心</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0.8元/床·日</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0.95元/床·日</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18.75</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both"/>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无固定床位医疗机构（超2kg/天）</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3.6元/kg</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4.48元/kg</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24.44</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both"/>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市区无固定床位医疗机构（低于2kg/天）</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最高200元/月</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最高230元/月</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15.00</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both"/>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县城及乡镇无固定床位医疗机构（低于2kg/天）</w:t>
            </w:r>
          </w:p>
        </w:tc>
        <w:tc>
          <w:tcPr>
            <w:tcW w:w="1815"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最高120元/月</w:t>
            </w:r>
          </w:p>
        </w:tc>
        <w:tc>
          <w:tcPr>
            <w:tcW w:w="189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最高136元/月</w:t>
            </w:r>
          </w:p>
        </w:tc>
        <w:tc>
          <w:tcPr>
            <w:tcW w:w="1650"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15.00</w:t>
            </w:r>
          </w:p>
        </w:tc>
        <w:tc>
          <w:tcPr>
            <w:tcW w:w="1084" w:type="dxa"/>
            <w:vAlign w:val="center"/>
          </w:tcPr>
          <w:p>
            <w:pPr>
              <w:keepNext w:val="0"/>
              <w:keepLines w:val="0"/>
              <w:pageBreakBefore w:val="0"/>
              <w:widowControl w:val="0"/>
              <w:kinsoku/>
              <w:wordWrap/>
              <w:overflowPunct w:val="0"/>
              <w:topLinePunct w:val="0"/>
              <w:autoSpaceDE/>
              <w:autoSpaceDN/>
              <w:bidi w:val="0"/>
              <w:adjustRightInd/>
              <w:snapToGrid/>
              <w:spacing w:after="0" w:line="360" w:lineRule="exact"/>
              <w:ind w:left="0" w:firstLine="0" w:firstLineChars="0"/>
              <w:jc w:val="center"/>
              <w:textAlignment w:val="auto"/>
              <w:rPr>
                <w:rFonts w:hint="eastAsia" w:ascii="Times New Roman" w:hAnsi="Times New Roman" w:eastAsia="仿宋_GB2312" w:cs="仿宋_GB2312"/>
                <w:sz w:val="24"/>
                <w:szCs w:val="24"/>
                <w:vertAlign w:val="baseline"/>
                <w:lang w:val="en-US" w:eastAsia="zh-CN"/>
              </w:rPr>
            </w:pPr>
          </w:p>
        </w:tc>
      </w:tr>
    </w:tbl>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四、收费调整的考虑</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（一）补偿定价成本</w:t>
      </w:r>
    </w:p>
    <w:p>
      <w:pPr>
        <w:keepNext w:val="0"/>
        <w:keepLines w:val="0"/>
        <w:pageBreakBefore w:val="0"/>
        <w:widowControl w:val="0"/>
        <w:kinsoku/>
        <w:wordWrap/>
        <w:overflowPunct w:val="0"/>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仿宋_GB2312" w:cs="仿宋_GB2312"/>
          <w:color w:val="000000"/>
          <w:sz w:val="32"/>
          <w:szCs w:val="32"/>
          <w:lang w:eastAsia="zh-CN"/>
        </w:rPr>
        <w:t>根据《广西壮族自治区物价局关于印发广西壮族自治区服务价格管理办法的通知》（桂价费〔20</w:t>
      </w:r>
      <w:r>
        <w:rPr>
          <w:rFonts w:hint="eastAsia" w:ascii="Times New Roman" w:hAnsi="Times New Roman" w:eastAsia="仿宋_GB2312" w:cs="仿宋_GB2312"/>
          <w:color w:val="000000"/>
          <w:sz w:val="32"/>
          <w:szCs w:val="32"/>
          <w:lang w:val="en-US" w:eastAsia="zh-CN"/>
        </w:rPr>
        <w:t>12</w:t>
      </w:r>
      <w:r>
        <w:rPr>
          <w:rFonts w:hint="eastAsia" w:ascii="Times New Roman" w:hAnsi="Times New Roman" w:eastAsia="仿宋_GB2312" w:cs="仿宋_GB2312"/>
          <w:color w:val="000000"/>
          <w:sz w:val="32"/>
          <w:szCs w:val="32"/>
          <w:lang w:eastAsia="zh-CN"/>
        </w:rPr>
        <w:t>〕66号），制定和调整实行政府定价、政府指导价的服务价格必须遵循成本补偿原则。我委于202</w:t>
      </w:r>
      <w:r>
        <w:rPr>
          <w:rFonts w:hint="eastAsia" w:ascii="Times New Roman" w:hAnsi="Times New Roman" w:eastAsia="仿宋_GB2312" w:cs="仿宋_GB2312"/>
          <w:color w:val="000000"/>
          <w:sz w:val="32"/>
          <w:szCs w:val="32"/>
          <w:lang w:val="en-US" w:eastAsia="zh-CN"/>
        </w:rPr>
        <w:t>5</w:t>
      </w:r>
      <w:r>
        <w:rPr>
          <w:rFonts w:hint="eastAsia" w:ascii="Times New Roman" w:hAnsi="Times New Roman" w:eastAsia="仿宋_GB2312" w:cs="仿宋_GB2312"/>
          <w:color w:val="000000"/>
          <w:sz w:val="32"/>
          <w:szCs w:val="32"/>
          <w:lang w:eastAsia="zh-CN"/>
        </w:rPr>
        <w:t>年</w:t>
      </w:r>
      <w:r>
        <w:rPr>
          <w:rFonts w:hint="eastAsia" w:ascii="Times New Roman" w:hAnsi="Times New Roman" w:eastAsia="仿宋_GB2312" w:cs="仿宋_GB2312"/>
          <w:color w:val="000000"/>
          <w:sz w:val="32"/>
          <w:szCs w:val="32"/>
          <w:lang w:val="en-US" w:eastAsia="zh-CN"/>
        </w:rPr>
        <w:t>6</w:t>
      </w:r>
      <w:r>
        <w:rPr>
          <w:rFonts w:hint="eastAsia" w:ascii="Times New Roman" w:hAnsi="Times New Roman" w:eastAsia="仿宋_GB2312" w:cs="仿宋_GB2312"/>
          <w:color w:val="000000"/>
          <w:sz w:val="32"/>
          <w:szCs w:val="32"/>
          <w:lang w:eastAsia="zh-CN"/>
        </w:rPr>
        <w:t>月</w:t>
      </w:r>
      <w:r>
        <w:rPr>
          <w:rFonts w:hint="eastAsia" w:ascii="Times New Roman" w:hAnsi="Times New Roman" w:eastAsia="仿宋_GB2312" w:cs="仿宋_GB2312"/>
          <w:color w:val="000000"/>
          <w:sz w:val="32"/>
          <w:szCs w:val="32"/>
          <w:lang w:val="en-US" w:eastAsia="zh-CN"/>
        </w:rPr>
        <w:t>17</w:t>
      </w:r>
      <w:r>
        <w:rPr>
          <w:rFonts w:hint="eastAsia" w:ascii="Times New Roman" w:hAnsi="Times New Roman" w:eastAsia="仿宋_GB2312" w:cs="仿宋_GB2312"/>
          <w:color w:val="000000"/>
          <w:sz w:val="32"/>
          <w:szCs w:val="32"/>
          <w:lang w:eastAsia="zh-CN"/>
        </w:rPr>
        <w:t>日至</w:t>
      </w:r>
      <w:r>
        <w:rPr>
          <w:rFonts w:hint="eastAsia" w:ascii="Times New Roman" w:hAnsi="Times New Roman" w:eastAsia="仿宋_GB2312" w:cs="仿宋_GB2312"/>
          <w:color w:val="000000"/>
          <w:sz w:val="32"/>
          <w:szCs w:val="32"/>
          <w:lang w:val="en-US" w:eastAsia="zh-CN"/>
        </w:rPr>
        <w:t>2025年7</w:t>
      </w:r>
      <w:r>
        <w:rPr>
          <w:rFonts w:hint="eastAsia" w:ascii="Times New Roman" w:hAnsi="Times New Roman" w:eastAsia="仿宋_GB2312" w:cs="仿宋_GB2312"/>
          <w:color w:val="000000"/>
          <w:sz w:val="32"/>
          <w:szCs w:val="32"/>
          <w:lang w:eastAsia="zh-CN"/>
        </w:rPr>
        <w:t>月</w:t>
      </w:r>
      <w:r>
        <w:rPr>
          <w:rFonts w:hint="eastAsia" w:ascii="Times New Roman" w:hAnsi="Times New Roman" w:eastAsia="仿宋_GB2312" w:cs="仿宋_GB2312"/>
          <w:color w:val="000000"/>
          <w:sz w:val="32"/>
          <w:szCs w:val="32"/>
          <w:lang w:val="en-US" w:eastAsia="zh-CN"/>
        </w:rPr>
        <w:t>18</w:t>
      </w:r>
      <w:r>
        <w:rPr>
          <w:rFonts w:hint="eastAsia" w:ascii="Times New Roman" w:hAnsi="Times New Roman" w:eastAsia="仿宋_GB2312" w:cs="仿宋_GB2312"/>
          <w:color w:val="000000"/>
          <w:sz w:val="32"/>
          <w:szCs w:val="32"/>
          <w:lang w:eastAsia="zh-CN"/>
        </w:rPr>
        <w:t>日对来宾市产投环保工程有限公司医疗废物处置费定价成本进行调查，经调查，定价</w:t>
      </w:r>
      <w:r>
        <w:rPr>
          <w:rFonts w:hint="eastAsia" w:ascii="Times New Roman" w:hAnsi="Times New Roman" w:eastAsia="仿宋_GB2312" w:cs="仿宋_GB2312"/>
          <w:color w:val="000000"/>
          <w:sz w:val="32"/>
          <w:szCs w:val="32"/>
          <w:lang w:val="en-US" w:eastAsia="zh-CN"/>
        </w:rPr>
        <w:t>总</w:t>
      </w:r>
      <w:r>
        <w:rPr>
          <w:rFonts w:hint="eastAsia" w:ascii="Times New Roman" w:hAnsi="Times New Roman" w:eastAsia="仿宋_GB2312" w:cs="仿宋_GB2312"/>
          <w:color w:val="000000"/>
          <w:sz w:val="32"/>
          <w:szCs w:val="32"/>
          <w:lang w:eastAsia="zh-CN"/>
        </w:rPr>
        <w:t>成本</w:t>
      </w:r>
      <w:r>
        <w:rPr>
          <w:rFonts w:hint="eastAsia" w:ascii="Times New Roman" w:hAnsi="Times New Roman" w:eastAsia="仿宋_GB2312" w:cs="仿宋_GB2312"/>
          <w:color w:val="000000"/>
          <w:sz w:val="32"/>
          <w:szCs w:val="32"/>
          <w:lang w:val="en-US" w:eastAsia="zh-CN"/>
        </w:rPr>
        <w:t>为747.46万元/年，</w:t>
      </w:r>
      <w:r>
        <w:rPr>
          <w:rFonts w:hint="eastAsia" w:ascii="Times New Roman" w:hAnsi="Times New Roman" w:eastAsia="仿宋_GB2312" w:cs="仿宋_GB2312"/>
          <w:color w:val="000000"/>
          <w:sz w:val="32"/>
          <w:szCs w:val="32"/>
          <w:lang w:eastAsia="zh-CN"/>
        </w:rPr>
        <w:t>定价单位成本为</w:t>
      </w:r>
      <w:r>
        <w:rPr>
          <w:rFonts w:hint="eastAsia" w:ascii="Times New Roman" w:hAnsi="Times New Roman" w:eastAsia="仿宋_GB2312" w:cs="仿宋_GB2312"/>
          <w:color w:val="000000"/>
          <w:sz w:val="32"/>
          <w:szCs w:val="32"/>
          <w:lang w:val="en-US" w:eastAsia="zh-CN"/>
        </w:rPr>
        <w:t>4.48元/公斤</w:t>
      </w:r>
      <w:r>
        <w:rPr>
          <w:rFonts w:hint="eastAsia" w:ascii="Times New Roman" w:hAnsi="Times New Roman" w:eastAsia="仿宋_GB2312" w:cs="仿宋_GB2312"/>
          <w:color w:val="000000"/>
          <w:sz w:val="32"/>
          <w:szCs w:val="32"/>
          <w:lang w:eastAsia="zh-CN"/>
        </w:rPr>
        <w:t>。根据拟定标准及</w:t>
      </w:r>
      <w:r>
        <w:rPr>
          <w:rFonts w:hint="eastAsia" w:ascii="Times New Roman" w:hAnsi="Times New Roman" w:eastAsia="仿宋_GB2312" w:cs="仿宋_GB2312"/>
          <w:color w:val="000000"/>
          <w:sz w:val="32"/>
          <w:szCs w:val="32"/>
          <w:lang w:val="en-US" w:eastAsia="zh-CN"/>
        </w:rPr>
        <w:t>2024年医疗废物处置情况测算，年营收额为747.93万元/年，已覆盖定价成本。</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（二）考虑付费单位负担</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eastAsia="zh-CN"/>
        </w:rPr>
        <w:t>为了促进行业健康可持续发展，拟定标准与现行标准比全部上调，以确保覆盖定价成本。同时，结合各类医疗废物产生单位实际情况，兼顾效益和公平，尽量控制调价幅度，各类缴费单位价格上调幅度略有不同。除了按重量计费的类型标准调整至成本调查核定的单位成本，调价幅度提高</w:t>
      </w:r>
      <w:r>
        <w:rPr>
          <w:rFonts w:hint="eastAsia" w:ascii="Times New Roman" w:hAnsi="Times New Roman" w:eastAsia="仿宋_GB2312" w:cs="仿宋_GB2312"/>
          <w:sz w:val="32"/>
          <w:szCs w:val="32"/>
          <w:lang w:val="en-US" w:eastAsia="zh-CN"/>
        </w:rPr>
        <w:t>24.44%外，其他机构类型的调价幅度均低于20%，为11%-18%不等，避免调价幅度过高给缴费单位增加太大经济负担。</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根据2024年数据测算，市人民医院增加支出11万元，兴宾区和武宣县人民医院增加支出5万元，忻城县和象州县人民医院增加支出4万元，市中医院和合山市人民医院增加支出3万元，象州县和武宣县中医院、金秀县人民医院、武宣双林单采血浆有限公司增加支出2万多元，其余缴费机构增加支出都低于2万元。</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（三）拟定标准在区内处于中下游水平</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三级医院拟定标准低于柳州市、北海市和南宁市的标准，区内由高到低排位第4-7位（有4个地市并列）；二级医院拟定标准区内由高到低排位第6-8位；一级医院、中心卫生院、普通卫生院以及社区卫生服务中心拟定标准区内由高到低排位第13位</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拟定标准基本符合桂价费〔20</w:t>
      </w:r>
      <w:r>
        <w:rPr>
          <w:rFonts w:hint="eastAsia" w:ascii="Times New Roman" w:hAnsi="Times New Roman" w:eastAsia="仿宋_GB2312" w:cs="仿宋_GB2312"/>
          <w:sz w:val="32"/>
          <w:szCs w:val="32"/>
          <w:lang w:val="en-US" w:eastAsia="zh-CN"/>
        </w:rPr>
        <w:t>12</w:t>
      </w:r>
      <w:r>
        <w:rPr>
          <w:rFonts w:hint="eastAsia" w:ascii="Times New Roman" w:hAnsi="Times New Roman" w:eastAsia="仿宋_GB2312" w:cs="仿宋_GB2312"/>
          <w:sz w:val="32"/>
          <w:szCs w:val="32"/>
          <w:lang w:eastAsia="zh-CN"/>
        </w:rPr>
        <w:t>〕66号文件规定的，对资质等级、社会信誉以及服务质量差异较大的服务项目,实行价格等级管理,依质分等、按质定价,并保持合理的等级差价；符合当地经济发展水平和兼顾社会承受能力等定价原则。</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五、影响分析</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（一）对社会的影响分析</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我国《医疗废物管理条例》、《固体废物污染环境防治法》等法律法规明确要求对医疗废物进行集中无害化处置并实行危险废物处置收费制度。规范的处置和收费机制，从源头上切断了医疗废物非法倒卖、随意丢弃的利益链条（例如，原本被非法回收的一次性输液瓶/袋等），确保了所有医疗废物都能得到无害化处理，极大降低了疾病传播、环境污染（土壤、水体污染）和人身伤害（如针头扎伤）的风险，最终保护的是公众健康和生态环境安全，提升整体环境与公共健康安全。</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（二）对经营单位的影响</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医疗废物的安全处置是一个高成本过程，涉及专用包装、分类收集、密闭运输、高温焚烧或高压蒸汽处理等环节，需要专业公司、专用车辆和设备以及合格的处置场所。通过向医疗机构收取处置费，可以为专业的处置企业提供稳定的资金来源，用于覆盖其运营成本（人力、车辆、设备维护、能源消耗等）、技术研发升级以及扩大再生产，从而确保整个处置链条能够长期、稳定、高效地运转，避免因资金短缺而导致处理不力或系统瘫痪。根据拟定标准测算，营业收入已能覆盖经营成本，与现执行标准比，营业收费增加90多万元，极大缓解企业经营压力，保证企业的健康可持续发展。</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（三）对医疗废物产生单位的影响</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贯彻“污染者付费”原则，产生污染（医疗废物）的主体（医疗机构）应当承担起治理污染的成本。医疗废物处置机制将医疗废物的外部环境成本内部化，明确了医疗机构作为责任主体的经济责任，体现了环境公平。同时，也面临一定的挑战与消极影响。</w:t>
      </w:r>
      <w:r>
        <w:rPr>
          <w:rFonts w:hint="eastAsia" w:ascii="Times New Roman" w:hAnsi="Times New Roman" w:eastAsia="仿宋_GB2312" w:cs="仿宋_GB2312"/>
          <w:b/>
          <w:bCs/>
          <w:sz w:val="32"/>
          <w:szCs w:val="32"/>
          <w:lang w:val="en-US" w:eastAsia="zh-CN"/>
        </w:rPr>
        <w:t>一是</w:t>
      </w:r>
      <w:r>
        <w:rPr>
          <w:rFonts w:hint="eastAsia" w:ascii="Times New Roman" w:hAnsi="Times New Roman" w:eastAsia="仿宋_GB2312" w:cs="仿宋_GB2312"/>
          <w:sz w:val="32"/>
          <w:szCs w:val="32"/>
          <w:lang w:val="en-US" w:eastAsia="zh-CN"/>
        </w:rPr>
        <w:t>增加医疗机构的运营成本。特别是对于小型诊所、社区卫生服务中心等基层医疗机构，处置费是一笔不小的新增开支，可能会挤压其本就不宽裕的运营资金。</w:t>
      </w:r>
      <w:r>
        <w:rPr>
          <w:rFonts w:hint="eastAsia" w:ascii="Times New Roman" w:hAnsi="Times New Roman" w:eastAsia="仿宋_GB2312" w:cs="仿宋_GB2312"/>
          <w:b/>
          <w:bCs/>
          <w:sz w:val="32"/>
          <w:szCs w:val="32"/>
          <w:lang w:val="en-US" w:eastAsia="zh-CN"/>
        </w:rPr>
        <w:t>二是</w:t>
      </w:r>
      <w:r>
        <w:rPr>
          <w:rFonts w:hint="eastAsia" w:ascii="Times New Roman" w:hAnsi="Times New Roman" w:eastAsia="仿宋_GB2312" w:cs="仿宋_GB2312"/>
          <w:sz w:val="32"/>
          <w:szCs w:val="32"/>
          <w:lang w:val="en-US" w:eastAsia="zh-CN"/>
        </w:rPr>
        <w:t>成本转嫁风险。部分医疗机构可能会试图将增加的处置成本通过各种方式转嫁给患者，间接推高医疗费用，引发社会公平性质疑。因此，需要加强监管，防止不合理转嫁。</w:t>
      </w: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after="0" w:line="560" w:lineRule="exact"/>
        <w:ind w:left="0"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附件：广西各市医疗废物处置收费标准分析统计表</w:t>
      </w:r>
    </w:p>
    <w:sectPr>
      <w:headerReference r:id="rId5" w:type="default"/>
      <w:footerReference r:id="rId6" w:type="default"/>
      <w:pgSz w:w="11906" w:h="16838"/>
      <w:pgMar w:top="1587" w:right="1474" w:bottom="1417" w:left="1474"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PMingLiUfalt">
    <w:altName w:val="Droid Sans Fallback"/>
    <w:panose1 w:val="02020509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LNJWO7QAAAA&#10;BQEAAA8AAAAAAAAAAQAgAAAAOAAAAGRycy9kb3ducmV2LnhtbFBLAQIUABQAAAAIAIdO4kBz+GTZ&#10;DwIAAAcEAAAOAAAAAAAAAAEAIAAAADUBAABkcnMvZTJvRG9jLnhtbFBLBQYAAAAABgAGAFkBAAC2&#10;BQ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0" cy="0"/>
              <wp:effectExtent l="0" t="0" r="0" b="0"/>
              <wp:wrapNone/>
              <wp:docPr id="3" name="ImpTraceLabel"/>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ln>
                    </wps:spPr>
                    <wps:txbx>
                      <w:txbxContent>
                        <w:p>
                          <w:r>
                            <w:t>ImpTraceLabel=PD94bWwgdmVyc2lvbj0nMS4wJyBlbmNvZGluZz0nVVRGLTgnPz48dHJhY2U+PGNvbnRlbnQ+PC9jb250ZW50PjxhY2NvdW50PnlkczB3bnlpejAyejJqZjVoOWRtbTk8L2FjY291bnQ+PG1hY2hpbmVDb2RlPjIxMTQwOTI1NkcwMDE0NTM0CjwvbWFjaGluZUNvZGU+PHRpbWU+MjAyNS0wOS0wMiAxNjo1ODo1MTwvdGltZT48c3lzdGVtPk1CPHN5c3RlbT48L3RyYWNlPg==</w:t>
                          </w:r>
                        </w:p>
                      </w:txbxContent>
                    </wps:txbx>
                    <wps:bodyPr upright="1"/>
                  </wps:wsp>
                </a:graphicData>
              </a:graphic>
            </wp:anchor>
          </w:drawing>
        </mc:Choice>
        <mc:Fallback>
          <w:pict>
            <v:shape id="ImpTraceLabel" o:spid="_x0000_s1026" o:spt="202" type="#_x0000_t202" style="position:absolute;left:0pt;margin-left:0pt;margin-top:0pt;height:0pt;width:0pt;mso-position-horizontal-relative:page;mso-position-vertical-relative:page;z-index:251659264;mso-width-relative:page;mso-height-relative:page;" filled="f" stroked="f" coordsize="21600,21600" o:gfxdata="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">
              <v:fill on="f" focussize="0,0"/>
              <v:stroke on="f"/>
              <v:imagedata o:title=""/>
              <o:lock v:ext="edit" aspectratio="f"/>
              <v:textbox>
                <w:txbxContent>
                  <w:p>
                    <w:r>
                      <w:t>ImpTraceLabel=PD94bWwgdmVyc2lvbj0nMS4wJyBlbmNvZGluZz0nVVRGLTgnPz48dHJhY2U+PGNvbnRlbnQ+PC9jb250ZW50PjxhY2NvdW50PnlkczB3bnlpejAyejJqZjVoOWRtbTk8L2FjY291bnQ+PG1hY2hpbmVDb2RlPjIxMTQwOTI1NkcwMDE0NTM0CjwvbWFjaGluZUNvZGU+PHRpbWU+MjAyNS0wOS0wMiAxNjo1ODo1MTwvdGltZT48c3lzdGVtPk1CPHN5c3RlbT48L3RyYWNlPg==</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FF94FF2"/>
    <w:rsid w:val="53FCD2BB"/>
    <w:rsid w:val="70FE2456"/>
    <w:rsid w:val="B7FF0A47"/>
    <w:rsid w:val="BEDFEF66"/>
    <w:rsid w:val="DF75C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semiHidden/>
    <w:unhideWhenUsed/>
    <w:qFormat/>
    <w:uiPriority w:val="0"/>
    <w:pPr>
      <w:spacing w:before="0" w:beforeAutospacing="1" w:after="0" w:afterAutospacing="1"/>
      <w:jc w:val="left"/>
      <w:outlineLvl w:val="3"/>
    </w:pPr>
    <w:rPr>
      <w:rFonts w:hint="eastAsia" w:ascii="宋体" w:hAnsi="宋体" w:eastAsia="宋体" w:cs="宋体"/>
      <w:b/>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9"/>
      <w:ind w:left="108" w:firstLine="619"/>
      <w:jc w:val="left"/>
    </w:pPr>
    <w:rPr>
      <w:rFonts w:ascii="PMingLiUfalt" w:hAnsi="PMingLiUfalt" w:eastAsia="PMingLiUfalt" w:cs="PMingLiUfalt"/>
      <w:sz w:val="32"/>
      <w:szCs w:val="32"/>
    </w:rPr>
  </w:style>
  <w:style w:type="paragraph" w:customStyle="1" w:styleId="3">
    <w:name w:val="TOC 11"/>
    <w:next w:val="1"/>
    <w:qFormat/>
    <w:uiPriority w:val="0"/>
    <w:pPr>
      <w:spacing w:after="200" w:line="276" w:lineRule="auto"/>
      <w:jc w:val="both"/>
    </w:pPr>
    <w:rPr>
      <w:rFonts w:hint="default" w:ascii="Times New Roman" w:hAnsi="Times New Roman" w:eastAsia="宋体" w:cs="Times New Roman"/>
      <w:sz w:val="21"/>
      <w:szCs w:val="2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Title"/>
    <w:basedOn w:val="1"/>
    <w:next w:val="1"/>
    <w:qFormat/>
    <w:uiPriority w:val="10"/>
    <w:pPr>
      <w:spacing w:line="560" w:lineRule="exact"/>
      <w:jc w:val="center"/>
      <w:outlineLvl w:val="0"/>
    </w:pPr>
    <w:rPr>
      <w:rFonts w:hint="eastAsia" w:ascii="Calibri" w:hAnsi="Calibri" w:eastAsia="方正小标宋简体"/>
      <w:sz w:val="44"/>
    </w:rPr>
  </w:style>
  <w:style w:type="paragraph" w:styleId="10">
    <w:name w:val="Body Text First Indent"/>
    <w:basedOn w:val="2"/>
    <w:qFormat/>
    <w:uiPriority w:val="0"/>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2022-04-16T01:27:00Z</dcterms:created>
  <dc:creator>gxxc</dc:creator>
  <cp:lastModifiedBy>江媚</cp:lastModifiedBy>
  <cp:lastPrinted>2025-09-03T09:01:00Z</cp:lastPrinted>
  <dcterms:modified xsi:type="dcterms:W3CDTF">2025-09-08T15:44:18Z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