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195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jc w:val="both"/>
        <w:rPr>
          <w:rFonts w:hint="default" w:ascii="Times New Roman" w:hAnsi="Times New Roman" w:eastAsia="黑体" w:cs="Times New Roman"/>
          <w:b w:val="0"/>
          <w:bCs/>
          <w:i w:val="0"/>
          <w:sz w:val="32"/>
          <w:szCs w:val="32"/>
          <w:lang w:val="en-US" w:eastAsia="zh-CN"/>
        </w:rPr>
      </w:pPr>
      <w:r>
        <w:rPr>
          <w:rFonts w:hint="default" w:ascii="Times New Roman" w:hAnsi="Times New Roman" w:eastAsia="黑体" w:cs="Times New Roman"/>
          <w:b w:val="0"/>
          <w:bCs/>
          <w:i w:val="0"/>
          <w:sz w:val="32"/>
          <w:szCs w:val="32"/>
          <w:lang w:eastAsia="zh-CN"/>
        </w:rPr>
        <w:t>附件</w:t>
      </w:r>
      <w:r>
        <w:rPr>
          <w:rFonts w:hint="default" w:ascii="Times New Roman" w:hAnsi="Times New Roman" w:eastAsia="黑体" w:cs="Times New Roman"/>
          <w:b w:val="0"/>
          <w:bCs/>
          <w:i w:val="0"/>
          <w:sz w:val="32"/>
          <w:szCs w:val="32"/>
          <w:lang w:val="en-US" w:eastAsia="zh-CN"/>
        </w:rPr>
        <w:t>1</w:t>
      </w:r>
    </w:p>
    <w:p w14:paraId="2A045A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jc w:val="both"/>
        <w:rPr>
          <w:rFonts w:hint="default" w:ascii="Times New Roman" w:hAnsi="Times New Roman" w:eastAsia="黑体" w:cs="Times New Roman"/>
          <w:b w:val="0"/>
          <w:bCs/>
          <w:i w:val="0"/>
          <w:sz w:val="32"/>
          <w:szCs w:val="32"/>
          <w:lang w:val="en-US" w:eastAsia="zh-CN"/>
        </w:rPr>
      </w:pPr>
    </w:p>
    <w:p w14:paraId="7D13F7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jc w:val="center"/>
        <w:rPr>
          <w:rFonts w:hint="default" w:ascii="Times New Roman" w:hAnsi="Times New Roman" w:eastAsia="方正小标宋简体" w:cs="Times New Roman"/>
          <w:b/>
          <w:bCs w:val="0"/>
          <w:i w:val="0"/>
          <w:sz w:val="40"/>
          <w:szCs w:val="40"/>
        </w:rPr>
      </w:pPr>
      <w:r>
        <w:rPr>
          <w:rFonts w:hint="default" w:ascii="Times New Roman" w:hAnsi="Times New Roman" w:eastAsia="方正小标宋简体" w:cs="Times New Roman"/>
          <w:b/>
          <w:bCs w:val="0"/>
          <w:i w:val="0"/>
          <w:sz w:val="40"/>
          <w:szCs w:val="40"/>
        </w:rPr>
        <w:t>工业和信息化部办公厅关于开展数字赋能基层减负典型案例推荐</w:t>
      </w:r>
      <w:bookmarkStart w:id="0" w:name="_GoBack"/>
      <w:bookmarkEnd w:id="0"/>
      <w:r>
        <w:rPr>
          <w:rFonts w:hint="default" w:ascii="Times New Roman" w:hAnsi="Times New Roman" w:eastAsia="方正小标宋简体" w:cs="Times New Roman"/>
          <w:b/>
          <w:bCs w:val="0"/>
          <w:i w:val="0"/>
          <w:sz w:val="40"/>
          <w:szCs w:val="40"/>
        </w:rPr>
        <w:t>工作的通知</w:t>
      </w:r>
    </w:p>
    <w:p w14:paraId="7014F5AD">
      <w:pPr>
        <w:pStyle w:val="3"/>
        <w:topLinePunct/>
        <w:autoSpaceDE w:val="0"/>
        <w:spacing w:after="0" w:line="600" w:lineRule="exact"/>
        <w:rPr>
          <w:rFonts w:hint="default" w:ascii="Times New Roman" w:hAnsi="Times New Roman" w:eastAsia="仿宋_GB2312" w:cs="Times New Roman"/>
          <w:sz w:val="32"/>
          <w:szCs w:val="32"/>
        </w:rPr>
      </w:pPr>
    </w:p>
    <w:p w14:paraId="230666F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jc w:val="left"/>
        <w:textAlignment w:val="auto"/>
        <w:rPr>
          <w:rFonts w:hint="default" w:ascii="Times New Roman" w:hAnsi="Times New Roman" w:eastAsia="仿宋_GB2312" w:cs="Times New Roman"/>
          <w:i w:val="0"/>
          <w:sz w:val="32"/>
          <w:szCs w:val="32"/>
        </w:rPr>
      </w:pPr>
      <w:r>
        <w:rPr>
          <w:rFonts w:hint="default" w:ascii="Times New Roman" w:hAnsi="Times New Roman" w:eastAsia="仿宋_GB2312" w:cs="Times New Roman"/>
          <w:i w:val="0"/>
          <w:color w:val="070707"/>
          <w:sz w:val="32"/>
          <w:szCs w:val="32"/>
        </w:rPr>
        <w:t>各省、自治区、直辖市及计划单列市、新疆生产建设兵团工业和信息化主管部门，各有关中央企业：</w:t>
      </w:r>
    </w:p>
    <w:p w14:paraId="11CEDD1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仿宋_GB2312" w:cs="Times New Roman"/>
          <w:i w:val="0"/>
          <w:color w:val="070707"/>
          <w:sz w:val="32"/>
          <w:szCs w:val="32"/>
        </w:rPr>
        <w:t>为深入贯彻落实习近平总书记关于整治形式主义为基层减负的重要指示精神，推动破解基层治理“小马拉大车”突出问题，充分发挥典型案例示范引领作用，提升基层数字应用高质量供给，现请各地组织开展数字赋能基层减负典型案例推荐工作。有关事项通知如下：</w:t>
      </w:r>
    </w:p>
    <w:p w14:paraId="58DD466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黑体" w:cs="Times New Roman"/>
          <w:i w:val="0"/>
          <w:color w:val="070707"/>
          <w:sz w:val="32"/>
          <w:szCs w:val="32"/>
        </w:rPr>
        <w:t>一、推荐范围</w:t>
      </w:r>
    </w:p>
    <w:p w14:paraId="1EA049A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仿宋_GB2312" w:cs="Times New Roman"/>
          <w:i w:val="0"/>
          <w:color w:val="070707"/>
          <w:sz w:val="32"/>
          <w:szCs w:val="32"/>
        </w:rPr>
        <w:t>数字赋能基层减负典型案例包括政务平台和政务移动应用，应在实践中积累了广泛的基层用户基础，解决方案切实减轻了基层工作人员的负担，具备较强的代表性、示范性和可推广性，对基层组织和相关行业具有较强借鉴意义和推广价值。具体包括四类：</w:t>
      </w:r>
    </w:p>
    <w:p w14:paraId="04037C2D">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楷体_GB2312" w:cs="Times New Roman"/>
          <w:i w:val="0"/>
          <w:color w:val="070707"/>
          <w:sz w:val="32"/>
          <w:szCs w:val="32"/>
        </w:rPr>
        <w:t>（一）直达基层政务办公平台</w:t>
      </w:r>
    </w:p>
    <w:p w14:paraId="7D861D8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仿宋_GB2312" w:cs="Times New Roman"/>
          <w:i w:val="0"/>
          <w:color w:val="070707"/>
          <w:sz w:val="32"/>
          <w:szCs w:val="32"/>
        </w:rPr>
        <w:t>推荐对象为：省级层面统筹建设的一体化基层政务办公平台，以及减轻基层工作负担效果显著的政务办公平台。典型案例应聚焦：统一身份认证和用户入口，整合各类基层政务应用，推进系统互联互通，推动数据集中共享，着力破解报表数量多、重复填报多、采集渠道多等突出问题，推动实现基层报表数据“只报一次”，切实减轻基层负担，提升基层治理效能。</w:t>
      </w:r>
    </w:p>
    <w:p w14:paraId="49533618">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楷体_GB2312" w:cs="Times New Roman"/>
          <w:i w:val="0"/>
          <w:color w:val="070707"/>
          <w:sz w:val="32"/>
          <w:szCs w:val="32"/>
        </w:rPr>
        <w:t>（二）民意速办平台</w:t>
      </w:r>
    </w:p>
    <w:p w14:paraId="7504C15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仿宋_GB2312" w:cs="Times New Roman"/>
          <w:i w:val="0"/>
          <w:color w:val="070707"/>
          <w:sz w:val="32"/>
          <w:szCs w:val="32"/>
        </w:rPr>
        <w:t>推荐对象为：民生服务诉求快速响应的政务服务平台。典型案例应聚焦：集成一体化政务服务入口、民众诉求快速分拨处置等功能，解决民众诉求受理渠道分散、重复提交材料、跨部门协同效率低等问题，推动实现民众办事“最多跑一次”，有效提升民众满意度、优化基层工作流程。</w:t>
      </w:r>
    </w:p>
    <w:p w14:paraId="554C46D5">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640" w:firstLineChars="200"/>
        <w:jc w:val="left"/>
        <w:textAlignment w:val="auto"/>
        <w:rPr>
          <w:rFonts w:hint="default" w:ascii="Times New Roman" w:hAnsi="Times New Roman" w:eastAsia="楷体_GB2312" w:cs="Times New Roman"/>
          <w:i w:val="0"/>
          <w:color w:val="070707"/>
          <w:sz w:val="32"/>
          <w:szCs w:val="32"/>
        </w:rPr>
      </w:pPr>
      <w:r>
        <w:rPr>
          <w:rFonts w:hint="default" w:ascii="Times New Roman" w:hAnsi="Times New Roman" w:eastAsia="楷体_GB2312" w:cs="Times New Roman"/>
          <w:i w:val="0"/>
          <w:color w:val="070707"/>
          <w:sz w:val="32"/>
          <w:szCs w:val="32"/>
        </w:rPr>
        <w:t>（三）人工智能</w:t>
      </w:r>
      <w:r>
        <w:rPr>
          <w:rFonts w:hint="default" w:ascii="Times New Roman" w:hAnsi="Times New Roman" w:eastAsia="楷体_GB2312" w:cs="Times New Roman"/>
          <w:i w:val="0"/>
          <w:color w:val="070707"/>
          <w:sz w:val="32"/>
          <w:szCs w:val="32"/>
          <w:lang w:val="en-US" w:eastAsia="zh-CN"/>
        </w:rPr>
        <w:t>+</w:t>
      </w:r>
      <w:r>
        <w:rPr>
          <w:rFonts w:hint="default" w:ascii="Times New Roman" w:hAnsi="Times New Roman" w:eastAsia="楷体_GB2312" w:cs="Times New Roman"/>
          <w:i w:val="0"/>
          <w:color w:val="070707"/>
          <w:sz w:val="32"/>
          <w:szCs w:val="32"/>
        </w:rPr>
        <w:t>基层治理应用</w:t>
      </w:r>
    </w:p>
    <w:p w14:paraId="4BF181D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仿宋_GB2312" w:cs="Times New Roman"/>
          <w:i w:val="0"/>
          <w:color w:val="070707"/>
          <w:sz w:val="32"/>
          <w:szCs w:val="32"/>
        </w:rPr>
        <w:t>推荐对象为：面向基层治理高频、重复性工作的智能化应用。典型案例应聚焦：人工智能辅助政策解读分析、报表自动生成填报、优化公共服务、风险预测预警等场景，着力破解政策理解落实有偏差、报表数据填报校核耗时、突发事件响应迟滞等问题，推动实现基层人工干预显著减少、事务处理效率大幅提升、预测预报效果较好。</w:t>
      </w:r>
    </w:p>
    <w:p w14:paraId="29D1FD5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640" w:firstLineChars="200"/>
        <w:jc w:val="left"/>
        <w:textAlignment w:val="auto"/>
        <w:rPr>
          <w:rFonts w:hint="default" w:ascii="Times New Roman" w:hAnsi="Times New Roman" w:eastAsia="楷体_GB2312" w:cs="Times New Roman"/>
          <w:i w:val="0"/>
          <w:color w:val="070707"/>
          <w:sz w:val="32"/>
          <w:szCs w:val="32"/>
        </w:rPr>
      </w:pPr>
      <w:r>
        <w:rPr>
          <w:rFonts w:hint="default" w:ascii="Times New Roman" w:hAnsi="Times New Roman" w:eastAsia="楷体_GB2312" w:cs="Times New Roman"/>
          <w:i w:val="0"/>
          <w:color w:val="070707"/>
          <w:sz w:val="32"/>
          <w:szCs w:val="32"/>
        </w:rPr>
        <w:t>（四）破解基层治理难点痛点应用</w:t>
      </w:r>
    </w:p>
    <w:p w14:paraId="257C66B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仿宋_GB2312" w:cs="Times New Roman"/>
          <w:i w:val="0"/>
          <w:color w:val="070707"/>
          <w:sz w:val="32"/>
          <w:szCs w:val="32"/>
        </w:rPr>
        <w:t>推荐对象为：解决基层治理重要问题的数字化应用。典型案例应聚焦：利用数字化手段，提升权责清单规范化管理水平、推动基层考核方式自动化、强化超大社区和城乡结合部等区域综合治理、优化重点人群信息动态监测、促进基层网格管理服务和风险隐患处置精准化，精确定位基层治理症结和创新治理理念。</w:t>
      </w:r>
    </w:p>
    <w:p w14:paraId="65D6470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黑体" w:cs="Times New Roman"/>
          <w:i w:val="0"/>
          <w:color w:val="070707"/>
          <w:sz w:val="32"/>
          <w:szCs w:val="32"/>
        </w:rPr>
        <w:t>二、推荐要求</w:t>
      </w:r>
    </w:p>
    <w:p w14:paraId="630FD793">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strike w:val="0"/>
          <w:dstrike w:val="0"/>
          <w:color w:val="070707"/>
          <w:sz w:val="32"/>
          <w:szCs w:val="32"/>
        </w:rPr>
      </w:pPr>
      <w:r>
        <w:rPr>
          <w:rFonts w:hint="default" w:ascii="Times New Roman" w:hAnsi="Times New Roman" w:eastAsia="仿宋_GB2312" w:cs="Times New Roman"/>
          <w:i w:val="0"/>
          <w:strike w:val="0"/>
          <w:dstrike w:val="0"/>
          <w:color w:val="070707"/>
          <w:sz w:val="32"/>
          <w:szCs w:val="32"/>
        </w:rPr>
        <w:t>请各省、自治区、直辖市和计划单列市、新疆生产建设兵团工业和信息化主管部门组织相关单位填写数字赋能基层减负典型案例情况介绍（附件1），审核后择优推荐，于2025年5月16日之前将推荐表（附件2）和案例情况介绍（以上材料纸质版一式两份，电子版刻盘）寄送至北京市海淀区万寿路27号院8号楼。有关中央企业参照上述程序组织本集团案例推荐工作。</w:t>
      </w:r>
    </w:p>
    <w:p w14:paraId="3FF337F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仿宋_GB2312" w:cs="Times New Roman"/>
          <w:i w:val="0"/>
          <w:color w:val="070707"/>
          <w:sz w:val="32"/>
          <w:szCs w:val="32"/>
        </w:rPr>
        <w:t>各省、自治区、直辖市工业和信息化主管部门推荐案例数量不超过10个，各计划单列市、新疆生产建设兵团工业和信息化主管部门及中央企业推荐案例数量不超过5个。</w:t>
      </w:r>
    </w:p>
    <w:p w14:paraId="37EA4B9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color w:val="070707"/>
          <w:sz w:val="32"/>
          <w:szCs w:val="32"/>
        </w:rPr>
      </w:pPr>
      <w:r>
        <w:rPr>
          <w:rFonts w:hint="default" w:ascii="Times New Roman" w:hAnsi="Times New Roman" w:eastAsia="仿宋_GB2312" w:cs="Times New Roman"/>
          <w:i w:val="0"/>
          <w:color w:val="070707"/>
          <w:sz w:val="32"/>
          <w:szCs w:val="32"/>
        </w:rPr>
        <w:t>案例推荐过程中，要力戒形式主义，防止出现频繁填报数据材料等问题，避免增加基层负担。</w:t>
      </w:r>
    </w:p>
    <w:p w14:paraId="08F24BC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黑体" w:cs="Times New Roman"/>
          <w:i w:val="0"/>
          <w:strike w:val="0"/>
          <w:dstrike w:val="0"/>
          <w:color w:val="070707"/>
          <w:sz w:val="32"/>
          <w:szCs w:val="32"/>
        </w:rPr>
      </w:pPr>
      <w:r>
        <w:rPr>
          <w:rFonts w:hint="default" w:ascii="Times New Roman" w:hAnsi="Times New Roman" w:eastAsia="黑体" w:cs="Times New Roman"/>
          <w:i w:val="0"/>
          <w:strike w:val="0"/>
          <w:dstrike w:val="0"/>
          <w:color w:val="070707"/>
          <w:sz w:val="32"/>
          <w:szCs w:val="32"/>
        </w:rPr>
        <w:t>三、联系方式</w:t>
      </w:r>
    </w:p>
    <w:p w14:paraId="23B9A48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strike w:val="0"/>
          <w:dstrike w:val="0"/>
          <w:color w:val="070707"/>
          <w:sz w:val="32"/>
          <w:szCs w:val="32"/>
        </w:rPr>
      </w:pPr>
      <w:r>
        <w:rPr>
          <w:rFonts w:hint="default" w:ascii="Times New Roman" w:hAnsi="Times New Roman" w:eastAsia="仿宋_GB2312" w:cs="Times New Roman"/>
          <w:i w:val="0"/>
          <w:strike w:val="0"/>
          <w:dstrike w:val="0"/>
          <w:color w:val="070707"/>
          <w:sz w:val="32"/>
          <w:szCs w:val="32"/>
        </w:rPr>
        <w:t>联系人及电话：宋 磊 15010361279</w:t>
      </w:r>
    </w:p>
    <w:p w14:paraId="536C2BB9">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strike w:val="0"/>
          <w:dstrike w:val="0"/>
          <w:color w:val="070707"/>
          <w:sz w:val="32"/>
          <w:szCs w:val="32"/>
        </w:rPr>
      </w:pPr>
      <w:r>
        <w:rPr>
          <w:rFonts w:hint="default" w:ascii="Times New Roman" w:hAnsi="Times New Roman" w:eastAsia="仿宋_GB2312" w:cs="Times New Roman"/>
          <w:i w:val="0"/>
          <w:strike w:val="0"/>
          <w:dstrike w:val="0"/>
          <w:color w:val="070707"/>
          <w:sz w:val="32"/>
          <w:szCs w:val="32"/>
        </w:rPr>
        <w:t>       张毅夫 010-68208246</w:t>
      </w:r>
    </w:p>
    <w:p w14:paraId="69943F88">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strike w:val="0"/>
          <w:dstrike w:val="0"/>
          <w:color w:val="070707"/>
          <w:sz w:val="32"/>
          <w:szCs w:val="32"/>
        </w:rPr>
      </w:pPr>
      <w:r>
        <w:rPr>
          <w:rFonts w:hint="default" w:ascii="Times New Roman" w:hAnsi="Times New Roman" w:eastAsia="仿宋_GB2312" w:cs="Times New Roman"/>
          <w:i w:val="0"/>
          <w:strike w:val="0"/>
          <w:dstrike w:val="0"/>
          <w:color w:val="070707"/>
          <w:sz w:val="32"/>
          <w:szCs w:val="32"/>
        </w:rPr>
        <w:t>邮箱：zhangyifu@miit.gov.cn</w:t>
      </w:r>
    </w:p>
    <w:p w14:paraId="68F72C1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strike w:val="0"/>
          <w:dstrike w:val="0"/>
          <w:color w:val="070707"/>
          <w:sz w:val="32"/>
          <w:szCs w:val="32"/>
        </w:rPr>
      </w:pPr>
      <w:r>
        <w:rPr>
          <w:rFonts w:hint="default" w:ascii="Times New Roman" w:hAnsi="Times New Roman" w:eastAsia="仿宋_GB2312" w:cs="Times New Roman"/>
          <w:i w:val="0"/>
          <w:strike w:val="0"/>
          <w:dstrike w:val="0"/>
          <w:color w:val="070707"/>
          <w:sz w:val="32"/>
          <w:szCs w:val="32"/>
        </w:rPr>
        <w:t>地址：北京市海淀区万寿路27号院8号楼信息技术发展司</w:t>
      </w:r>
    </w:p>
    <w:p w14:paraId="5CB07DC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strike w:val="0"/>
          <w:dstrike w:val="0"/>
          <w:color w:val="070707"/>
          <w:sz w:val="32"/>
          <w:szCs w:val="32"/>
        </w:rPr>
      </w:pPr>
    </w:p>
    <w:p w14:paraId="6360053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strike w:val="0"/>
          <w:dstrike w:val="0"/>
          <w:color w:val="070707"/>
          <w:sz w:val="32"/>
          <w:szCs w:val="32"/>
        </w:rPr>
      </w:pPr>
      <w:r>
        <w:rPr>
          <w:rFonts w:hint="default" w:ascii="Times New Roman" w:hAnsi="Times New Roman" w:eastAsia="仿宋_GB2312" w:cs="Times New Roman"/>
          <w:i w:val="0"/>
          <w:strike w:val="0"/>
          <w:dstrike w:val="0"/>
          <w:color w:val="070707"/>
          <w:sz w:val="32"/>
          <w:szCs w:val="32"/>
        </w:rPr>
        <w:t>附件：</w:t>
      </w:r>
      <w:r>
        <w:rPr>
          <w:rFonts w:hint="default" w:ascii="Times New Roman" w:hAnsi="Times New Roman" w:eastAsia="仿宋_GB2312" w:cs="Times New Roman"/>
          <w:i w:val="0"/>
          <w:strike w:val="0"/>
          <w:dstrike w:val="0"/>
          <w:color w:val="070707"/>
          <w:sz w:val="32"/>
          <w:szCs w:val="32"/>
        </w:rPr>
        <w:fldChar w:fldCharType="begin"/>
      </w:r>
      <w:r>
        <w:rPr>
          <w:rFonts w:hint="default" w:ascii="Times New Roman" w:hAnsi="Times New Roman" w:eastAsia="仿宋_GB2312" w:cs="Times New Roman"/>
          <w:i w:val="0"/>
          <w:strike w:val="0"/>
          <w:dstrike w:val="0"/>
          <w:color w:val="070707"/>
          <w:sz w:val="32"/>
          <w:szCs w:val="32"/>
        </w:rPr>
        <w:instrText xml:space="preserve"> HYPERLINK "https://www.miit.gov.cn/cms_files/filemanager/1226211233/attach/20253/8314e5cfebaf4863b1dcc493744f3004.docx" </w:instrText>
      </w:r>
      <w:r>
        <w:rPr>
          <w:rFonts w:hint="default" w:ascii="Times New Roman" w:hAnsi="Times New Roman" w:eastAsia="仿宋_GB2312" w:cs="Times New Roman"/>
          <w:i w:val="0"/>
          <w:strike w:val="0"/>
          <w:dstrike w:val="0"/>
          <w:color w:val="070707"/>
          <w:sz w:val="32"/>
          <w:szCs w:val="32"/>
        </w:rPr>
        <w:fldChar w:fldCharType="separate"/>
      </w:r>
      <w:r>
        <w:rPr>
          <w:rFonts w:hint="default" w:ascii="Times New Roman" w:hAnsi="Times New Roman" w:eastAsia="仿宋_GB2312" w:cs="Times New Roman"/>
          <w:i w:val="0"/>
          <w:strike w:val="0"/>
          <w:dstrike w:val="0"/>
          <w:color w:val="070707"/>
          <w:sz w:val="32"/>
          <w:szCs w:val="32"/>
        </w:rPr>
        <w:t>1.数字赋能基层减负典型案例情况介绍</w:t>
      </w:r>
      <w:r>
        <w:rPr>
          <w:rFonts w:hint="default" w:ascii="Times New Roman" w:hAnsi="Times New Roman" w:eastAsia="仿宋_GB2312" w:cs="Times New Roman"/>
          <w:i w:val="0"/>
          <w:strike w:val="0"/>
          <w:dstrike w:val="0"/>
          <w:color w:val="070707"/>
          <w:sz w:val="32"/>
          <w:szCs w:val="32"/>
        </w:rPr>
        <w:fldChar w:fldCharType="end"/>
      </w:r>
    </w:p>
    <w:p w14:paraId="1848AED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strike w:val="0"/>
          <w:dstrike w:val="0"/>
          <w:color w:val="070707"/>
          <w:sz w:val="32"/>
          <w:szCs w:val="32"/>
        </w:rPr>
      </w:pPr>
      <w:r>
        <w:rPr>
          <w:rFonts w:hint="default" w:ascii="Times New Roman" w:hAnsi="Times New Roman" w:eastAsia="仿宋_GB2312" w:cs="Times New Roman"/>
          <w:i w:val="0"/>
          <w:strike w:val="0"/>
          <w:dstrike w:val="0"/>
          <w:color w:val="070707"/>
          <w:sz w:val="32"/>
          <w:szCs w:val="32"/>
        </w:rPr>
        <w:t>   </w:t>
      </w:r>
      <w:r>
        <w:rPr>
          <w:rFonts w:hint="default" w:ascii="Times New Roman" w:hAnsi="Times New Roman" w:eastAsia="仿宋_GB2312" w:cs="Times New Roman"/>
          <w:i w:val="0"/>
          <w:strike w:val="0"/>
          <w:dstrike w:val="0"/>
          <w:color w:val="070707"/>
          <w:sz w:val="32"/>
          <w:szCs w:val="32"/>
        </w:rPr>
        <w:fldChar w:fldCharType="begin"/>
      </w:r>
      <w:r>
        <w:rPr>
          <w:rFonts w:hint="default" w:ascii="Times New Roman" w:hAnsi="Times New Roman" w:eastAsia="仿宋_GB2312" w:cs="Times New Roman"/>
          <w:i w:val="0"/>
          <w:strike w:val="0"/>
          <w:dstrike w:val="0"/>
          <w:color w:val="070707"/>
          <w:sz w:val="32"/>
          <w:szCs w:val="32"/>
        </w:rPr>
        <w:instrText xml:space="preserve"> HYPERLINK "https://www.miit.gov.cn/cms_files/filemanager/1226211233/attach/20254/9edf7ae5f4174899a7a006cff1be2b81.docx" </w:instrText>
      </w:r>
      <w:r>
        <w:rPr>
          <w:rFonts w:hint="default" w:ascii="Times New Roman" w:hAnsi="Times New Roman" w:eastAsia="仿宋_GB2312" w:cs="Times New Roman"/>
          <w:i w:val="0"/>
          <w:strike w:val="0"/>
          <w:dstrike w:val="0"/>
          <w:color w:val="070707"/>
          <w:sz w:val="32"/>
          <w:szCs w:val="32"/>
        </w:rPr>
        <w:fldChar w:fldCharType="separate"/>
      </w:r>
      <w:r>
        <w:rPr>
          <w:rFonts w:hint="default" w:ascii="Times New Roman" w:hAnsi="Times New Roman" w:eastAsia="仿宋_GB2312" w:cs="Times New Roman"/>
          <w:i w:val="0"/>
          <w:strike w:val="0"/>
          <w:dstrike w:val="0"/>
          <w:color w:val="070707"/>
          <w:sz w:val="32"/>
          <w:szCs w:val="32"/>
        </w:rPr>
        <w:t>2.数字赋能基层减负典型案例推荐表</w:t>
      </w:r>
      <w:r>
        <w:rPr>
          <w:rFonts w:hint="default" w:ascii="Times New Roman" w:hAnsi="Times New Roman" w:eastAsia="仿宋_GB2312" w:cs="Times New Roman"/>
          <w:i w:val="0"/>
          <w:strike w:val="0"/>
          <w:dstrike w:val="0"/>
          <w:color w:val="070707"/>
          <w:sz w:val="32"/>
          <w:szCs w:val="32"/>
        </w:rPr>
        <w:fldChar w:fldCharType="end"/>
      </w:r>
    </w:p>
    <w:p w14:paraId="291B40A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color w:val="070707"/>
          <w:sz w:val="32"/>
          <w:szCs w:val="32"/>
        </w:rPr>
      </w:pPr>
    </w:p>
    <w:p w14:paraId="0AD2EE33">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left"/>
        <w:textAlignment w:val="auto"/>
        <w:rPr>
          <w:rFonts w:hint="default" w:ascii="Times New Roman" w:hAnsi="Times New Roman" w:eastAsia="仿宋_GB2312" w:cs="Times New Roman"/>
          <w:i w:val="0"/>
          <w:color w:val="070707"/>
          <w:sz w:val="32"/>
          <w:szCs w:val="32"/>
        </w:rPr>
      </w:pPr>
    </w:p>
    <w:p w14:paraId="1F14A82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center"/>
        <w:textAlignment w:val="auto"/>
        <w:rPr>
          <w:rFonts w:hint="default" w:ascii="Times New Roman" w:hAnsi="Times New Roman" w:eastAsia="仿宋_GB2312" w:cs="Times New Roman"/>
          <w:i w:val="0"/>
          <w:color w:val="070707"/>
          <w:sz w:val="32"/>
          <w:szCs w:val="32"/>
        </w:rPr>
      </w:pPr>
      <w:r>
        <w:rPr>
          <w:rFonts w:hint="eastAsia" w:ascii="Times New Roman" w:hAnsi="Times New Roman" w:eastAsia="仿宋_GB2312" w:cs="Times New Roman"/>
          <w:i w:val="0"/>
          <w:color w:val="070707"/>
          <w:sz w:val="32"/>
          <w:szCs w:val="32"/>
          <w:lang w:val="en-US" w:eastAsia="zh-CN"/>
        </w:rPr>
        <w:t xml:space="preserve">                 </w:t>
      </w:r>
      <w:r>
        <w:rPr>
          <w:rFonts w:hint="default" w:ascii="Times New Roman" w:hAnsi="Times New Roman" w:eastAsia="仿宋_GB2312" w:cs="Times New Roman"/>
          <w:i w:val="0"/>
          <w:color w:val="070707"/>
          <w:sz w:val="32"/>
          <w:szCs w:val="32"/>
        </w:rPr>
        <w:t>工业和信息化部办公厅</w:t>
      </w:r>
    </w:p>
    <w:p w14:paraId="179EDAD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val="0"/>
        <w:snapToGrid w:val="0"/>
        <w:spacing w:before="0" w:beforeAutospacing="0" w:after="0" w:afterAutospacing="0" w:line="600" w:lineRule="exact"/>
        <w:ind w:left="0" w:right="0" w:firstLine="420"/>
        <w:jc w:val="center"/>
        <w:textAlignment w:val="auto"/>
      </w:pPr>
      <w:r>
        <w:rPr>
          <w:rFonts w:hint="eastAsia" w:ascii="Times New Roman" w:hAnsi="Times New Roman" w:eastAsia="仿宋_GB2312" w:cs="Times New Roman"/>
          <w:i w:val="0"/>
          <w:color w:val="070707"/>
          <w:sz w:val="32"/>
          <w:szCs w:val="32"/>
          <w:lang w:val="en-US" w:eastAsia="zh-CN"/>
        </w:rPr>
        <w:t xml:space="preserve">                </w:t>
      </w:r>
      <w:r>
        <w:rPr>
          <w:rFonts w:hint="default" w:ascii="Times New Roman" w:hAnsi="Times New Roman" w:eastAsia="仿宋_GB2312" w:cs="Times New Roman"/>
          <w:i w:val="0"/>
          <w:color w:val="070707"/>
          <w:sz w:val="32"/>
          <w:szCs w:val="32"/>
        </w:rPr>
        <w:t>2025年4月11日</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D86FDD-3989-433D-9C77-E1F98596EF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4383B64-A9C9-4775-982D-DF817B46B864}"/>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0010101010101"/>
    <w:charset w:val="86"/>
    <w:family w:val="auto"/>
    <w:pitch w:val="default"/>
    <w:sig w:usb0="00000001" w:usb1="080E0000" w:usb2="00000000" w:usb3="00000000" w:csb0="00040000" w:csb1="00000000"/>
    <w:embedRegular r:id="rId3" w:fontKey="{C8B45CF8-D4C3-4E7C-962A-F768B6521ED9}"/>
  </w:font>
  <w:font w:name="仿宋_GB2312">
    <w:altName w:val="仿宋"/>
    <w:panose1 w:val="02010609030101010101"/>
    <w:charset w:val="86"/>
    <w:family w:val="auto"/>
    <w:pitch w:val="default"/>
    <w:sig w:usb0="00000000" w:usb1="00000000" w:usb2="00000000" w:usb3="00000000" w:csb0="00040000" w:csb1="00000000"/>
    <w:embedRegular r:id="rId4" w:fontKey="{CE567417-824D-41D5-BFDF-F9587BC6546C}"/>
  </w:font>
  <w:font w:name="楷体_GB2312">
    <w:altName w:val="楷体"/>
    <w:panose1 w:val="02010609030101010101"/>
    <w:charset w:val="86"/>
    <w:family w:val="auto"/>
    <w:pitch w:val="default"/>
    <w:sig w:usb0="00000000" w:usb1="00000000" w:usb2="00000000" w:usb3="00000000" w:csb0="00040000" w:csb1="00000000"/>
    <w:embedRegular r:id="rId5" w:fontKey="{3DD7A9C1-45E4-4854-BBE5-D031CD1104AA}"/>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2E4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next w:val="4"/>
    <w:unhideWhenUsed/>
    <w:qFormat/>
    <w:uiPriority w:val="99"/>
    <w:pPr>
      <w:widowControl w:val="0"/>
      <w:spacing w:after="120"/>
      <w:jc w:val="both"/>
    </w:pPr>
    <w:rPr>
      <w:rFonts w:ascii="Times New Roman" w:hAnsi="Times New Roman" w:eastAsia="宋体" w:cs="Times New Roman"/>
      <w:kern w:val="2"/>
      <w:sz w:val="21"/>
      <w:lang w:val="en-US" w:eastAsia="zh-CN" w:bidi="ar-SA"/>
    </w:rPr>
  </w:style>
  <w:style w:type="paragraph" w:styleId="4">
    <w:name w:val="Title"/>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uiPriority w:val="0"/>
    <w:pPr>
      <w:tabs>
        <w:tab w:val="center" w:pos="4153"/>
        <w:tab w:val="right" w:pos="8306"/>
      </w:tabs>
      <w:snapToGrid w:val="0"/>
      <w:jc w:val="left"/>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2025-04-29T07:18:41Z</dcterms:created>
  <dc:creator>朱亚召1</dc:creator>
  <cp:lastModifiedBy>杰卡</cp:lastModifiedBy>
  <dcterms:modified xsi:type="dcterms:W3CDTF">2025-04-29T07:19:54Z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eyJoZGlkIjoiNjhkNzE5OTEzNDE4NjIxZDJlNTcxNTQxNDNjYThiZGYiLCJ1c2VySWQiOiI0MzQ0NTEzNDAifQ==</vt:lpwstr>
  </property>
  <property fmtid="{D5CDD505-2E9C-101B-9397-08002B2CF9AE}" pid="4" name="ICV">
    <vt:lpwstr>9501912451EE4078806BB7E7601155F2_12</vt:lpwstr>
  </property>
</Properties>
</file>