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黑体" w:cs="Times New Roman"/>
          <w:highlight w:val="none"/>
          <w:lang w:val="en-US" w:eastAsia="zh-CN"/>
        </w:rPr>
      </w:pPr>
      <w:r>
        <w:rPr>
          <w:rFonts w:hint="default" w:ascii="Times New Roman" w:hAnsi="Times New Roman" w:eastAsia="黑体" w:cs="Times New Roman"/>
          <w:highlight w:val="none"/>
          <w:lang w:val="en-US" w:eastAsia="zh-CN"/>
        </w:rPr>
        <w:t>附件1</w:t>
      </w:r>
    </w:p>
    <w:p>
      <w:pPr>
        <w:pStyle w:val="2"/>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小标宋_GBK" w:cs="Times New Roman"/>
          <w:sz w:val="44"/>
          <w:szCs w:val="44"/>
          <w:highlight w:val="none"/>
          <w:lang w:val="en-US" w:eastAsia="zh-CN"/>
        </w:rPr>
      </w:pPr>
      <w:r>
        <w:rPr>
          <w:rFonts w:hint="default" w:ascii="Times New Roman" w:hAnsi="Times New Roman" w:eastAsia="方正小标宋_GBK" w:cs="Times New Roman"/>
          <w:sz w:val="44"/>
          <w:szCs w:val="44"/>
          <w:highlight w:val="none"/>
          <w:lang w:val="en-US" w:eastAsia="zh-CN"/>
        </w:rPr>
        <w:t>“企业找技术”揭榜挂帅榜单</w:t>
      </w:r>
    </w:p>
    <w:tbl>
      <w:tblPr>
        <w:tblStyle w:val="8"/>
        <w:tblW w:w="52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gridCol w:w="1127"/>
        <w:gridCol w:w="1117"/>
        <w:gridCol w:w="751"/>
        <w:gridCol w:w="4154"/>
        <w:gridCol w:w="3853"/>
        <w:gridCol w:w="783"/>
        <w:gridCol w:w="1228"/>
        <w:gridCol w:w="8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sz w:val="21"/>
                <w:szCs w:val="21"/>
                <w:highlight w:val="none"/>
                <w:u w:val="none"/>
              </w:rPr>
            </w:pPr>
            <w:r>
              <w:rPr>
                <w:rFonts w:hint="default" w:ascii="Times New Roman" w:hAnsi="Times New Roman" w:eastAsia="黑体" w:cs="Times New Roman"/>
                <w:i w:val="0"/>
                <w:iCs w:val="0"/>
                <w:color w:val="000000"/>
                <w:kern w:val="0"/>
                <w:sz w:val="21"/>
                <w:szCs w:val="21"/>
                <w:highlight w:val="none"/>
                <w:u w:val="none"/>
                <w:lang w:val="en-US" w:eastAsia="zh-CN" w:bidi="ar"/>
              </w:rPr>
              <w:t>序号</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榜单名称</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需求企业</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产业领域</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技术难点</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指标参数</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完成时限</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意向出资金额（以后续实际为准、万元）</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center"/>
              <w:textAlignment w:val="center"/>
              <w:rPr>
                <w:rFonts w:hint="default" w:ascii="Times New Roman" w:hAnsi="Times New Roman" w:eastAsia="黑体" w:cs="Times New Roman"/>
                <w:i w:val="0"/>
                <w:iCs w:val="0"/>
                <w:color w:val="000000"/>
                <w:kern w:val="0"/>
                <w:sz w:val="21"/>
                <w:szCs w:val="21"/>
                <w:highlight w:val="none"/>
                <w:u w:val="none"/>
                <w:lang w:val="en-US" w:eastAsia="zh-CN" w:bidi="ar"/>
              </w:rPr>
            </w:pPr>
            <w:r>
              <w:rPr>
                <w:rFonts w:hint="default" w:ascii="Times New Roman" w:hAnsi="Times New Roman" w:eastAsia="黑体" w:cs="Times New Roman"/>
                <w:i w:val="0"/>
                <w:iCs w:val="0"/>
                <w:color w:val="000000"/>
                <w:kern w:val="0"/>
                <w:sz w:val="21"/>
                <w:szCs w:val="21"/>
                <w:highlight w:val="none"/>
                <w:u w:val="none"/>
                <w:lang w:val="en-US" w:eastAsia="zh-CN" w:bidi="ar"/>
              </w:rPr>
              <w:t>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7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α+β复相赛隆陶瓷材料关键技术研发及工程化应用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成都邦普切削刀具股份有限公司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复相赛隆陶瓷强韧协同调控难点：现有单一稀土助剂体系难以精准调控α、β两相比例，无法同时实现高硬度与高韧性匹配；多稀土复合烧结助剂组分配比缺乏精准设计方法，液相烧结温度窗口窄，小批量试制极易出现晶粒异常长大、致密度不足、力学性能批次波动大问题，现有国产材料断裂韧性难以突破6.5 MPa·m1/2，无法适配大进给、高载荷的高温合金切削工况。2.低温致密化气压烧结工艺难点：传统高温烧结易造成氮化硅原料分解、稀土元素挥发，材料内部产生微小气孔缺陷，导致刀具抗弯强度下降。3.陶瓷刀具复杂刃形精密制备难点：赛隆陶瓷硬度高、脆性大，普通砂轮磨削极易产生刃口微崩、微裂纹缺陷，刃口钝化工艺缺乏专用参数体系，切削过程中微裂纹快速扩展引发刀具早期失效；缺少针对不同高温合金材料的刃口轮廓优化设计方法，导致刀具耐磨寿命、抗冲击性能不足。4. 高温合金高速切削工艺匹配难点：国内缺少系统化的赛隆陶瓷刀具干式高速切削数据库，不同切削线速度、进给量下刀具磨损演化规律不清晰，无法精准预判刀具使用寿命，企业现场加工不敢直接批量使用国产陶瓷刀具，缺少权威的切削工艺验证与寿命评价体系。</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材料性能指标：研发稀土改性α+β复相赛隆陶瓷配方，材料断裂韧性≥7.5 MPa·m1/2（GB/T23806-2009），三点弯曲强度≥800 MPa（GB/T6569-2006），维氏硬度HV5≥16.0 GPa，相对密度≥98%，材料力学性能达到国际同类进口产品先进水平。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产品开发指标：开发7种及以上规格可转位赛隆陶瓷车削刀片、3种及以上规格整体赛隆陶瓷立铣刀，刀片尺寸精度、形位公差符合ISO数控刀具标准，刃口无肉眼可见微崩、微裂纹缺陷。</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切削性能指标：针对GH4169镍基高温合金（HRC42±2）干式车削，切削线速度≥200 m/min，材料切除率≥60 cm3/min，后刀面磨损≤0.3 mm；立式铣削切削线速度≥400 m/min，材料切除率≥10 cm3/min，刀具平均使用寿命达到进口NTK、山特维克同类型产品90%以上。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知识产权与产业化指标：项目期内申请发明专利不少于4项，牵头或参与编制团体/行业标准不少于4项；在3家及以上航空航天零部件制造企业完成工艺应用验证，项目执行期内依托该技术实现相关产品销售收入不低于3000万元，建成规模化生产线。</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陈云18884518899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4"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极端过载工况下高强轻质飞行仿真设备可靠性与保真度技术攻关</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成都凯迪飞研科技有限责任公司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本项目聚焦极端过载工况飞行仿真设备可靠性不足、仿真保真度衰减、轻重参数失衡三大核心痛点，设备同时面临超大 G 值极端载荷与转臂平台搭载空间、载重双重约束，衍生多重行业共性技术难题。在整机层面，高过载工况下平台结构需具备极高刚度以抑制形变、保障仿真保真，但若单纯加厚强化构件会大幅增重，超出转臂搭载载重限值，轻量化与高承载刚度难以协同兼顾；操纵交互端，脚蹬需承受极限机动模拟下高频次、大冲击力踩踏载荷，常规脚蹬构件易出现应力集中、疲劳变形，引发力反馈漂移、操纵精度下降，无法还原真实飞行器重载操纵特性。三者相互制约：减重设计会削弱结构与脚蹬承载能力，单纯提升承载又会造成整机超重，现有技术难以同步实现平台高过载耐受、整机轻量化搭载、操纵脚蹬高强度抗疲劳，成为制约极限工况仿真试验能力提升的关键技术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高强承载与轻量化参数难以协同平衡：行业长期存在“高强则笨重、轻质则失稳”的技术痛点，项目设备需同时满足严苛指标，既要耐受18G全向极端过载、核心脚蹬部件长期承载500kg以上极限压力且无塑性变形，保障极端工况结构可靠，又需控制整机重量≤180公斤，适配转臂平台搭载约束。传统结构设计、选材方案无法</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建成适配载人高过载工况、可整机一体化部署的实体座舱硬件成套装备，配套高精度专业飞行仿真软件系统，设备满足全向过载≥18G极端工况耐受能力、座舱脚蹬可承受500kg以上极限压力、整机重量≤180公斤的严苛技术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研制达标高强轻质一体化成套装备：通过拓扑优化、复合选材与器件微型化集成，研制一体化座舱硬件及配套仿真软件。实现设备全向18G高过载耐受能力，核心部件可承受500kg以上极限压力且无塑性变形，整机重量控制在180公斤以内，兼顾结构高强可靠性与平台适配轻量化需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攻克极端工况高保真仿真技术瓶颈：依托动态应力补偿、抗干扰优化与算法迭代，解决高过载工况下仿真精度衰减问题，可高精度复现低空复杂紊流、航天变过载轨迹及航电运行逻辑，保障极端环境下仿真数据真实稳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3.构建自主可控区域试验支撑能力：形成标准化可复用的高过载仿真试验能力，支撑航空生理、人机适配等关键试验，填补省内高端仿真装备技术缺口，为空天产业技术攻关提供核心支撑。</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倪学兵13548085255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 xml:space="preserve"> Φ2mm级特种合金微管及线丝长材节能数控*辊超精连轧工艺技术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四川易尚天交实业有限公司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1）适应各类特种合金的高精度孔型系统算法、动态调整控制软件及数据治理；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Φ2mm级全*辊超精连轧技术装备设计制造与无扭微*力轧制工艺技术；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热轧、温轧及冷轧匹配多品类材料轧制工艺算法；</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孔型高精度检测与动态调控技术；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超高温（1500℃）加热炉内开卷及抗*化保护工艺技术装备的研制；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 超细丝材吐丝收卷及抗*化保护工艺技术装备的研制；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7）超微管以轧代定*辊精轧及防擦伤收集成套工业技术装备的研制。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以上创新保证研制的成套装备技术在产品范围、产品精度、工艺适应性等多项关键指标上超越国外装备技术</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新材料超微轧制：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1）全球首创 Φ2mm级特种合金“线丝长材”超微精密连轧工艺技术：实现单重超过500Kg长度超3万米丝材连续轧制一火成型，革命性替代传统*锻及拉拔工艺，举例：高强钛合金材料从φ8mm至φ3mm传统工艺成本会超过2-3万元/吨、成品收得率80%，*辊超微精密连轧工艺成本降低*/3、成品收得率9*%；</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全球首创 Φ2mm级特种合金管材超微精密连轧工艺技术：实现以轧代定，指数级提升产品工艺成本、内外表面粗糙度*.3及壁厚均匀性±0.0*mm。</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冯春安13558614479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5"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耐极端环境高可靠轻量化长寿命机器人线缆研发及产业化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成都大唐线缆有限公司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四川省作为西部机器人产业高地，已落地超 60 种人形机器人实景实训和智能制造场景，并已规划万台级整机规模化部署。但多场景工况复杂，高温作业、深冷仓储、化工腐蚀、强电磁干扰和人形关节高频往复弯折等极端环境突出。目前适配极端环境作业机器人的高可靠轻量化长寿命机器人用线缆存在明显技术短板，制约机器人产业高质量发展。主要技术难点如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（1）线缆轻量化绝缘多重性能难以兼容。现有普通绝缘材料密度偏高，减薄后耐腐蚀和耐焊渣击穿等性能大幅下降；现有超薄绝缘层难以兼顾轻量化和高可靠指标要求，国产适配材料技术成熟度不足。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（2）线缆高柔性耐疲劳矛盾突出。六轴、人形机器人关节每日数万次弯折扭转，深冷仓储、矿山/高山巡检等场景温差波动大，超细导体易应力集中断芯，超薄绝缘层反复形变易开裂。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（3）线缆轻量化-柔性-阻燃综合性能兼顾困难。焊接机器人焊渣飞溅、井下防爆、人形人机协作场景强制要求 V-0 低烟无卤阻燃，常规阻燃填料会增大绝缘密度、降低材料弹性，大幅削弱线缆弯折耐久，现有技术难以同步平衡轻量化、超高柔性与高阻燃安全标准。</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项目完成耐极端环境高可靠轻量化机器人用人工智能线缆全套技术研发与中试、产业化产线搭建，形成系列适配机器人的专用人工智能线缆产品。突破轻量化复合绝缘、耐疲劳和高阻燃线缆绝缘材料以及线芯核心技术，建成国产化规模化生产线，打破进口产品垄断。</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（1）绝缘材料密度≤1.05 g/cm³，护套材料密度≤1.10 g/cm³。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（2）线缆耐受高低温区间 -65℃-175℃，瞬时耐受温度200℃；热老化实验后，拉伸强度保留≥80%。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（3）绝缘和护套材料耐油浸液体积溶胀率≤5%，拉伸强度保留率≥90%，断裂伸长率保留率≥80%。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（4）线缆满足无卤低烟阻燃 A 类要求；阻燃性能适配高低温极端环境，经高低温交变、长期弯折老化后，阻燃等级不降级，无阻燃失效现象。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（5）线缆耐弯折1000万次以上，扭转寿命≥80万次，线缆整体技术达到国际先进水平。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（6）申请发明专利不少于 6 项，制定企业标准 1 项；实现省内智能制造场景供货，产生经济效益不少于2000万元，带动上下游先进材料配套产业发展。</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张晓宇18010539620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多参数无人机电磁探测系统应用及产业化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四川中水成勘院工程物探检测有限公司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拟开发航空电磁探测系统，采用多旋翼无人机搭载该系统，支持半航空（地面发射、空中接收）、全航空（空中发射、空中接收）两种工作模式，在技术攻关面临多项核心难点，需在多学科交叉领域实现系统性突破。</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在电磁发射技术方面，为实现大于500m勘探深度，系统需兼具大功率输出与快速关断能力，但大电流导致线圈电感储能增加，关断时产生高压尖峰，易引发器件过压击穿与过热问题，对驱动电路、功率器件及关断控制提出极高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2.在机载轻量化方面，无人机对有效载荷重量极为敏感，需在保证发射磁矩与接收灵敏度的前提下，对线圈与采集电路进行高集成轻量化设计，同时还需兼顾飞行稳定性。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3.在复杂环境适应性方面，系统需克服山区地形起伏、植被遮挡与强电磁干扰，解决超视距条件下的远程监控与实时差分定位问题，通过改用实时差分北斗GNSS接收板提升定位精度，改进无线通信保障作业稳定性。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4.在数据处理方面，传统反演方法难以充分利用多分量、多参数、多源数据信息，需研发融合频率域与时间域数据的高精度反演算法，并引入深度学习技术实现智能化反演算法，以提升深部目标体的分辨能力。</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无人机全航空、半航空瞬变电磁探测系统面向大范围普查与重点区域详查需求。全航空系统采用“无人机搭载发射与接收”模式，重量≤50kg，适用于复杂地形，单日勘探面积＞10km²，探测深度约500m；半航空系统采用“地面发射+无人机接收”模式，具备高信噪比、高精度和强地形适应性，日作业距离最大120km，探测深度约800m。两系统均具备高精度采集、多参数反演、现场处理成像能力，支持航迹管理、数据处理及三维建模解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共性指标：机载接收机采样精度24bit、采样率200kSPS、带宽DC–20kHz、噪声20μV（RMS）、北斗+GPS同步、精度≤1μs；感应线圈谐振频率45kHz，噪声约35fT/√Hz@1kHz，直径Φ550mm，重量约3kg。</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全航空指标：发射机电压0–60V、电流100A、功率2kW，频率DC–15kHz，支持CC/CV切换；发射线圈磁矩80000Am²，直径16m。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半航空指标：地面发射机电压0–2000V、电流100A、功率60kW，输入三相270–480V，频率DC–82kHz，支持恒压、恒流、恒功率输出。</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1200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胡清龙13550085892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面向复杂水域综合治理的新一代智能清污机器人关键技术攻坚</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东方水利智能科技股份有限公司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一是复杂水面多模态目标识别难度大，水面反光、逆光、夜间弱光、杂物多重干扰，漂浮物漏检误检频发，10cm 级小目标识别稳定性差，相机与激光雷达融合算法无法适配动态水流，识别精度达不到清污作业标准。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二是复杂水域自主导航避障性能不足，桥区、库湾 GNSS 信号遮挡，叠加风浪水流扰动，水面障碍物实时变动，路径重规划延迟高，清理覆盖率、自主返航稳定性难以达标。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三是弱通信人机协同接管存在安全瓶颈，坝区、峡谷通信遮挡易造成卡顿、断链，三类作业模式切换界限模糊，信号中断后无自动停泊、返航方案，作业风险较高。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四是清污机构适配能力短板明显，竹木缠绕、轻质污物逃逸、高密度杂物堵机问题突出，无法兼容各类漂浮物，80cm 以内浅水区精细化低扰动打捞能力不足。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五是云边端一体化数据闭环缺失，多机器人航迹、识别、故障、清污数据割裂，缺少数字孪生底座，难以完成工况追溯、任务复盘与 AI 模型迭代优化。六是整机工程化落地存在短板，高湿腐蚀水环境加速电控、机械部件损耗，单套装备无法兼顾库区、城市河湖两类工况，样机标准化量产缺少完善测试定型体系，阻碍设备规模化推广应用。</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1.本项目攻关完成后，研制出适配复杂水域作业的新一代智能清污机器人整机，整机吃水深度≤80cm，单位小时清污容积≥50m³，可在 5 级风浪环境稳定开展自主作业；同步配套开发远程协同操控终端、云边端一体化数字孪生运维管理平台，实现漂浮物智能识别、自主路径规划、动态避障、作业数据存储回溯、故障在线告警全流程功能。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2.形成完整全套机械装配图纸、电气原理图、BOM 清单、调试规程、运维手册等技术文档，完成整机第三方性能检测验证。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3.同步产出知识产权成果，申请发明专利 10 项、实用新型专利 5 项、计算机软件著作权 15项，整理形成水域漂浮物识别数据集、场景工况库。</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4.项目产品在水电站库区、城市河湖两类典型水域完成长期示范应用验证，形成成熟可复制的智能化清污整体解决方案，具备批量产业化推广条件，有效替代人工打捞模式，提升水域保洁作业效率与安全性。</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2715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洪盛荣13708109118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高压储氢气瓶自动化产线关键工艺一致性控制行业关键共性技术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中材科技（成都）有限公司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大口径储氢气瓶制造涉及内胆成型、固溶时效、精密加工、缠绕、固化、水压试验等多道工序，以下五个环节存在共性技术瓶颈：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大口径薄壁回转体精密加工在线检测与自适应补偿技术。瓶口精度要求高，目前采用“人工装夹+经验调机+离线抽检”，装夹变形、刀具磨损导致批次尺寸漂移、废品率高，缺乏在线检测与自适应补偿集成方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大口径薄壁铝合金内胆固溶时效防变形自动装夹与转运技术。固溶时效需≥500℃高温及急冷水淬，薄壁内胆刚度急剧下降，热变形与淬火变形突出。人工吊装安全风险高、磕碰报废严重，缺乏高温专用防变形料框及自动装夹转运方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3、重载大尺寸异形工件AGV智能转运与多工序协同调度技术。内胆现依赖叉车转运+人工吊装，物流效率低。现有AGV缺乏异形工件专用夹具，重载精确定位与防摇摆技术不成熟。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4、多机协同缠绕工序智能上下料与尾塞防脱落技术。缠绕决定气瓶承压与疲劳寿命，现采用人工吊装上料，尾塞脱落率高，缺乏多机协同自动上下料系统。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5、内腔微颗粒自动清洗与清洁度在线检测技术。内腔清洁度直接影响密封安全，现采用人工高压水枪冲洗，缺乏量化检测标准，深孔、变截面的自动清洗装备与在线检测手段缺失。</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目标一： 交付大口径自动化瓶口精密加工成套设备1套（含自动上下料、在线检测与自适应补偿功能），具备多规格产品快速换型能力。</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目标二： 交付固溶时效机器人自动上下料成套设备1套及配套防变形专用料框，实现无人化作业。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目标三： 交付重载AGV自动转运成套系统1套（含AGV本体4台、专用夹具及调度系统），实现多工序间物料自动衔接与智能调度。</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目标四： 交付缠绕工序多机协同自动上下料成套设备2套，实现缠绕设备自动上下料。</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目标五： 交付内壁自动清洗与在线检测成套设备2套，建立基于显微图像的清洁度定量检测方法。</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交付与验收：揭榜方须完成上述五个工序自动化成套设备的开发、制造、安装、调试及产线集成联调，确保各工序间自动衔接，形成整条产线的自动化闭环。项目验收以设备交付、安装调试完成、各项性能指标达标为准。揭榜方须在设备交付后提供完整的操作维护手册、工艺参数手册及产线集成调试报告。揭榜方在项目执行过程中形成的与项目相关的自动化技术成果，其知识产权归属由双方在正式技术合同中另行约定。</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800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冯存江18828071871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高精度高速全自动PCB叠合设备关键技术研发及产业化应用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四川托璞勒科技股份有限公司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拟攻关的核心技术难点主要集中在PCB叠合全流程自动化、高精度控制与系统协同优化等方面。首先，在超薄材料稳定控制方面，≥15μm超薄PP材料在搬运与分离过程中极易受到静电吸附影响，导致材料发生褶皱、偏移甚至破损，难以实现连续稳定的自动化输送，对材料处理工艺与静电控制技术提出极高要求。其次，在高精度叠合定位控制方面，多层PCB叠合需实现±2mm级甚至更高精度的对位控制，依赖机器视觉识别与高精度运动控制系统的深度融合与实时协同，技术实现难度大。第三，在多工序协同与节拍控制方面，上料、叠合、压合、清洗、回流等多个工序高度耦合，系统需实现复杂的节拍同步、路径优化与整体调度控制，对系统级集成能力要求极高。第四，在高速生产与高良率平衡方面，需要在≥248 PNL/H的高产能条件下，同时保证≥98%的稳定叠合成功率及≥99%的整体产品良率，对设备稳定性与过程控制能力提出严苛挑战。最后，在系统级智能化与数据闭环方面，设备需与MES系统深度集成，实现工艺参数实时调整、生产数据全流程追溯以及基于数据驱动的自适应优化控制能力，从而形成完整的智能制造闭环体系。</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（一）核心性能指标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生产效率（UPH）：≥248 PNL/Hour</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设备叠合定位精度：≤±2 mm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超薄PP材料适配能力：≥15 μm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超薄材料稳定分离成功率：≥98%</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产品整体良率：≥99.5%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（二）系统能力指标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全流程自动化程度：≥95%，支持无人化连续生产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工艺覆盖范围：上料—叠合—回流—清洗—烘干全流程自动化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MES系统对接能力：支持实时数据交互与工艺参数闭环控制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设备稳定运行能力：支持24小时连续稳定生产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（三）产业化指标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实现国产化替代高端PCB叠合设备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形成具有自主知识产权的核心装备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支持规模化批量生产与产业推广应用</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3200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陈念明18138819208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4"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双流机场T1、T2航站楼双向无人驾驶新能源摆渡客车</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成都双流国际机场股份有限公司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装备制造</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与传统单向自动驾驶车辆不同，本需求的核心在于车辆两端均可作为车头，正反向均需具备一致、安全、可靠的自动驾驶运行能力。揭榜方需重点攻克以下技术难点：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研发制造一套具有双向行驶能力的新能源线控客车底盘，包括驱动系统、制动系统、转向系统。实现四轮转向、双向驱动、双向线控制动、换向线控锁定等，突破车辆单向自动行驶的限制，在有限空间无需掉头，实现双向自动驾驶。（车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研发一套原生双向自动驾驶技术算法，包括统一的状态表达机制、感知组织机制、双坐标系定位规划机制、整车—算法融合控制机制和快速安全切换机制，系统解决传统单向自动驾驶技术难以直接适配双向行驶车辆的关键问题。（算法）</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研究一套前后对称双向行驶新能源客车底盘与自动驾驶算法协同机制，解决自动驾驶系统与双向客车驱动、制动、转向、门控等执行系统之间的协同控制难题，形成车辆工作端启用、非工作端锁止时的闭环机制。（协同）</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研究构建一套整车-算法融合控制与安全冗余切换的安全体系，解决新能源客车高频启停下感知、定位、规划、控制、执行机构和安全监测的融合控制难题，实现正反向运行下的控制链路切换、故障识别、远程监管和风险处置等。（冗余）</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智驾系统：激光雷达探测距离≥200m；毫米波雷达探测距离≥200m；摄像头前后向目标识别距离≥40m，侧向及近场识别距离≥10m；车辆周向感知覆盖范围≥360°；组合定位精度≤10cm，航向角精度≤0.5°；域控制器算力≥200TOPS。整车参数：长*宽*高(mm)约9000*2550*3250；轴距约6850mm；额定成员60/16；一级踏步≤360mm。动力参数：后桥集成驱动电机；五合一集成控制器；宁德时代磷酸铁锂电池≥266kWh，续航里程≥140km，满足每日19h不间断运行（夏天带空调不熄火）；集成式电池热管理。车身底盘及其它：7T双气囊独立悬架前后桥，集成驱动电机；两气囊结构前后悬；前后桥分别配置集成式双源电动助力转向系统；双回路气压制动，EPB电子驻车系统，EBS系统；全承载式封闭环结构； 360环视系统；线控底盘。</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陈清华13550301241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晶圆制造良率智能管控关键技术开发与应用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中电九天智能科技有限公司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是多源异构数据统一建模与智能融合。晶圆制造良率相关数据覆盖设备状态、工艺参数、电性测试、缺陷检测等多类异构数据，格式、采集频率、语义标准差异大，需搭建统一数据模型与语义层实现跨系统实时汇聚关联，同时还要突破毫秒级响应要求下海量时序数据的读写性能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是AI驱动的良率损失根因智能溯源。良率损失存在单因素或多因素耦合的复杂情况，需攻克高维稀疏非线性制造数据的根因分析算法、机理与数据融合的混合推理框架，以及可解释AI技术，保障溯源结果精准可验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是基于数字孪生的良率预测与工艺优化。搭建虚拟产线实现良率预判与工艺参数智能推荐，需突破高精度工艺快速仿真、多工序耦合的良率预测模型，以及工艺窗口智能寻优算法，平衡预测准确率、泛化性与实时性的三角矛盾。</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四是良率前置管控。要在设计阶段提前规避制造端良率风险，需攻克版图到光刻轮廓的高效预测、全芯片可制造性快速检查、设计规则与制造能力的智能映射消解等核心技术。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五是行业大模型的垂直落地适配。通用大模型无法直接适配高专业度、强数据敏感的半导体场景，需解决领域小样本学习、本地化部署的算力与安全平衡、多智能体协同决策等落地难题。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核心模块指标对标国际头部水平，适配国内大晶圆厂生产需求：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多源数据统一接入融合平台：支持MES、EAP等5类以上系统接入，可自动解析标准化超100种工艺参数，同步承载100台以上设备数据采集，数据处理延迟≤1秒，接入广度持平应用材料同类产品，实时性达国际主流标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AI良率根因智能分析系统：良率异常根因定位准确率≥85%，分析耗时压缩至30分钟内，支持50种以上常见缺陷自动分类，缺陷识别准确率≥95%，核心效率指标追平国际头部水平。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良率预测与预警系统：晶圆良率预测偏差控制在±3%以内，可提前2小时以上预警异常，误报率≤10%，预测精度优于国际同类软件典型的±3%~5%区间，动态预警能力满足国内一线晶圆厂应用要求。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半导体领域AI大模型引擎：支持全私有化部署，推理响应≤3秒，可动态迭代更新工艺知识库，知识库容量覆盖超10万条工艺规则与案例，适配国产算力底座，性能优于通用大模型方案，处于国内领先梯队。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整体系统性能：适配12英寸全产线部署，系统可用性≥99.9%，支持200人以上并发访问，数据存储容量达PB级，满足大型晶圆厂7×24小时生产级严苛要求，整体能力达国内先进水平。</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张进东15711262953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面向新一代通信-高性能低功耗模拟芯片关键技术开发与应用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成都明夷电子科技股份有限公司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面向高通量卫星、星间链路、相控阵通信系统应用场景，双通道高速高精度ADC芯片存在低功耗、高带宽、高可靠三大技术难点，多项性能指标难以耦合优化，国产化突破门槛极高，具体分为三方面：一是低功耗电路设计。卫星平台供电有限、仅支持被动散热，传统14位、2GSPS以上高速ADC架构功耗偏高；需优化芯片架构与校正算法，在保障采样性能前提下将功耗控制在1.6W以内，并攻克低功耗工况下噪声抑制、工艺偏差校准难题。二是高精度同步时钟设计。双通道同步采样对时钟抖动、相位一致性要求严苛，现有时钟架构存在固有缺陷，无法满足宽温域、电压波动环境下的稳定性要求，易引发采样相位失真，需突破高速多相时钟稳态控制技术。三是高精度片上测温设计。现有集成温度传感器测温范围窄、精度低、功耗高，无法满足芯片全温域工作需求；需优化感温架构与非线性校准算法，实现实时温度补偿，保障ADC全工况运行稳定性。以上三项技术需协同配套、缺一不可，是制约该类卫星通信ADC芯片国产化落地的核心技术瓶颈。</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研制出面向卫星通信的双通道高速高精度ADC芯片，采样速率≥2GSPS、有效位数≥14位、信噪比≥50dBFS @ Fin=1100MHz (-2dBFs)，无杂散动态范围≥60dBFS @ Fin=1100MHz (-2dBFs), 双通道总功率≤1.6W @ 2.4Gsps；可直接适配高通量卫星、相控阵通信、星间链路等典型星载射频收发链路。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形成具有自主知识产权的双通道ADC低功耗架构、低抖动多相时钟产生、宽温高精度片上温度传感三项核心技术，申请发明专利≥3项，发表集成电路领域高水平学术论文≥3篇，构建覆盖架构设计、电路实现、校准补偿的完整技术体系。</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完成芯片全流程流片与宽温域、高动态性能测试，通过应用单位的功能验证，可实现核心器件国产化替代，打破国外在高端数据转换器领域的技术封锁，支撑下一代通信系统落地。</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2029-08</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龚海波13618274807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7"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鲁棒可解释多模融合工业质检关键技术研究</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成都数之联科技股份有限公司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开放动态环境下的多模态鲁棒感知与融合。 针对工业制造中常见的模态缺失、数据噪声及异构模态贡献失衡等问题，研究内生不确定性量化的动态自适应融合框架，解决从“感知拼接”到“可靠认知”的转变，确保极端工况下的决策稳定性。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“因果-解释”双向引导的决策机理研究。 突破传统AI“黑箱”限制，将因果发现与反事实推理集成至训练过程，使模型从统计关联转向因果发现。研究将解释保真度、概念一致性等可解释性指标转化为可微分目标约束，实现工业缺陷判定的“事前引导”与“过程透明”，构建性能与“内生可解释性”协同优化的新一代AI质检模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SNN-Transformer协同重构与类脑高效计算。 针对高频在线检测对能效的严苛要求，研究脉冲神经网络（SNN）与Transformer的底层理论融合。通过设计可微分动态膜电势模型与事件驱动型注意力机制，解决深度SNN训练不稳定及能效失衡难题，构建兼具高性能与超低能耗的类脑工业质检模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跨场景小样本迁移与泛化技术。 针对工业质检中缺陷样本极度稀缺问题，研究基于视觉基础模型与提示学习微调技术，提升模型在不同产品线、不同光照条件下的快速适配与泛化能力。</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缺陷检测精度： 综合漏检率（FN）≤0.5%，误检率（FP）≤5%。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支持4种以上异构模态自适应融合，包括但不限于文本、RGB、3D点云、红外等。</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推理实时性： 在工业边缘计算设备上，针对2K*2K分辨率图像输入，端到端推理延迟≤30ms。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泛化适配能力： 在新场景/新产品下，通过每种缺陷类型≤50个缺陷样本进行微调，准确率即可恢复至95%以上。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研发鲁棒可解释多模融合工业质检系统1套，登记软件著作权1项。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 知识产权： 申请发明专利不少于5项（授权2项），发表高水平学术论文≥2篇。</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2300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方育柯13981772710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4"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图传数据链智能天线与抗干扰软件关键技术研发</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成都泰格微电子研究所有限责任公司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一、天线技术难点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数据链需同步覆盖L/S/C等多频段，带宽频率比超30%，属超宽带天线，匹配与效率设计难，传统方案体积大。需突破小型化理论、超材料加载及宽带匹配，体积压缩50%以上时增益≥3dBi、驻波比≤2.0。天线与LNA、滤波器等分立设计难满足高灵敏度与集成需求，多器件协同优化困难，级联引入损耗与噪声。需开展一体化集成，攻关联合建模、低损互连、宽带匹配及噪声优化，确保NF≤3dB，降低功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二、抗干扰软件技术难点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频谱感知需实时识别干扰（准确率≥95%），毫秒级生成态势支撑跳频。跳频算法在干扰占用30%频段时达≥2万跳/秒，干信比≥30dB下误码率≤10⁻⁶。组网协议支持≥128节点自组网，入网≤1秒，拓扑响应≤100ms，路由自适应切换，自愈≤500ms。AI驱动处理利用深度学习增强低信噪比检测解调，动态适配波形，提升鲁棒性。</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一、天线技术成果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1.完成超宽带小型化天线方案设计及样机研制，天线尺寸40x30x6mm，工作频段覆盖L~C频段，增益≥3dBi，驻波比≤2.0。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2.完成天线-射频前端一体化集成方案，系统噪声系数≤3dB。</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二、抗干扰软件成果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交付软件模块1套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1.具备智能频谱感知，支持≥20种干扰类型识别，识别准确率≥95%，频谱态势更新周期≤10ms。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2.具备自适应跳频决策，跳频速率≥2万跳/秒，30%工作频段干扰下干信比≥30dB，通信误码率≤10⁻⁶。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3.具备分布式动态组网能力，支持≥128节点动态自组网，节点入网时间≤1秒，网络自愈时间≤500ms。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4.具备AI信号增强处理软件能力，支持低信噪比（SNR≥2dB）条件下信号可靠检测与解调。 </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蓝飞13488997589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8"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面向非结构化环境的多智能体协同作业系统关键技术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四川三思德科技有限公司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三思德科技已具备AI+无人装备应用基础和工程化能力，但在信号拒止环境下的高鲁棒定位、无中心自组网通信、异构多智能体协同控制及系统级国产化集成方面，仍需联合高水平科研平台和揭榜方开展协同攻关。具体技术难点如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1、环境适应性与鲁棒定位：野外地形起伏大、光照变化剧烈、GNSS易受遮挡，需通过视觉-IMU-RTK多传感器紧耦合融合，实现信号拒止环境下高精度（≤±5cm）、高鲁棒位姿感知，并应对雾霾、夜间等复杂环境条件。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2、动态自组网通信：无公网覆盖区域需构建无中心、高抗毁、低延迟（≤50ms）、远距离（≥10km）的动态自组网，支持多智能体实时可靠信息交互，网络拓扑动态变化、多径效应和电磁干扰为主要挑战。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3、异构多智能体协同决策与控制：无人机、足式、轮式等异构机器人运动学模型差异大，需设计高效的编队控制、任务分配、一致性算法，实现群体智能并确保部分节点失效时的强鲁棒性。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4、云边端协同计算架构：资源受限边缘端需实现环境稠密重建（＜100ms）、动态规划与全自主化决策，并与云端高效协同，解决实时性与智能化统一的技术难题。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机器人控制器：适配足式、轮式、履带、无人机、复合机器人等多种平台，支持CAN、Ethercat、5G、蓝牙等协议，防护等级IP67。</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感知控制边缘模块：接入摄像头、激光雷达、RTK等传感器，具备多模态融合感知能力（时空对齐、特征共享）；实现环境稠密重建（重建时间≤100ms，分辨率≥540×960）和位姿感知（精度≤±5cm）；具备动态规划与全自主决策能力，支持自动伴随、智能避障等功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自组网通讯模块：采用卫星+5G+专网、星闪/MESH等方案，设备间通讯距离≥10km，延迟≤50ms。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多智能体协同软件：构建云-边-端架构，包含任务决策分析、算法及模型池管理、数据中心、智能体运维管理、边端计算单元管理、业务监控及可视化等功能模块。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产业化成果：建成西南地区首个面向非结构化环境、集多智能体协同作业测试、场景验证与实战演练于一体的综合性基地，成立项目公司推进产业化；依托三思德科技全国销售网络（覆盖山东、新疆、西藏等），加速重点区域市场转化，预计产品上市3年内实现产值1亿元以上。</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蒋先勇13408573344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多模态协同感知融合边缘智算平台研发及应用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成都戎盛科技有限公司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难题一：多源异构传感器时空配准精度低，难以实现跨模态目标精准关联匹配。系统搭载的各类传感器硬件参数与安装工况差异极大，采集频率参差不齐、时钟基准不统一、安装位姿相对偏移明显，形成了显著的数据源异构特性。受此影响，各类感知数据普遍存在时间不同步、空间位置偏移等时空错位问题，导致数据配准精度难以达标，无法实现不同模态数据的精准对齐与关联匹配，为后续多模态数据融合、目标精准感知带来了基础性障碍。</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难题二：多模态数据融合层次低，自适应融合机制缺失。当前主流感知系统的信息处理方式较为粗放，大多仅完成简单的数据叠加和浅层特征拼接处理，未构建适配场景变化的自适应、深层次智能融合机制。无法深度挖掘不同模态数据的特征优势，难以实现多源信息的互补增强，极大浪费了多模态感知的数据价值，无法充分发挥多模态融合的高精度、高鲁棒性感知优势。</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难题三：国产化边缘算力平台适配性差，多模态智能融合模型部署困难。现有边缘算力平台的硬件架构、运算逻辑与部署范式均围绕通用基础模型搭建，未针对多模态数据融合的复杂算法特性、多维计算需求进行优化升级。平台缺乏适配多模态异构数据并行处理、深度特征融合、智能推理计算的专属算力支撑能力</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（详尽全面、原则上不少于200字并对相关内容进行脱密脱敏处理）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本项目以突破多模态边缘智能感知关键核心技术、实现软硬件核心体系自主可控、赋能全域智能感知场景规模化落地应用为核心目标，构建集多源数据配准、深度智能融合、轻量化边缘计算于一体的软硬件一体化多模态协同感知融合边缘智算体系。具体核心技术指标如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 多模态数据接入能力：支持不少于5类多模态传感数据同步接入，包括可见光、红外、雷达、频谱、声波等典型传感器数据。</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多模态数据时空配准性能：不同模态数据对齐后的平均时间差≤10ms，跨模态空间点映射后的位置偏差达到厘米级。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多模态数据边缘融合处理性能：5类多模态数据作为输入，多模态融合边缘智算平台单帧数据推理时间≤50ms。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目标感知性能：在低空监测应用场景，对各类型无人机、飞鸟、空飘球等低空目标的识别准确率≥96%；对无人机目标探测距离≥1km，在1km的探测距离范围内，目标探测概率≥90%，目标定位的水平误差≤10米、高度误差≤10米。</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邓建华18200577288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高端光模块微组装AI精密缺陷检测与智能质量溯源技术攻关</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成都信和创业科技有限责任公司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微组装微细缺陷特征提取与高精度识别技术难。光模块微组装工艺器件微型化、布局高密度，陶瓷基板芯片粘接错漏装、漏装及金丝焊接偏移、路径畸变等工艺缺陷特征微弱、隐蔽性极强，与正常工艺结构相似度高。传统视觉算法特征提取能力有限，难以适配亚微米级精度识别需求，无法有效区分细微工艺偏差，易出现误检、漏检，难以满足高端光模块精密装配的工艺质控精度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工艺质控数据关联溯源与工艺迭代分析技术难。现有检测技术仅能实现单一缺陷判定，未构建标准化工艺数据融合架构，工艺图像数据、缺陷特征数据、装配工艺参数、工艺批次数据相互割裂。缺乏多维度工艺数据的联动关联、结构化归档与溯源分析技术，无法精准定位工艺缺陷根源、反向优化装配工艺参数，难以支撑高精度微组装工艺的持续迭代优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微组装专用智能质控算法适配性优化技术难。市面通用AI视觉检测与溯源算法通用性强、行业针对性弱，无法适配光模块金丝焊接、微型芯片装配的特殊工艺场景。通用算法对微细工艺特征适配度低、抗干扰能力差，难以匹配微组装精密工艺的质控逻辑，无法直接应用于高精度工艺缺陷检测，亟须针对性攻关专用算法优化与工艺适配技术。</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攻克精密缺陷智能识别技术。针对芯片装配、金丝焊接等重点生产工艺阶段，出现的微细隐蔽缺陷，研发专用AI识别算法，突破引线精密键合质量检测技术瓶颈，实现典型工艺缺陷智能识别准确率≥90%，有效解决传统技术误检、漏检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2.构建工艺数据智能溯源技术体系。搭建多维度工艺数据融合归档架构，实现检测图像、判定结果、工艺参数与批次信息精准关联，检测数据归档率、关键数据关联率均≥95%，支撑工艺缺陷溯源与迭代优化。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形成成套技术成果与知识产权。沉淀1套适配微组装场景的智能质控技术方案，形成配套1项企业技术标准，申请2项发明专利和5项软件著作权，实现精密质控技术智能化升级，破解高端光模块“造得出、测不准”技术难题。</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2800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邓克洋19150228612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4"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基于多模态感知融合与车载智能协同的AI智驾系统</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成都中科创达软件有限公司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项目核心难点分为四大方向，且车规约束严苛：CPU＜10k DMIPS、GPU＜650 GFlops、内存＜500MB、单帧延迟＜10ms。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跨域数据：传统智驾仅输出基础识别信号，座舱二次解析产生 50–200ms 时延，多传感器时空基准不一致，易出现车道、车位显示偏差。需研发统一环境描述模型 UEDM，搭建零拷贝共享内存架构。</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轻量化实时渲染：原生 Kanzi 引擎适配静态界面，动态预测轨迹渲染算力常超 800 GFlops。通过定制智驾专用着色器、前置轨迹运算、动态 LOD 分级调度降低算力消耗。多源虚实融合：环视影像与三维虚拟场景存在透视、光照、遮挡错位，标定漂移造成厘米级偏差，需实现在线视觉标定、光照同步与深度遮挡判断算法。车规资源调度：车辆高低温、电磁干扰易产生内存碎片、线程抢占，多任务并发易触发降频卡顿。需建立分级混合优先级调度体系，配套静态内存池与动态特效降级策略。同时行业存在配套开发痛点：智驾平台、车载 OS 标准不统一，舱、驾模块分开发导致联调周期漫长；缺少一体化仿真工具，车企重复搭建测试环境抬高研发成本。为此需打造标准化开发平台与配套工具链，打通完整工业化开发流程。</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（一）技术性能目标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端到端延迟＜50ms，智驾信号至渲染单帧、轨迹平滑均＜10ms；复杂城市场景CPU＜10k DMIPS，含光影特效GPU＜650 GFlops，内存≤500MB。实现影视级PBR材质、动态阴影、实时路面倒影，SR与AVM厘米级时空对齐，消除视觉割裂；形成UEDM行业标准，解决车道线、停车位等识别失真。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（二）产品成果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交付分层ISR产品矩阵：核心中间件V1.0含高端全功能、主流标准、入门轻量化三版；配套SR、SR+AVM、SR+MAP开发插件及仿真预览、性能分析工具；完成高通、英伟达、地平线等芯片适配，兼容QNX、AUTOSAR等OS；提供一站式开发流程，缩短车企HMI开发周期30%-50%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（三）市场与知识产权成果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周期内完成3家车企量产定点，软件授权及技术服务收入≥5000万元，降低域控硬件成本15%-25%；申请发明专利≥3项、软著≥5项，输出全套技术文档，完成2家车企深度培训；打造标杆量产案例，构建ISR开发者生态，形成行业参考标准。</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4800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蒋艳菲18780092198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超宽带小型化高性能频率源芯片</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成都鸿立芯半导体有限公司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1.超宽带线性调谐设计：宽频段内寄生参数与互连损耗急剧恶化，需突破VCO调谐线性度与相位噪声的制约瓶颈，实现全频段无缝覆盖。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2.极低相位噪声控制：高频下晶体管逼近极限频率，有源器件噪声显著增加，如何抑制全频段相噪是全球难点。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3.高频分频与鉴相技术：传统数字分频器在毫米波频段存在速度与非线性限制。精准、快速分频是行业难题。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4.电磁兼容与信号完整性：超宽带射频链路极易受干扰，需攻克复杂电磁环境下的多谐振调控、高频阻抗匹配及数模隔离技术，抑制谐波与杂散等问题。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5.高频芯片流片与测试：毫米波频段对版图寄生极其敏感，需解决先进工艺下的高频建模误差、封装寄生效应及晶圆级高频自动化测试难题。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1.电路无倍频的情况下，工作频段覆盖0.1~40GHz；</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2.归一化噪底低于-230dBc/Hz；</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3.杂散低于-70dBc；</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4.频率捷变时间：≤15μs；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5.功耗≤300mW；</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6.尺寸≤6mm×6mm×1.5mm；</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2200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罗闯15802876848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6"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基于HDL-X的复杂数字系统图形化设计与实时仿真调试关键技术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四川新先达测控技术有限公司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1.当前图形化设计工具与主流工业语言间存在语义鸿沟，难以实现精准互操作。为实现设计资产的继承、迁移与生态融合，需攻克图形化语言HDL-X与Verilog、VHDL等工业标准语言间的双向、无损自动转换难题。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面对复杂数字系统设计，现有图形化工具在处理海量元件时面临严重的性能与交互瓶颈。当设计规模达到数千个模块与连线时，传统图形界面普遍出现渲染卡顿、操作延迟、视觉混乱等问题。需突破超大规模图形数据的实时渲染与高效交互技术，通过引入画布虚拟化、增量式编译、层次化折叠等先进机制，在有限算力下保障界面流畅性与设计可读性，支撑万级元件规模的敏捷设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3.数模混合信号系统的仿真验证受限于离散事件与连续时间系统的协同难题。必须自主开发轻量级数模混合仿真调度内核，实现高效、精准的协同仿真，支撑完整的系统级性能验证。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国产化设计工具与下游硬件实现工具链之间数据割裂，难以形成设计闭环。需攻克与国产EDA工具链的深度集成与数据逆向解析技术，实现从物理实现结果到图形化设计视图的自动反向标注与可视化，使设计师能在抽象设计层直接洞察物理瓶颈，形成“设计-实现-优化”的快速闭环。</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1.语言与转换：实现HDL-X与Verilog/VHDL标准子集的双向自动转换，语义一致率≥99.9%，完成5类以上复杂时序逻辑的图形化定义与验证；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2.国产工具链深度集成：完成与国内主要FPGA厂商（至少1家）的官方工具链深度集成。实现从图形设计到比特流文件的“一键式”生成。</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核心IP与组件库建设：形成初步的自主组件生态。交付的平台上需集成一个经过验证的基础IP核库，其中包含不少于50个可参数化配置的通用数字IP（如各类计数器、FIFO、通信接口控制器）及10个以上数模混合接口模型，供图形化设计直接调用。</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4.平台国产化适配：发布的平台软件桌面版须原生适配至少2款主流国产操作系统（如麒麟、统信等），并确保所有核心功能在无国外操作系统或商业仿真软件依赖的条件下正常运行。</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5.建立基于HDL-X图形化系统建模的团体标准。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6.项目成果在高校、科研院所和企业中进行推广应用，建立软件实训中心/联合实验室，应用单位总数不少于10家。</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周建斌13881925909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工业AI视觉检测系统关键技术研究与验证</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成都旭光科技股份有限公司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  在无线通讯模组生产的SMT工艺与外观检测场景中，工业AI视觉检测系统面临多项针对性技术难点：​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1.多场景弱特征缺陷检测瓶颈。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SMT高密度PCB上的焊点与线路对比度低、表面易反光、产生阴影，成像模糊，边缘不清晰，常规算法易漏检、误判。且同一缺陷在不同光照、角度、批次材料下呈现显著形态变异，导致模型泛化能力严重受限；误判率高，需要人为复判。</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2.多材质多曲面特征提取不稳定。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塑料外壳多材质、多曲面结构导致成像畸变严重，熔接线、缩痕等缺陷纹理微弱且边界模糊，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塑料外壳多材质、多曲面结构导致成像畸变严重，熔接线、缩痕等缺陷纹理微弱且边界模糊，传统图像增强与分割方法难以稳定提取有效特征；模块包含PCB基材、金属屏蔽罩、塑料外壳等多材质，增加模型泛化难度。​</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3.质量数据闭环构建障碍。</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检测结果分散于各工站系统，缺乏统一质量画像与根因分析引擎，难以联动工艺参数、设备状态与缺陷分布，实现从“检出缺陷”到“预测预防”的闭环跃迁。唯有将算法创新、硬件协同与工艺理解深度融合，方能在毫秒级响应中守住质量底线；唯有以缺陷为镜、以数据为脉、以闭环为纲，才能让AI真正从“看得见”走向“想得清”“控得住”。</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1.赋能SMT缺陷精准识别与误判率控制。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研发弱特征增强算法，有效攻克SMT高密度PCB成像模糊及缺陷形态变异难题。指标：覆盖SMT缺陷类型≥12类，缺陷识别准确率≥99.2%。</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2.突破多曲面外壳缺陷稳定判定瓶颈。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创新塑料材质预处理方案，突破多曲面成像畸变与弱纹理提取的技术瓶颈。指标：外壳缺陷覆盖率≥8类，最小可检尺寸偏差≤0.08mm。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3.构建工艺缺陷关联分析能力。</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打通检测系统与SMT设备、MES、SPC系统的数据接口，构建联动追溯平台，实现工艺参数与缺陷数据的关联分析，为质量优化提供数据支撑。指标：生产数据可视化，缺陷追溯时间≤20min，系统响应延迟≤500ms。</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郑炽18981784908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地面仿真试验装备（高速离心机、风洞）智能运维关键技术研发与应用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成都铭峰新源科技有限公司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多源异构数据融合难：设施数据来自PLC、SCADA、测控系统、传感器、报警系统、试验记录、维修记录和人工台账，存在频率、格式、时钟和质量差异。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复杂变工况健康基线建立难：不同转速、载荷、压力、温度、风速和任务阶段下，正常状态不同，固定阈值难以适应。</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小样本故障条件下AI诊断难：重大设施真实故障样本少、复现成本高，需要融合设备机理、专家经验、故障模式和历史数据。</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跨系统故障根因推理难：机械、电气、控制、液压/气动、安全联锁等系统高度耦合，需要建立可解释故障传播链和根因推理模型。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不停机预测维护决策难：需在保障安全前提下，结合任务计划、风险等级、备件状态和维修窗口，实现少停机、不误停和持续运行保障。</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1、建成面向高速离心机、大型风洞等重大科研设施的多源运维数据底座，接入不少于2类重大设施或典型子系统，关键运行数据接入覆盖率不低于90%，运维记录结构化率不低于80%，关键字段完整率不低于95%。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2、建成重大设施“设备结构-部件层级-测点参数-运行工况-报警规则-故障模式-维修措施-历史案例”专有知识模型，沉淀不少于20类典型故障模式、不少于50条故障处置规则或案例。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3、形成复杂变工况健康评估模型，关键参数异常识别准确率不低于90%，关键部件健康状态评估结果与专家评估、检修结果的一致率不低于85%。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4、形成机理增强故障诊断与根因推理模型，典型故障模式识别准确率不低于85%，Top3根因命中率不低于90%，故障定位平均时间较人工排查缩短不低于50%。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5、形成关键部件退化预测和预测性维护决策模型，重大异常提前预警时间不低于24小时，异常触发至生成维修建议的响应时间不超过5分钟，示范期内非计划停机时间较基线降低不低于30%。</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1250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胡华伟13111868042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国产化高精度超声流量传感器核心技术攻关及验证</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成都安可信电子股份有限公司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1.超声波核心器件与计量模组技术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突破超声波换能器设计、频率优化、声阻抗匹配等关键技术，摆脱进口模组依赖。攻克双声道测量结构设计难题，抵消燃气流动扰动对计量的影响。</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2.高精度计量与算法技术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突破高精度时差测量算法，运用数字信号处理技术，实现1ns级时差分辨能力。攻克自适应温度、压力补偿算法，将全量程误差控制在±0.5%以内，达到1.0级高精度计量标准，优于行业主流1.5 级水平。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3.系统超低功耗控制技术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攻克低功耗硬件电路与软件协同控制技术，优化 MCU 工作模式、电源管理架构与通信策略，采用 “定时唤醒 + 休眠” 机制。将静态功耗控制在 20μA 以下，实现主电源续航 12 个月以上、备用电池使用寿命不低于 10 年。</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4.高可靠性与安全兼容设计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满足国家防爆标准，完成安全电路设计；提升电磁兼容性能与环境适应性，确保产品在- 25~55℃、湿度＜95% 的复杂环境下可靠工作。实现与燃气报警器、智能阀门无缝对接，达成毫秒级阀控联动。</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5.国产化降本与产业化适配</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通过结构与方案优化，整合国产供应链，将核心部件成本降低 15%-20%。攻克封装、密封、测试、安装适配等工程化技术难题。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1.核心技术指标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1）核心器件与计量精度指标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攻克超声换能器与双声道结构难点，实现全量程误差≤±0.5%，计量精度达1.0 级；时差测量分辨率1ns，具备温度压力自适应补偿能力，抵消燃气流动扰动影响。</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2）超低功耗控制指标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突破软硬件协同低功耗技术，静态功耗≤20μA；主电池续航≥12 个月，备用电池使用寿命≥10 年。</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3）高可靠与兼容指标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满足 GB/T3836.1-2021、GB/T3836.4-2021 防爆要求，防护等级IP65；适应“-25~55℃、湿度＜95%”的复杂环境；实现 “表-警-—阀”联动，响应时间＜3 秒。</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2.质量指标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1）产品平均无故障工作时间（MTBF）≥90000 小时，使用寿命≥10 年。</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2）累计故障率控制在行业极低水平，通过 CPA 型式批准与第三方权威检测。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3）TR 评审问题关闭率≥90%，IPD 流程符合度≥90%。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3.核心成果指标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1）完成超声计量模组、换能器、主控、电源等核心模块自主研发，实现关键部件国产化。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2）形成可量产设计方案与工艺规范，核心部件成本降低 15%~20%。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3）突破进口依赖，形成自主可控的高精度超声燃气传感技术体</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2726.5</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魏季水19983196837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相控阵数字DBF雷达多通道信道专用芯片</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成都锐芯盛通电子科技有限公司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 相控阵数字DBF雷达多通道信道专用芯片具有高集成度、多功能、高一致性等特点，其研发涉及射频、模拟、数字及系统架构等多学科交叉，技术难度大。首先，多通道高度集成使芯片内部电磁耦合、串扰及寄生效应显著增强，不同信道之间易产生幅度、相位及噪声耦合，导致通道隔离度下降，影响数字波束形成精度和系统动态范围，因此需要在芯片版图、电磁兼容及封装设计等方面实现高隔离度优化。其次，为满足系统小型化和低成本要求，需在单芯片内高度集成低噪声放大、增益控制、混频、频率综合（PLL）、射频开关、耦合检测、滤波以及高速接口等多项功能，各功能模块间性能相互制约，如何兼顾高性能、高线性度、低噪声、低功耗和高可靠性，是芯片设计面临的重要挑战。与此同时，为提升产品通用化水平和产业化价值，芯片不仅需要满足数字DBF雷达应用需求，还应兼容无线通信、电子战、测试测量及民用感知等多种应用场景，因此需突破传统专用信道架构，创新设计可配置、模块化、多模式的系统拓扑，实现宽频段、多体制和多场景适配，在保证性能指标的同时兼顾产品平台化和系列化发展，为国产高端射频信道芯片提供通用技术基础。</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拟突破相控阵数字DBF雷达多通道信道专用芯片关键技术，形成具有自主知识产权的系列化技术成果。项目完成1款多通道信道专用芯片的设计、流片、封装及样片研制，建立完善的芯片测试评价体系，完成电性能、环境适应性及可靠性验证，形成满足工程应用要求的芯片样片。基于研制芯片完成1套多通道信道验证样机开发，实现与数字波束形成系统的集成验证，完成幅相一致性、通道隔离度、噪声系数、线性度、动态范围等关键指标测试，并验证其在数字相控阵雷达、无线通信、电子战及民用感知等典型应用场景中的适用性。同时，形成完整的芯片设计规范、应用参考设计、测试规范及技术报告等技术成果，申请发明专利3～5项、集成电路布图设计专有权1～2项，发表高水平学术论文2～3篇，培养高水平研发人才，为后续产品定型、批量生产及产业化推广提供技术支撑，形成我国高端多通道信道专用芯片自主研发和工程应用能力。</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2029-10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袁野13880796135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小型反无装备专用大功率脉冲电源模块全国产化关键技术开发与应用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成都竟诚电子科技有限公司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1、电源输出瞬态响应</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全国产化元器件生产的电源，瞬态响应速度较慢，不能满足电压精度要求，影响激光稳定发射。需开发电源输出超快瞬态响应技术，解决电压波动的问题。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2、物理尺寸与重量：</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电源输出脉冲负载需要大量使用无源器件，体积大、重量重，但过量使用会过度增大电源体积及重量，不能满足中小型激光发射的轻量化要求。需开发有源补偿技术，解决脉冲负载对输入直流源的影响，合理配置无源器件，减小电源体积和重量。</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瞬态均流技术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多电源并联扩容均流性是影响激光能量效率的关键因素。现有并联均流技术无法高效控制电源脉冲功率负载均流问题，导致电源能量效率达不到理想状态，影响电源标准化扩容和模块化设计。需开发瞬态均流技术，解决电源脉冲功率负载均流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供电架构与控制技术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脉冲功率负载可能导致AC-DC级联DC-DC系统不稳定，影响级联系统供电质量。需开发适应脉冲功率负载的供电架构和控制技术。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极端环境的适应性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极端环境下功率器件、无源器件及控制芯片参数随温度非线性漂移，负载扰动抑制能力下降，降低了电源的适应性和可靠性。需开发具有宽温鲁棒性的电路结构和控制技术，确保电源在极端环境下的适应性。</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单电源模块参数：</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体积尺寸：≤180mm*130mm*15mm，公差≤±0.2mm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重量要求：≤1kg</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输入电压范围：输入电压范围：380VDC～650VDC</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输出电压： 28VDC±2%</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输出功率：输出平均功率≥5kW；瞬时功率7.5KW（2s）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纹波VPP：≤500mV；</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瞬态特性：负载从10%~100％变化（电流变化率5A/us），电压瞬态变化≤0.56V短时间可承受1.5倍过载（过载时间不超过2s）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效率：≥95%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保护功能：具有输入欠压及过压保护、输出过流保护、输出短路保护、输出过压保护</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冗余并联：10台</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并联均流功能：稳态电流均流度≤±3%，瞬态电流均流度≤±5%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元器件要求：全国产化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质量等级：工业级及以上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工作温度：－40℃～+85℃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贮存温度：－45℃～+85℃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低气压：最大使用海拔高度：不小于5000m</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1860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王晟18980950925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9"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车载Triple-Gate-GIP与INCELL集成触控显示屏研发项目</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信利（仁寿）高端显示科技有限公司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项目核心技术难点集中在架构集成、信号兼容、工艺适配与可靠性四大方面。首先是Triple-Gate-GIP电路设计与大尺寸适配难点，需在不增加栅极驱动资源前提下，实现数据线减至1/3、扫描线倍增的电路重构，同时保证线宽均匀性、金属层附着力与信号完整性，冗余驱动设计与时序控制难度高，12.3英寸大尺寸面板易出现驱动不均、信号衰减等问题。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其次是INCELL触控与显示驱动的兼容集成难点，触控传感器嵌入面板内部后，与Triple-Gate驱动电路易产生电磁串扰，导致触控噪声、报点偏移、显示横纹等异常；需在有限层间空间完成传感器布局优化，并开发抗干扰解调算法，高低温下触控稳定性控制难度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第三是PLN垫层工艺与制程兼容难点，采用SiNx材料制作PLN垫层以降低耦合、替代OC材料，需精准控制沉积厚度与均匀性，同时与Array、CF、Cell现有a-Si产线工艺匹配，多工序叠加易导致良率波动、膜层附着力不足、显示色差等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第四是车规级可靠性达标难点，车载环境要求-40℃~85℃高低温、高温高湿循环长期稳定运行，传统消费级材料与封装无法满足，需在液晶、封胶、配向膜等关键材料选型与封盒、固化工艺</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1、产品尺寸及分辨率：12.3英寸，1920*720RGB；</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2、显示对比度：≥1200:1（典型值1500:1）;</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3、成本与集成指标：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Source IC使用量：≤1颗/面板</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4、可靠性指标：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高低温运行：-40℃/500H，+85℃/500H</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高低温存储：-40℃/500H，+95℃/500H</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高温高湿测试：+65℃95％RH/500H</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2100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王新志13560575525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MicroLED 多通道行列合一驱动芯片</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成都利普芯微电子有限公司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（1）高集成度行列合一架构设计：单芯片集成多路恒流输出通道与多路行扫描驱动，需在高压大电流模拟电路与低压高速数字电路之间实现物理隔离与噪声屏蔽，避免闩锁效应（Latch-up）及衬底噪声耦合；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（2）超高刷新率与低灰阶精细校正：在3840Hz刷新率下实现16bit（65536级）灰度显示，要求PWM脉宽精度达到3ns级别，对内部时钟抖动、电流建立时间、温度漂移及电源噪声抑制提出极高要求；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微安级恒流精度与通道一致性：MicroLED工作电流低至0.1mA，要求通道间电流偏差小于±1%，需设计高精度共源共栅电流镜、动态匹配校准电路及先进的版图对称技术，解决工艺梯度、阈值电压失配及热梯度引起的系统性偏差；</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（4）共阴极驱动与低功耗优化：采用共阴结构实现深度节能，黑屏条件下动态节能需达20%以上，需解决共阴架构下的电荷共享、行列串扰、上下鬼影、开路毛毛虫、坏点十字架等8大显示异常问题；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（5）高速级联数据传输与多芯片同步：通过串行接口级联≥8颗芯片，需解决长距离传输的时钟恢复、数据完整性及多芯片PWM输出同步问题，确保大规模阵列显示一致性；高可靠性及ESD防护：在90nm~55nm制</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（1）芯片架构：完成多通道恒流输出与多路行扫描的行列合一驱动芯片设计，单颗芯片可驱动≥960颗LED；</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（2）显示性能：支持16bit灰度等级（65536级），刷新率≥3840Hz，有效解决上下鬼影、低灰色块色偏、首行暗线、高对比耦合等8大显示问题；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（3）电流精度：恒流输出范围0.1~5mA，通道间电流偏差&lt;±1%，支持高/低灰阶逐点校正；</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（4）数据传输：采用串行传输接口，支持级联≥8颗芯片；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（5）功耗指标：单芯片显示功耗≤15uW/Pixel，满载功耗≤20uW/Pixel，黑屏动态节能较传统方案提升≥20%；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（6）封装与工艺：采用BGA封装，基于90nm~55nm制程流片；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（7）可靠性：通过DCI电影屏认证标准，具备高抗静电与EMI抑制能力；</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高兴波13311192990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9"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面向金融风控的多源异构风险证据融合与可信智能体关键技术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成都新希望金融信息有限公司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本项目以风险证据产生—组织—研判—验证全链路为主线，攻克九大核心难点：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 多源风险信息统一语义与证据表达技术。搭建风控本体与元模型，实现多类数据统一表达，支撑跨系统协同研判。</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跨源主体识别、关系对齐与错误容错技术。多维对齐搭配复核校验，减少主体匹配偏差带来的研判误差。</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图文异构材料精细化风险事实抽取技术。融合 OCR 与语义提取线索，锚定原文原图，支持溯源核验。</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风险证据时效、冲突甄别与可信度量化计算技术。多维评估模型自动筛选有效、无冲突风险证据。</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5．风险证据图谱增量构建与时序演化技术。事件驱动动态更新图谱，留存时效版本，实现长期风险分析。</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 图谱驱动的模型与规则协同研判技术。打通证据、模型、规则关联，统一冲突处置与溯源逻辑。</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7. 证据约束的 Agentic RAG 与受控 Tool Calling 技术。多轮检索校验，规范风控工具，研判全程受证据约束。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8. 有限多智能体协同验证与人工接管技术。划分智能体边界，全程留痕，关键节点交由流程、人工复核。</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9. 大规模证据处理与智能体评测稳定保障技术。算力调度、断点恢复、资源隔离保障业务稳定运行。</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多源风险证据融合与图谱演化技术。搭建标准化金融风险要素表达体系，兼容不少于8类内外风控数据源；实现主体对齐、多模态证据抽取、时效冲突识别、可信度计算与图谱增量更新，主体匹配、证据抽取准确率均不低于90%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证据驱动的模型规则协同研判技术成果。建立证据与模型、规则双向转换、协同校验、冲突处置及结论解释机制。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可信风控智能体协同与评测技术。构建本体驱动Agentic RAG、受控工具调用、多智能体协同、人工接管、全轨迹审计整套机制，配套覆盖全流程的标准化智能体评测体系。</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关键技术集成验证与示范平台。集成前述技术搭建隔离式验证平台，具备权限管控、故障恢复、多环境分区运行能力，形成贷前审批、贷中监测和贷后预警3类示范应用；试点流程风控材料处理效率提升30%以上。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知识产权成果。输出完整技术报告，形成可复用的金融可信风控技术方法论；申请核心发明专利≥3 项、软件著作权≥1 项，沉淀行业共性技术成果。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平台智能体仅承担证据整理、研判支撑工作，不替代机构最终授信与风险处置权限，符合金融监管合规要求。</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徐志华15198105890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脑机共融多模态智能感知决策座舱系统关键技术</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四川华控图形科技有限公司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1.脑机接口与生理信号融合：实现极端环境下多源生理信号高精采集融合与动态适配，突破低信噪比特征提取技术，达成毫秒级脑电解码。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2.多模态情境感知与交互：构建多通道指令融合模型，解决复杂情境人机交互冲突，通过动态优先级算法实现人机协同无缝切换。</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3.高精三维态势实时建模：攻克异构传感器时空同步校准技术，实现20ms内实时三维态势构建，提升目标跟踪的实时性与鲁棒性。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4.舱室微环境精准调控：解决复杂工况下多变量协同的非线性耦合问题，突破高精伺服控制技术，实现极温区快速精准调参。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5.全链路闭环一体化集成：实现从乘员生理/环境数据监测、海量信息智能处理到决策结果直观呈现的全链路闭环，需解决数据流转效率与显示交互精准性问题。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1.智能感知与态势构建：支持≥8类异构传感接入，时统同步误差≤20ms；目标识别准确率≥90%，动态跟踪响应≤0.5s，三维建模覆盖300-500米，路径通过性评估≥90%，高危目标漏判率≤1%，虚警率≤1次/小时。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2.脑机共融与交互效能：实时监测乘员≥3类状态，识别准确率≥80%；多模态指令识别≥90%、反馈延迟≤200ms，强噪环境语音唤醒率≥90%；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3.乘员状态与可靠性：脑电采样≥256Hz，心率/眼动≥60Hz，疲劳预警准确率≥88%，头显集成脑电Fp1/Fp2、眼电等，支持波形实时显示。</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4.硬件与工程落地：形成1套军民两用原型机；申请发明专利≥2项。</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苏飏13008146132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72"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高良率高效率石英晶体温度补偿系统</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成都世源频控技术股份有限公司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电子信息</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1、极弱微变信号的高保真提取与全温区非线性状态建模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以26MHz晶振为例，在-45℃~105℃全温区内实现±0.5ppm补偿精度与≥95%良率，面临两大瓶颈：一是测试设备本底误差（-500ppm~0.5ppm）强于真实温漂信号，严重掩盖微变特征；二是传统5~6次多项式拟合无法刻画宽温区边缘非线性动态，且引入严重失真。核心攻关方向：如何在强噪声下实现动态微变信号的高保真重构与测量误差自适应过滤；如何突破刚性多项式局限，针对海量个体差异建立高鲁棒性非线性数据驱动模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2、高带宽海量测试数据降冗与基于早期瞬态特征的异常预测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核心挑战在于平衡高产效（≥1000pcs/小时）与物理耗时的矛盾。传统方案单颗需10个以上测试点，在高吞吐量下会产生海量时序数据，给边缘计算带来沉重的存储与传输压力。更关键的是受限于升降温与保温的物理极限，必须彻底摒弃“全流程保温完测后再判定”低效模式。核心攻关方向：如何利用极早期（非热平衡态）的少量瞬态波形与多维特征，构建高准确率的异常模式识别机制，实现对频漂突变或结构缺陷产品的“早夭预测”与自动剔除，亟需配套高带宽测试方案以支撑海量数据的实时处理与早期智能判决。</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1、核心工艺与产能指标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本系统面向-45℃~105℃宽温区，通过自适应抗干扰与信号重构，实现综合补偿精度≤±0.5ppm。算法具备强非线性自适应能力，在剔除因材料内应力、结构硬伤等导致物理基底突变的无效样本后，有效温补良率≥95%。同时，依托早期瞬态智能诊断与高频数据降冗，打破单体长时保温瓶颈，支持多工位高并发并行处理，综合产出效率≥1000pcs/小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2、核心算法与系统软件指标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底层集成自适应模态分解与降噪引擎，具备毫秒级滤波与真实微变信号重构能力，应对现场背景噪声与测量毛刺。交付基于智能优化与深度学习的融合补偿软件平台，单颗晶体温漂特征推理与全温区补偿参数计算耗时≤50ms。内嵌基于多元时序信息熵的早期诊断模型，在非热平衡态下对温漂严重异常或结构缺陷产品的综合识别与拦截准确率≥95%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3、知识产权成果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在数据驱动状态估计、非线性微变信号重构及早期异常诊断等方向，申请国家发明专利≥2项；发表高水平学术论文≥1篇。最终交付具备行业示范效应的高良率智能温补控制系统软件及软硬协同原型验证平台，系统解决精度、良率与效率的多重矛盾。</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4960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田培洪18190761005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1"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新型钛基金属陶瓷整体刀具研制与产业化应用示范</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成都美奢锐新材料有限公司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一、多元复合固溶体系存在显著物相纯度与固溶度协同调控难题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制备过程中，热力学与动力学条件耦合作用复杂，且Mo、Ta、Nb等元素原子结构、扩散特性差异较大，多元元素固溶可控性较差，粉体成分与组织结构一致性不足、稳定性弱，直接导致金属陶瓷刀具成品性能波动较大，制约产品品质稳定与规模化应用。</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二、液相烧结热-力-气氛多场耦合下致密化与组织演化协同失配难题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常规烧结中硬质相易在钴、镍粘结相内选择性溶解，诱发碳氮化物分解、基体脱氮等缺陷，导致坯体致密度不足、孔隙率偏高。无法精准调控液相烧结溶解-析出平衡，难以同步实现基体高致密、晶粒细化与组织稳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三、弱芯环界面可控构建与硬质相-粘结相强韧性协同难题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传统芯环结构润湿性差、组织不均，硬度与韧性互制。新型固溶体简化界面，但溶解-析出由界面能主导，工艺窗口窄，成分或参数微变即致界面缺陷、芯环退化，难以协同提升强度、韧性及红硬性。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四、涂层/基体界面相容性及结合强度协同控制难题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钛基金属陶瓷基体与常规涂层物化相容性不足，界面残余应力大、结合强度低。高温切削时粘结相扩散反应会进一步弱化界面性能，易引发涂层剥落，严重制约刀具高端化应用。</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新型钛基金属陶瓷材料密度6.6～7.2g/cm3，硬度HRA≥92.0，硬度HV30≥1400，抗弯强度≥3000MPa，断裂韧性8.0～9.0MN/m3/2；</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2.发明专利授权5项，实用新型专利授权5项；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3.国家/行业标准1项；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4.职称提升3人，学历提升3人；</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5.项目实施期内建成年产200万件钛基金属陶瓷材料及整体刀具生产线，累计实现销售收入不少于1亿元。</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鲁攀13400741033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探测器用碲锌镉晶体研制及超纯材料制备技术开发</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成都中建材光电材料有限公司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超高纯原料规模化制备与全流程质控难点：需攻克7N级镉、锌、碲单质材料定向深度除杂工艺，建立稳定可靠的高纯原料质量管控体系，实现7N+超高纯金属规模化提纯生产。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高性能碲化物单晶低缺陷量产技术瓶颈：亟待攻克组分高精度配比、全域杂质抑制、低缺陷宽频段晶体生长核心技术，配套研制节能智能生长装备，破解晶体良品率低、量产效率不足难题。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技术指标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 超高纯碲、锌、镉材料</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（1）纯度≥7N，批次稳定性100%，高纯碲含铅、铁和硒均低于0.005ppm，含铜低于0.001ppm；高纯镉、高纯锌含铅均低于0.005ppm；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碲化物晶体</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（1）碲化镉晶体电阻率≥5x10^9Ω˙cm</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（2）迁移率寿命积≥1×10^-3cm/V；</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（3）能量分</w:t>
            </w:r>
            <w:r>
              <w:rPr>
                <w:rFonts w:hint="eastAsia" w:eastAsia="宋体" w:cs="Times New Roman"/>
                <w:i w:val="0"/>
                <w:iCs w:val="0"/>
                <w:color w:val="000000"/>
                <w:kern w:val="0"/>
                <w:sz w:val="18"/>
                <w:szCs w:val="18"/>
                <w:highlight w:val="none"/>
                <w:u w:val="none"/>
                <w:lang w:val="en-US" w:eastAsia="zh-CN" w:bidi="ar"/>
              </w:rPr>
              <w:t>辨</w:t>
            </w:r>
            <w:bookmarkStart w:id="0" w:name="_GoBack"/>
            <w:bookmarkEnd w:id="0"/>
            <w:r>
              <w:rPr>
                <w:rFonts w:hint="default" w:ascii="Times New Roman" w:hAnsi="Times New Roman" w:eastAsia="宋体" w:cs="Times New Roman"/>
                <w:i w:val="0"/>
                <w:iCs w:val="0"/>
                <w:color w:val="000000"/>
                <w:kern w:val="0"/>
                <w:sz w:val="18"/>
                <w:szCs w:val="18"/>
                <w:highlight w:val="none"/>
                <w:u w:val="none"/>
                <w:lang w:val="en-US" w:eastAsia="zh-CN" w:bidi="ar"/>
              </w:rPr>
              <w:t>率≤12keV@59.5keV；</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2029-09</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郑林13881905246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6"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高端装备用新型高储能脉冲电容器金属化薄膜关键技术攻关</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四川省科学城久信科技股份有限公司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储能密度与寿命难协同，聚丙烯薄膜及金属化膜在高电场下容易击穿或电离，提升储能密度往往加剧介质膜电老化，循环寿命易下降。材料均匀性、耐热性和耐老化性能的提升难度大，需要在高储能与长寿命间实现平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复杂工况适应性不足，在极端温区、振动冲击等复杂环境下，薄膜电容器性能衰减明显，模块化封装结构易发生问题，快速放电稳定性和低等效串联电阻（ESR）难以保持。需优化材料性能和工艺设计以增强可靠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3.多领域适配难，不同应用场景对单体容量（&gt;16000 μF）、额定放电电压（≥7.4 kV）及储能密度要求差异大，现有技术缺乏统一平台支撑，难以快速响应定制化需求，形成多领域谱系化产品。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4.高导热与高绝缘难兼顾，提升介质膜及封装填充材料导热性以满足高功率密集放电需求时，易影响绝缘性能，增加漏导电流，限制高压（≥7.4 kV）可靠性和稳定性。</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1.储能密度≥4J/cm³，寿命≥3000次（容降＜3%），容量&gt;16000μF，额定放电电压≥7.4kV。</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2.完成多领域定制产品研发，形成10-15款谱系化产品。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3.开发新型介质膜，优化封装工艺，建模块化技术平台，缩短研发周期30%。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4.申请发明专利5件以上，参与制定1项国家(或行业、团体)标准。</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陈典忠13909019218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7"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醇胺化合物绿色催化合成新技术开发</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四川精事达科技有限公司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在寻求醇胺类化合物绿色催化合成新技术时，认识到产业化面临多项技术难点。首先，醇胺合成主要涉及胺与环氧烷烃的开环加成，或与卤代醇、碳酸酯的缩合，但反应受胺的亲核活性和空间位阻制约，当烷基取代基增大（如叔丁胺等）或氮上电子云密度降低时，需超过100℃的高温高压，且极易过度加成生成二、三烷醇胺，导致目标单醇胺选择性难以突破85%。其次，催化体系选择陷入两难：传统均相碱（NaOH等）催化活性高但无法回收，反应后产生大量含碱废水和盐渣；而固体酸或固体碱虽便于分离，却易快速失活，且固定床反应器中液固传质效率低下，造成设备庞大、投资高昂。再者，醇胺产品沸点高，与水或醇的氢键作用强烈，反应后需多级精馏提纯，但高温精馏易引发分解、聚合或变色，若采用溶剂萃取则引入第三组分，增加分离能耗和回收损失。此外，环氧烷烃（如环氧乙烷、环氧丙烷）属易燃易爆危化品，其高压进料和放热控制对安全设计要求极高，而现有釜式间歇工艺热量移除不及时，局部过热常加剧副反应。因此，迫切需要一种高选择性、催化剂长周期稳定运行、反应条件温和且分离过程简化的新型催化技术，以突破醇胺类化合物清洁化生产的技术壁垒。</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（1）阐明绿色催化合成体系中催化剂活性中心结构、电子特性与制备醇胺化合物的构效关系，揭示羟基活化、亚胺形成及选择性加氢的催化机制，明确载体、助剂对反应路径的调控规律。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（2）形成 1-3 项具有自主知识产权的核心技术，申请发明专利 1-2 项。建立针对目标产物的绿色精准合成工艺参数体系，优化反应温度、压力、原料配比等关键条件，降低反应能耗与物耗。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（3）发表高水平学术论文 1-2 篇，形成包含催化剂制备工艺、性能评价数据、反应机制分析及中试实验适配方案的完整技术报告，为后续工业放大应用提供坚实的理论与技术支撑。</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（4）在完成实验室关键技术开发的基础上，构建成套中试生产工艺，全面验证催化体系与绿色工艺的稳定性、可靠性及经济性。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（5）所有产品纯度均需大于98%。</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赵启龙13096375133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5"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钼铬等稀贵金属高纯氧化物湿法萃取制备关键技术突破及产业化工艺研究</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四川华铸新材料有限公司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多元素协同分离难：钼铬等稀贵金属化学性质相近，易形成复杂配合物，且工业固废含多种杂质，传统萃取工艺分离效率低，需研发专用萃取剂与协同分离体系，提升分离系数。</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深度除杂与纯度控制难：高端产品要求纯度99.99%-99.999%，杂质需达ppm级以下，传统工艺难以深度脱除重金属及非金属杂质，且纯度易波动，需通过多级净化、精准温控等技术实现稳定控制。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清洁化与成本平衡难：传统湿法工艺环保问题突出，单纯达标易推高成本，需研发低耗体系，实现酸碱与溶剂循环利用，兼顾清洁生产与经济性。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规模化稳定性难：中试参数无法直接复制至量产，设备运行参数易波动、原料批次差异大，需建立自适应调控系统，保障生产连续性与产品一致性。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高附加值产品制备难：高端场景对产品微观形貌、粒径等有特定要求，需优化煅烧、改性工艺，在保证高纯度的同时精准调控微观性能，满足定制化需求。</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1.元素收率要求：目前行业普遍采用化工反应法准备，收率在85%左右，项目要求通过连续多级萃取，在保障环境友好前提下，实现目标元素收率达到95%以上。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2.应用智能化、自动化和数字化的控制系统：采用智能化控制DCS集散控制系统，产品一致性偏差须控制在±0.5%以内；采用SAP业财一体数字化管理系统，做到成果、成本等数据分析实时呈现。</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3.成本控制要求：应用离心分离自动化设备，实现单位产品人工成本减少了30%以上，创新制备方式，单位产品原料消耗较行业平均值降低10%以上。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4.产品纯度要求：主含量达到98.5%以上。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5.申请发明专利5项以上，实用新型专利10项以上。整体技术经国家级科技成果鉴定达到国际领先水平。</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2027-12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3620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熊杨13730707772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镁合金机器人结构件表面自修复-超疏水-耐污损聚氨酯防护涂层的技术成果转化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四川天华化工集团股份有限公司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多功能协同集成与结构/界面耦合调控难题</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镁合金表面多功能涂层需实现自修复、超疏水与耐污损性能的一体化协同，但不同功能机制存在内在矛盾。自修复依赖动态组分迁移与链段重构，而超疏水性能依赖稳定微纳结构与低表面能界面，长期服役过程中易产生结构退化与功能衰减。同时，多相组分引入聚氨酯基体后易出现界面分布不均和相容性不足，亟需建立跨尺度结构设计与界面协同调控方法。</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高活性镁合金界面稳定性与多场耦合失效机制不清</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镁合金本征活性高，在湿热、盐雾及油污等复杂环境下易发生腐蚀与界面退化，影响涂层/基体结合稳定性。机器人服役过程中持续摩擦、周期载荷及腐蚀介质共同作用，易诱发微裂纹萌生与扩展，加速界面失效。目前“腐蚀-力学-环境介质”多场耦合作用下的失效演化机制仍缺乏系统认知。</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复杂工况下结构可控制备与长期耐久性瓶颈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功能涂层需构筑稳定微纳结构以实现超疏水和抗污性能，但制备过程中易出现填料团聚、孔隙不均及表面能波动等问题，自修复组分迁移也可能影响结构稳定性。在长期磨损、污染及环境作用下，微结构易退化并导致功能衰减，亟需突破多组分体系中结构精准构筑与长期服役稳定性的协同优化难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成膜与施工性能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在标准环境下能快速成膜，适用于喷涂、刷涂等工艺，满足机器人结构件批量化制备需求。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环境适应性与服役温域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长期服役温度范围覆盖0 -80 ℃，可在0-95%相对湿度环境下结构稳定；经盐雾及湿热（≥1000 h）耦合试验，无明显起泡、开裂或剥离现象。</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自修复性能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能主动修复，自修复效率≥80%（室温或轻度加热条件下），能抑制裂纹扩展及界面失效。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超疏水与耐污损性能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表面水接触角≥150°、滚动角≤10°，有抗油污和抗颗粒附着能力；经油污、粉尘及人工污染介质清洁循环，性能保持率≥90%。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力学与耐磨性能</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与镁合金基体附着力（GB/T 9286-2021）≥1级；抗冲击性能（GB/T 1732-2020）冲击高度≥60 cm且无明显剥落；在1.0 kg载荷、1000–1500转磨损条件下，质量损失≤100 mg。</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 多场耦合耐久性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在摩擦磨损-腐蚀介质-湿热循环作用下，经≥100次循环测试，疏水性能衰减≤10%，腐蚀电流密度降低1–2个数量级，可稳定防护。</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7. 工程化适配能力</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均一性和稳定性良好，厚度50–150 μm可调，具备工程转化能力。</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向勇18011027701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5"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无人机高性能外壳新型GFUPR片状模塑料关键技术研发与产业化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四川迈为科技有限公司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（1）微纳米短芳纶纤维（MNSAF）高分散技术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实现MNSAF均匀分散、无团聚且表面活性适中，是改善不饱和聚酯（UPR）脆性、构建微观准连续桥连结构的关键。其分散状态决定界面结合与载荷传递效率；分散不足会导致团聚体成为应力集中源，诱发微裂纹。因此，攻克MNSAF高度分散难题是首要前提。</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（2）准连续微纳米短芳纶纤维桥连构筑技术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传统GFUPR中短切玻璃纤维离散分布，易形成富树脂区诱发失效。引入MNSAF构筑准连续网络，既改善基体脆性，又与玻璃纤维缠结形成机械互锁。该结构将离散纤维连为整体受力网络，抑制应力集中，激发裂纹偏转、纤维拔出及断裂等多重耗能机制。如何在UPR中精准构筑该网络是核心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（3）结构渐进失效机理与可控设计技术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针对GFUPR非线性失效难预测、渐进破坏难控制的瓶颈，本项目旨在揭示跨尺度损伤机制，利用薄弱环节诱导可控失效。鉴于缺乏考虑制造误差的协同设计方法，结合高精度模型与智能算法实现多目标优化，解决复杂应力下的力学行为预测难题，是关键技术难点。</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（1）形成基于DMAc/LiCl溶液高效分散MNSAF的新技术和新理论，获得能实现GFUPR复合材料结构优化与性能强化的且简单高效的MNSAF关键增强技术。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（2）构建GFUPR复合材料优化设计体系，获得高性能GFUPR复合材料，主要指标明显提升：拉伸断裂应力≥120 MPa（提升率≥25%），拉伸模量≥10 GPa；抗弯强度≥300 MPa（提升率≥25%），弯曲模量≥10 GPa；简支梁冲击强度≥120 J/m2（提升率≥25%）。开发GFUPR片状模塑料新材料，生产GFUPR复合材料制无人机主体外壳样件1套。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（3）发表高水平学术论文10篇以上，申请发明专利3项以上，培养研究生10人以上。完成技术创新服务人员培训20余人次，提供技术咨询/技术服务50余人次。</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2400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安林18011604327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电池级⾼纯偏钛酸系列产品产业化技术开发</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攀枝花市正源科技有限责任公司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（1）⽔解控制关键技术 ⽔解质量直接影响着偏钛酸的粒度分布、微孔直径、微孔容积、⽐表⾯积、反应活性等属性，并最终决定所制⼆氧化钛的产品质量与应⽤性能。优化并形成在晶种制备、⽔解速度控制、钛液浓度、铁钛⽐、压⼒等条件控制⽅⾯的成套关键技术，制备得到⽐表⾯积⼤、反应活性良好的偏钛酸原料，为动⼒电池⽤⾼纯TiO2制备提供合格的中间产物。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低硫低杂质含量控制关键技术 硫杂质会严重影响动⼒电池的性能，因此对动⼒电池⽤⾼纯TiO2中的硫残余量要求极⾼。但由于偏钛酸多孔易吸附的特性，采⽤传统的打浆洗涤⽅式，造成硫的去除难度极⼤，只能将其含量控制在1%左右，其余⾦属杂质离⼦也存在类似问题，远不能满⾜对动⼒电池⽤⾼纯TiO2中硫残余和⾦属离⼦杂质的指标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 (3) 转化过程的粒度、孔体积、⽐表⾯积调控关键技术 为保证动⼒电池⽤⾼纯TiO2在磷酸铁锂掺杂中进⼊橄榄⽯晶格，形成稳定均匀的固溶体正极材料，要求TiO2具有粒度分布⼩、⾼孔体积和⼤⽐表⾯积的特性，精准控制偏钛酸中间体转化为TiO2的过程，抑制颗粒团聚和⽐表⾯积的坍缩。</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 xml:space="preserve">（1）偏钛酸指标：⽐表⾯积≥300㎡/g，孔容（孔体积）≥0.3 cm3/g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（2）⼆氧化钛指标: 纯度≥99.5%，粒度（d50）≤300nm，硫残余量≤0.1%，⽐表⾯积50±15㎡/g，杂质Cu≤10ppm，Zn≤10ppm，Fe≤50ppm，Na≤50ppm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（3）总成本：1.2-1.6万元/吨</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李洪智18982390785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9"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卫星太阳能帆板抗辐照超薄玻璃高效制备技术攻关及应用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四川集宸光电科技有限公司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1、超薄化与高强韧性的平衡与提升难点：解决在亚百微米尺度上精准调控玻璃网络结构，同步提升杨氏模量、断裂韧性。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抗辐照性能与光学透过率的动态平衡机制问题：需建立“辐照损伤阈值—组分热力学活性—局域结构无序度”三元映射模型，并开发原位辐照-光学联用表征方法，实现抗辐照效能与宽谱段光学保真度的协同优化。</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3、高效连续化制备工艺与纳米级表面质量控制：解决超薄玻璃在高速传输中极易发生颤振、褶皱与边缘翘曲；同时满足航天级光学面形精度与表面粗糙度，需在无接触条件下实现亚纳米级原位修形。</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4、跨尺度质量一致性保障体系：构建“AI驱动的多源异构传感—数字孪生工艺仿真—自适应前馈控制”闭环系统，实现缺陷识别准确率≥99.97%、尺寸分辨力≤80 nm、闭环响应时间≤50 ms，方能支撑百万片级航天器件的零缺陷交付。</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1、生产效率比现有传统技术提升5倍以上。传统工艺30台抛光机平均1小时生产100片（40*80*0.1mm）左右，新设备工艺1小时可以达到500片以上。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2、0.04~0.08mm厚度玻璃透光率330mm以下比现有国军标降低50%以上≤5.0（国军标≤10.0），其它波长透光率不低于国军标要求。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3、项目研发转化完成后可满足年产500颗卫星玻璃配套需求，年产值超3500万元。</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4、申请发明专利3项，发表专业期刊论文2篇、参与标准指定行业标准1项，培养人才12人（其中招引本科毕业生5人，硕士研究生2人，初级职称人才3人，中级职称人才2人）。</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任书明18631150807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AI驱动碱式硫酸镁晶须生产及在工程塑料中应用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四川美丰化工科技有限责任公司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碱式硫酸镁晶须在水热条件下的生长理论不完善，调控手段有限，导致晶须的尺寸形貌控制较难，产品质量不稳定，产品缺少市场竞争力。2. 碱式硫酸镁晶须生产采用蒸压釜间歇式生产，不能实现规模连续生产，生产晶须的装备落后，能耗高、生产效率低、产品成本高。3. 磷尾矿脱碳目前采用中控窑煅烧、单筒冷却机冷却，设备落后，占地面积大，生产过程能耗高、污染严重。4. 现有生产硝酸铵钙采用蒸发浓缩工艺，生产的能耗较高，拟开发一种能耗较低的硝酸铵钙生产工艺。5.磷尾矿中磷养分回收工艺较为复杂，且能耗较高，拟采用新工艺回收尾矿中的磷养分，提升产品市场竞争力。6. 磷尾矿中磷养分回收工艺副产的磷石膏附加值低，需要开发新型技术，实现其高值利用。7. 碱式硫酸镁晶须在工程塑料中应用量小，推广其应用领域。</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揭示碱式硫酸镁晶须在水热条件下的生长理论，实现晶须可控生长，晶须产品优于国家标准，建成AI驱动的晶须生产控制系统。2. 开发碱式硫酸镁晶须连续生产蒸压釜，晶须转晶时间≤4h。3. 开发磷尾矿悬浮脱碳装备和流态化冷却设备，脱碳时间≤10min，能耗降低30%。4.开发硝酸铵钙结晶新技术，能耗降低30%，产品优于国家标准要求。5.开发磷尾矿中磷养分回收新工艺，实现磷尾矿元素全量利用，产品优于国家标准。6. 开发磷石膏闪速脱水和表面改性技术，实现其在塑料中应用。7. 开展碱式硫酸镁晶须在不同塑料中应用研究，新增应用塑料类别≥3种，实现其在航空航天产品中应用。</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郑军13158879273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3"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基于反溶剂驱动结晶技术的硫酸钠废盐高值转化工艺优化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四川省洪雅县青工科技有限公司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先进材料</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1多元相平衡与过饱和度形成规律研究：首先采用“平衡测定—动态结晶—微观结构解析”三位一体的技术路线，以CJY为主要反溶剂，构建完整的反溶剂浓度–温度–晶体组成的多维数据集。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反溶剂驱动结晶行为研究：结晶成核起始、成核速率及晶体生长速率受到反溶剂添加方式、溶液温度、pH值及搅拌强度等多因素的共同影响。为系统揭示不同无机盐在耦合体系中的竞争结晶机理，可借助在线浊度仪与探头在线粒度粒形仪进行动态监测，构建从过饱和度生成到晶体形成的连续实时实验体系。</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工艺系统模型构建与能效优化研究：利用过程模拟平台，搭建集“复分解反应、固液分离、反溶剂结晶、溶剂回收循环”于一体的工艺流程。在明确关键变量的基础上，研究构建以“能耗最小化”和“Na₂SO₄转化率最大”为核心的多目标优化模型，并设定包括反应稳定性、硫酸铵晶体质量及操作可行性在内的约束条件。通过采用代理模型和遗传算法方法进行全局优化，得到反溶剂加料量等操作变量的最优组合。优化结果既保证硫酸钠转化率高，又显著降低能耗并提升硫酸铵品质，从而为硫酸钠固废利用提供可直接采用的优化方案。</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4中试试验与工程放大研究：开展中试试验研究，完成经济与环境效益评估。</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 碳酸氢铵转化率不低于93%；</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 硫酸铵产品中氮含量大于20.5%；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 碳酸氢钠和硫酸铵产品中氯离子含量不高于0.009%，硫酸根含量不高于1.2%，重金属（以Pb计）含量不高于0.0005%；</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 小苏打的纯度大于99.9%;</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 盐析剂损耗率不高于2%。</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2015.2</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张春太13708166016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基于高活性天然产物药效团的新药创制</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成都新朝阳作物科学股份有限公司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医药健康</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天然产物结构复杂，常含多个手性中心和官能团，其生物活性可能依赖于特定三维构象或微弱的非共价相互作用。在缺乏靶标蛋白结构信息的情况下准确识别真正起效的“药效团”并建立可靠的构效关系模型具有挑战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在结构修饰过程中，提升水溶性、光稳定性或制剂相容性等理化性能，可能无意中削弱原有生物活性，反之，强化活性又可能导致分子极性失衡。如何在“活性保留”与“性能提升”之间取得平衡，是分子设计的核心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即使分子本身性能优良，若无法与现代农药剂型（如可溶液剂、微胶囊、纳米载药系统等）良好兼容，仍难以实现商品化。天然衍生物的特殊理化特性可能限制其在常规制剂体系中的应用，可能需要同步开展剂型创新；</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4、实验室筛选条件（如离体测定）与真实田间环境存在显著差异，导致候选化合物在后期应用中表现不佳。需要建立更贴近实际应用场景的评价体系，提高早期筛选的预测准确性。</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1、最终获得5-10个全新高活性天然产物衍生物，目标化合物对靶标病虫害的田间生物活性达到行业国际领先水平；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2、按照ICAMA登记要求，本项目原药急毒毒性中毒以下，本项目制剂产品对非靶标生物（蜜蜂、鱼类、蚯蚓）低毒（毒性等级为“低毒”或“微毒”）；</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3、原药54度热稳定性/14天分解率5%以下；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4、关键中间体及目标分子实现≤5步合成，总收率 ≥ 60%，避免使用高毒、高污染、管制试剂及氢化、高压反应方式；</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5、申请发明专利3-5项，SCI论文3-5篇。</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1700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陈庭倬13669387790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6"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基于小分子多肽的创面修复相关创新药开发项目</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四川好医生攀西药业有限责任公司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医药健康</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（1）多肽分子稳定性与体内活性保持。 多肽药物在创面微环境中易被蛋白酶降解，且创面渗出液中含有大量基质金属蛋白酶等水解酶，导致药物半衰期极短、局部生物利用度低。如何在保持靶点亲和力和生物学活性的前提下，通过序列优化、环化修饰或二聚化等策略显著提高多肽的酶解稳定性，是本项目的首要技术难点。（2）创面微环境中的递送效率。 慢性创面常伴有生物膜形成、过度炎症反应和氧化应激等多重病理因素，常规局部给药难以实现有效渗透和持续释放。如何设计适宜的递送系统（如水凝胶、纳米载体等），实现多肽在创面局部的靶向富集、缓释控释及屏障突破，是决定药效的关键。（3）规模化生产与质量控制。 多肽药物的化学合成工艺复杂，杂质谱系控制难度大，且多肽分子常存在聚集、降解等稳定性问题，对原料药及制剂的生产工艺放大与质量控制提出极高要求。建立稳健、可重复的规模化生产工艺及全链条质量标准，是产业化落地的核心挑战。（4）药效评价模型与转化医学。 现有动物创面模型与人类慢性创面的病理生理特征存在显著差异，如何建立能准确反映临床疗效的转化评价体系，是连接实验室发现与临床应用的关键瓶颈。</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本项目以获得国家药品监督管理局（NMPA）颁发的《药物临床试验批准通知书》（即临床试验批件） 作为核心里程碑节点。</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800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曾陈娟18086854577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43</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核医疗碘-131高效分离分析技术与智能装备研发</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二重（德阳）重型装备有限公司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医药健康</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一、核医疗含碘-131废液深度净化处理技术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核医疗废液成分复杂，严重制约传统离子交换材料的处理效果。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二、面向核医疗高湿环境挥发性碘-131高效吸附技术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核医疗场景废气湿度高（≥80% RH）、浓度波动大，现有活性炭等材料在高湿条件下吸附容量衰减显著，且存在“二次脱附”风险。</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三、碘-131等放射性核素特异性智能在线监测与快速预警技术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当前依赖人工离线采样分析的模式存在严重滞后，无法实现针对低浓度、多干扰复杂本底的放射性废液排放和废气泄漏的快速预警与实时监测。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四、集高效净化、智能传感与智慧管控于一体的模块化可移动核医疗废气处理装备集成技术。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需将高性能吸附材料与智能传感单元，与风机、过滤模块、屏蔽结构、控制系统进行高度集成。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五、核医疗碘-131智能化处理装备的系统集成与工程化技术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需将废液处理系统与废气处理系统进行系统性集成。</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六、核医疗放射性废物处理装备的标准化模块设计与批量化制造技术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结合不同医院的工况需求与场地限制，开展模块化废液及废气处理系统的标准化设计，形成包含工艺、布置、接口、结构及电气控制的成套图纸。</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一、碘-131废液深度净化处理系统：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①研制一体化废液快速处理装备原理样机1套，处理能力≥0.4 m3/h，净化出水碘-131监测灵敏度≤5 Bq/L，监测响应时间≤12 h；</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②净化后出水α≤1 Bq/L、β≤10 Bq/L、碘-131≤10 Bq/L；</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③废液处理周期从180天缩短至1天。</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二、模块化智能化废气处理集成装备：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①研制原理样机1套，气态CADR值（碘-131）≥100 m3/h，探测灵敏度≤5 Bq/m3，检测响应时间≤2 h；</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②净化气碘-131活度浓度≤10 Bq/m3。</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三、在医院应用验证；申请发明专利3项；发表SCI论文5篇；形成标准1项。</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2029-12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1200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朱永有13689643596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44</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二氧化碳加氢制绿色航煤项目</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四川金象赛瑞化工股份有限公司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能源化工</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同时，项目面向中试放大与连续稳定运行需求，开展流化适用型催化剂构筑、反应—再生行为研究及高压加氢多相反应器系统集成开发。通过喷雾造粒等技术制备具备良好流化性能和机械强度的微球催化剂，系统研究其活性、稳定性、抗积炭性能及循环再生规律，建立流态化条件下的反应动力学模型；进一步结合气固多相流动、传递强化及关键部件设计，完成 CO₂加氢制绿色航空燃料中试装置的集成方案开发，形成反应-分离-换热一体化技术路线。项目实施后，有望突破 CO₂高效转化制绿色航煤的关键技术，为低碳燃料技术发展和二氧化碳综合利用产业化提供重要支撑。</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CO2单程转化率＞40%，CO的选择性＜20%，航煤组分C9+选择性&gt;65%；CO2总转化率＞98%，绿色航煤收率＞90%。CO2加氢制芳烃催化剂：堆比0.75~1.0g/cm3，比表面积&gt;130m2/g，孔体积&gt;0.15ml/g。</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2300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冯瑞18381449225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煤层气高效压裂关键材料及技术体系</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四川申和新材料科技有限公司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能源化工</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（一）低摩阻与强携砂难以协同</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川盆地龙潭组煤层气压裂面临地面低温储配、井筒高温、高速剪切、大排量泵注和高砂比加砂等复杂工况，对压裂液提出储存稳定、快速溶解、高效减阻、强携砂和低伤害等多重要求。传统滑溜水摩阻低，但黏度和黏弹性不足，高砂比下支撑剂悬浮和远距离输送能力有限；交联胶液携砂强，但管柱摩阻大、破胶返排困难，储层伤害风险高。如何构建兼具低温储存稳定、现场速溶、大排量低摩阻和高砂比携砂能力的材料，是实现高效体积压裂的关键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（二）高矿化度返排液下材料性能衰减与回用困难</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煤层气压裂产生大量高TDS返排液（最高达30万ppm），常规聚合物在高盐环境中分子构象收缩、粘度丧失、溶解速率低、减阻失效，难以支撑循环利用。如何通过功能单体结构设计，提升粉剂材料在高矿化度返排液中的快速分散、水化增黏和稳定减阻能力，并适应连续在线配液与返排液循环利用，是降低用水成本、提升绿色开发水平的关键瓶颈。</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项目针对四川盆地龙潭组煤层气规模开发对高排量、高砂比、长水平段连续压裂及高矿化度返排液回用的需求，遵循“材料设计—功能构建—性能评价—系统集成”路径，研发乳液减阻携砂材料、高抗盐速溶粉剂减阻材料及在线快速直配装置，形成适用于复杂工况的关键材料与配套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成果一：乳液减阻携砂材料。突破低摩阻泵注与强携砂输送协同难题，材料具备-20～40℃稳定储存≥3个月、0.4%加量下溶解时间≤10s（25℃）、施工减阻率≥75%（0.4%）、加砂砂比≥30%（0.4%）、破胶液残渣≤20mg/L，满足连续施工、规模加砂与低残渣返排要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目标成果二：高抗盐速溶粉剂减阻材料及在线直配装置。面向高矿化度、高钙镁离子返排液，材料分散性良好（不生成鱼眼，满足20m³/min大排量在线混配），在30万ppm模拟盐水、0.3%加量下溶解时间≤30s、3min表观黏度≥12mPa·s；现场返排液0.2%加量下减阻率≥70%；80℃、0.05%APS下破胶时间≤6h，破胶液运动黏度≤3mm²/s。装置实现大排量连续混配、在线快速溶解与实时调黏，协同返排液循环配液与连续施工，降低淡水消耗与配液成本，支撑绿色低成本</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严向阳15982092252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3"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绿色高效生物合成没食子酸关键技术及产业化</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成都金开生物工程有限公司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食品轻纺</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目前生物法合成没食子酸5L补料发酵最高产量达57.66g/L，葡萄糖摩尔转化率0.233mol/mol，生产强度0.769g/L/h，但该成果仅适用于实验室小规模场景，放大至工业级大型发酵罐后，产品产量与原料转化率大幅下降，无法满足连续化工业化生产要求，核心技术瓶颈主要有三方面：</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一是高性能工业菌株构建难度大。没食子酸生物合成代谢路径复杂，需精准重构碳代谢流，既要最大化提升原料利用率与目标产物得率，还要平衡前体供给、能量代谢和菌体生长的动态关系。同时发酵过程中细胞代谢状态持续变化，菌株生产性能易波动，难以稳定提升生产效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是生物催化体系工业适配性不足。核心催化反应对发酵环境敏感度高，工业大罐发酵存在传质、供氧不均等问题，大幅降低催化效率。同时，发酵过程中氧化还原平衡、细胞活力维持与副代谢调控相互耦合，缺乏系统化调控手段，严重制约产能提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是工艺放大与过程控制能力欠缺。实验室工艺难以直接适配工业化生产，营养供给、溶氧调控等多因素相互干扰，放大生产后易出现批次稳定性差、效率波动等问题。且生产线自动化监测、标准化管控水平不足，尚未形成成熟稳定的产业化技术体系。</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1.开发适配工业化量产的高产稳定工程菌株1株，突破生物合成没食子酸产业化关键技术瓶颈，构建生物法合成没食子酸工艺技术体系1套。</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2.完成发酵的中试与产业化放大，实现50kL级的规模化发酵生产能力，实现发酵周期≤45h，没食子酸产量≥45g/L，转化率≥18%。</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3.完成产物提取纯化工艺，实现没食子酸提取收率≥65%，产品纯度≥98%，实现每吨提取成本不高于2万元。</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4.提供产品标准化生产工艺技术包1个、质量控制规范文件1套，协助企业完成年产200吨没食子酸生产线工艺设计与设备选型，完成产品试制。</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5.产品技术指标要求：没食子酸含量（以干基计）≥98.0%，干燥失重≤0.5%，灼烧残渣≤0.1%，砷（As）≤3.0mg/kg，铅（Pb）≤1.0mg/kg，菌落总数≤1000CFU/g，霉菌和酵母菌≤100CFU/g</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6.申请发明专利2项以上，获授权发明专利2项以上；制定企业技术标准或团体标准1项以上；发表高水平学术论文1篇以上。</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庹有朋18502821716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即食型生食动物性水产品安全控制与加工贮运关键技术研发与应用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四川美沿远洋食品有限公司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食品轻纺</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难点1：安全监控手段缺失，风险隐患大。贮运及加工过程中，微生物、寄生虫、农残药残、重金属等危害因子缺乏高效监测与控制手段，产品货架期难以延长，安全隐患直接制约市场拓展与品牌信任度。</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难点2：营养品质劣变严重，健康价值打折扣。加工中蛋白质、脂肪氧化降解导致风味劣变，EPA、DHA等多不饱和脂肪酸及维生素等功能性成分易流失，产品营养价值受损，难以满足消费者对健康属性的核心诉求。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难点3：副产物利用粗放，同质化竞争加剧。碎肉、鱼皮、鱼骨等大量副产物仅作低价处理，资源浪费突出，导致产品结构单一、附加值低，企业陷入同质化低价竞争，利润空间被严重挤压。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难点4：智能化水平不足，效能与品质双输。加工设备控制精度低、产能稳定性差，造成产品质量波动大、能耗居高不下，整体生产效能难以提升，制约规模化、标准化发展，削弱产业整体竞争力。</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1.安全性指标及货架期：即食型生食动物性水产品的菌落总数≤5×10³ CFU/g，大肠菌群≤10 CFU/g，农残、药残、重金属不得检出，货架期由3-5天延长至5-7天及以上；</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2.营养性指标：即食型生食三文鱼鱼肉的蛋白质含量≥20 g/100g，必须氨基酸占总氨基酸≥30%，脂肪含量≥10 g/100g，总不饱和脂肪酸占总脂肪≥40%，EPA+DHA≥500 mg/100g；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 xml:space="preserve">3.新产品开发与副产利用：开发新产品5个，其中利用三文鱼碎肉、鱼腩、鱼骨、鱼皮等副产物开发新产品3个，副产物综合利用率≥90%，副产物附加值提升3倍以上； </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4.加工过程关键参数（温度、湿度、切割精度）实时智能监控与自动调节，分割及包装工段自动化率≥70%，产品合格率≥99%，单位产品能耗降低≥15%，加工产能提升≥30%。</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5.研究成果制定团体标准或企业标准1-2项，申请发明专利1-2项、实用新型专利1-2项，发表研究论文2-3篇。</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2450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熊高福15520499111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48</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健康肉制品新型技术突破及全产线产业化升级项目</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四川高金实业集团股份有限公司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食品轻纺</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（一）HPP 超高压工艺与多品类猪肉制品适配攻关</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1.针对不同猪肉产品，系统优化压力、保压时长、协同温控等参数；建立全品类猪肉制品HPP标准化工艺数据库与智能参数模型。</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2.解析HPP高压作用下猪肉蛋白、脂肪、风味物质变化机理。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（二）HPP 产线与现有加工车间一体化集成改造难点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1.车间洁净等级升级改造：完成洁净分区、冷链隔离、防二次污染布局改造，配套独立预冷、分装、无菌暂存区域。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2.搭建智能中控平台，将 HPP 压力控制系统、车间温湿度监控、冷链追溯、调度数据打通，实现全流程数字化管控。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（三）长效货架期品质稳定与微生物控制技术</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1.研究 HPP 高压对猪肉中沙门氏菌、李斯特菌、大肠杆菌等致病菌灭活规律，建立靶向灭菌工艺标准；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2.建立 HPP 处理猪肉制品冷藏储存期风味、色泽、质构劣变预测模型。</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（一）产品品质与杀菌量化指标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1.灭菌性能：400–600MPa 低温 HPP 处理对肉制品高危致病菌杀灭率≥99.9%，微生物指标满足高端商超、出口标准。</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2.健康清洁指标：彻底取消亚硝酸钠、山梨酸钾等化学防腐剂，实现猪肉制品清洁标签配方，无人工防腐添加剂。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3.感官与营养指标：完全规避传统高温蒸煮带来的蒸煮味、肉色褐变、肉质发柴问题，猪肉氨基酸、维生素等营养保留率提升 40% 以上，还原原生肉香鲜嫩口感。</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4.货架期指标：0–4℃冷藏条件下成品货架期稳定达到 60–120 天，较传统热加工产品延长2倍以上，降低冷链损耗与物流成本。</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5.示范产线产能：一期配套 HPP 主机设计日处理猪肉制品 2.5 吨，设备单循环 6–8 分钟，全流程自动化运行。</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（二）技术与产业化成果</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1.形成一套适配川味猪肉制品的 HPP 标准化加工工艺规范、车间洁净改造标准、自动化产线集成操作 SOP。</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2.打造省内第一条健康猪肉超高压冷杀菌示范生产线，高端无添加肉制品产品溢价提升20%–50%，开拓高端预制菜、出口生鲜肉制品新赛道。</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3.建成猪肉 HPP 加工工艺研发小试平台，可支撑企业新品持续迭代开发。</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1000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唐春13281800104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8"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49</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麸醋货架期沉淀形成机制与防控关键技术研究与应用</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四川保宁醋有限公司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食品轻纺</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本次技术攻关存在技术约束与难点，主要集中在特色工艺保留适配与着色体系优化两大方面。</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我司食醋采用行业差异化生料发酵工艺，原料淀粉无需糊化处理，糖化、酒化、醋化过程同池同步完成，该工艺生产成本低、回糟利用率高，可形成独特的产品风味口感，但也造成原料中蛋白质、淀粉、果胶等大分子物质降解不够彻底，是食醋产品流通存放过程中沉淀严重的核心成因。本次攻关要求最大限度保留现有成熟生产工艺体系，不大幅改动现有生产流程，同时要求保障原有风味稳定甚至实现风味提升，在受限工艺条件下解决醋液非生物性变化问题，技术平衡难度较大。</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同时，目前市面上通用焦糖色与低酸度食醋体系适配性不佳，在存放过程中易与醋液中有机组分、微量金属离子发生络合反应，进一步加重沉淀。亟需系统研究焦糖色在食醋体系中的反应机理，针对性筛选适配低酸环境的专用着色产品（稳定性更强、安全性更高的天然色素替代方案优先），在几乎不影响食醋原有风味品质的前提下，从着色环节破解醋液货架期品质变化难题，整体攻关靶向性要求高、适配优化有一定难度。</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划通过专家技术进厂指导、联合研发、生产现场中试应用及成果落地验收等多种合作模式，引入新型工艺技术与调控手段，在最大限度保留企业现有发酵特色生产工艺、保障产品原有风味品质稳定的基础上，完成食醋生产工艺优化与品质升级。重点攻克麸醋成品贮藏过程中返浑、沉淀及色泽泛黄等品质问题，延缓产品劣变发生周期。通过系统优化着色（焦糖色）体系适配性、醋液稳定性调控技术，全面提升麸醋成品贮藏稳定性与市场货架品质。项目最终技术指标目标：在正常贮存条件下，将食醋成品货架期内沉淀劣变的出现时间至少延缓1年，有效提升产品外观品质、产品货架期综合质量水平，形成可落地、可推广的食醋品质稳定化关键技术方案（优先从发酵端提方案）。</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2029-07</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300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周江19980300180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50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空天地一体化异构协同无人智能安全物流系统关键技术研究</w:t>
            </w:r>
          </w:p>
        </w:tc>
        <w:tc>
          <w:tcPr>
            <w:tcW w:w="38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成都瑞虎电子科技有限公司</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未来产业</w:t>
            </w:r>
          </w:p>
        </w:tc>
        <w:tc>
          <w:tcPr>
            <w:tcW w:w="142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本项目面向城乡、偏远地区无人智能物流高可靠、低时延、广覆盖作业需求，聚焦空天地一体化网络与无人系统融合，亟需攻克五大核心技术难点：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一是空天地统型组网与多链路协同难度大。星地、设备链路特性差异大，多链路统一接入、动态聚合与毫秒级切换技术不成熟，易出现通信中断、时延抖动，难以保障物流时敏连续作业。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二是异构无人装备协同与高精度定位能力不足。各类无人装备协议、特性不统一，缺乏标准化协同框架，调度效率低；复杂场景定位精度、路径优化能力不足，无法支撑规模化精准安全作业。</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三是国产化低空数智底座集成难度高。行业操作系统碎片化严重，国产化系统综合性能不足，难以适配安全管控、任务调度需求；底层架构不统一，造成集成难度大、稳定性差，不利于规模化部署运维。</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四是星地终端接入与弱网抗毁传输能力薄弱。星地融合终端抗干扰、自适应能力不足，复杂场景链路稳定性差，缺乏完善QoS保障机制；数据总线抗毁自愈能力弱，无法适配极端环境稳定运行需求。</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五是智能终端适配与全域感知能力欠缺。无人装备适配性差、接口不标准，自主作业能力弱，缺少全域数据支撑，调度决策精度不足。需融合多模感知、通信节点，搭建一体化感知体系，适配多场景</w:t>
            </w:r>
          </w:p>
        </w:tc>
        <w:tc>
          <w:tcPr>
            <w:tcW w:w="1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ind w:left="0" w:leftChars="0" w:firstLine="0" w:firstLineChars="0"/>
              <w:jc w:val="left"/>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研制空天地一体化异构协同无人智能安全物流系统，建成全栈自主可控的天地融合网络验证平台及产品体系，覆盖终端、无人装备、组网系统等。</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关键指标：</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1、不含物理链路时延，跨系统传输延迟≤100ms；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2、支持同一域内，组网规模≥300节点；</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3、无人装备操作系统中断响应时延＜30us，操作系统任务抢占时延＜30us，单系统内任务调度时延＜30us；</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4、具备多模感知与通信节点系统融合能力，适配边缘计算场景的多模感知智能体模型，实现边缘侧实时数据智能处理与分析，提供精准决策支持。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5、AI智能调度的智能体模型开发与训练，任务生成与调度小于2秒。</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6、全域智能设备统一管理与动态评估。多类智能设备统一管理，可自由上线，下线。并对设备可用性进行评估标记。并实时更新设备状态。</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7、无人化平台的智能化控制，包含但不限于无人接收快递能力，无人机机巢能力，智能行驶能力；</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8、无人机与无人车对接可推广平台标准；无人车底盘与任务机箱对接接口标准，含物理接口与通信接口；</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9、申请5项发明专利与5项软著著作权。</w:t>
            </w:r>
            <w:r>
              <w:rPr>
                <w:rFonts w:hint="default" w:ascii="Times New Roman" w:hAnsi="Times New Roman" w:eastAsia="宋体" w:cs="Times New Roman"/>
                <w:i w:val="0"/>
                <w:iCs w:val="0"/>
                <w:color w:val="000000"/>
                <w:kern w:val="0"/>
                <w:sz w:val="18"/>
                <w:szCs w:val="18"/>
                <w:highlight w:val="none"/>
                <w:u w:val="none"/>
                <w:lang w:val="en-US" w:eastAsia="zh-CN" w:bidi="ar"/>
              </w:rPr>
              <w:br w:type="textWrapping"/>
            </w:r>
            <w:r>
              <w:rPr>
                <w:rFonts w:hint="default" w:ascii="Times New Roman" w:hAnsi="Times New Roman" w:eastAsia="宋体" w:cs="Times New Roman"/>
                <w:i w:val="0"/>
                <w:iCs w:val="0"/>
                <w:color w:val="000000"/>
                <w:kern w:val="0"/>
                <w:sz w:val="18"/>
                <w:szCs w:val="18"/>
                <w:highlight w:val="none"/>
                <w:u w:val="none"/>
                <w:lang w:val="en-US" w:eastAsia="zh-CN" w:bidi="ar"/>
              </w:rPr>
              <w:t>10、形成企业标准1项。</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2028-06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2500</w:t>
            </w:r>
          </w:p>
        </w:tc>
        <w:tc>
          <w:tcPr>
            <w:tcW w:w="3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0" w:firstLineChars="0"/>
              <w:jc w:val="center"/>
              <w:textAlignment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魏斌13060056559</w:t>
            </w:r>
          </w:p>
        </w:tc>
      </w:tr>
    </w:tbl>
    <w:p>
      <w:pPr>
        <w:rPr>
          <w:rFonts w:hint="default" w:ascii="Times New Roman" w:hAnsi="Times New Roman" w:cs="Times New Roman"/>
          <w:highlight w:val="none"/>
          <w:lang w:val="en-US" w:eastAsia="zh-CN"/>
        </w:rPr>
      </w:pPr>
    </w:p>
    <w:sectPr>
      <w:footerReference r:id="rId5" w:type="default"/>
      <w:pgSz w:w="16838" w:h="11906" w:orient="landscape"/>
      <w:pgMar w:top="1531" w:right="1701" w:bottom="153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17983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179830" cy="1828800"/>
                      </a:xfrm>
                      <a:prstGeom prst="rect">
                        <a:avLst/>
                      </a:prstGeom>
                      <a:noFill/>
                      <a:ln>
                        <a:noFill/>
                      </a:ln>
                    </wps:spPr>
                    <wps:txbx>
                      <w:txbxContent>
                        <w:p>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lIns="0" tIns="0" rIns="0" bIns="0" upright="false">
                      <a:spAutoFit/>
                    </wps:bodyPr>
                  </wps:wsp>
                </a:graphicData>
              </a:graphic>
            </wp:anchor>
          </w:drawing>
        </mc:Choice>
        <mc:Fallback>
          <w:pict>
            <v:shape id="_x0000_s1026" o:spid="_x0000_s1026" o:spt="202" type="#_x0000_t202" style="position:absolute;left:0pt;margin-top:0pt;height:144pt;width:92.9pt;mso-position-horizontal:outside;mso-position-horizontal-relative:margin;z-index:251659264;mso-width-relative:page;mso-height-relative:page;" filled="f" stroked="f" coordsize="21600,21600" o:gfxdata="UEsFBgAAAAAAAAAAAAAAAAAAAAAAAFBLAwQKAAAAAACHTuJAAAAAAAAAAAAAAAAABAAAAGRycy9Q&#10;SwMEFAAAAAgAh07iQEV4uHXSAAAABQEAAA8AAABkcnMvZG93bnJldi54bWxNj7FOxDAQRHsk/sFa&#10;JBrE2Y7EKYRsrkDQ0HHQ0PniJYmw11HsS8J9PT4aaEZazWrmTb1bvRMzTXEIjKA3CgRxG+zAHcL7&#10;2/NtCSImw9a4wITwTRF2zeVFbSobFn6leZ86kUM4VgahT2mspIxtT97ETRiJs/cZJm9SPqdO2sks&#10;Odw7WSi1ld4MnBt6M9JjT+3X/ugRtuvTePNyT8Vyat3MHyetE2nE6yutHkAkWtPfM5zxMzo0mekQ&#10;jmyjcAh5SPrVs1fe5RkHhKIsFcimlv/pmx9QSwMEFAAAAAgAh07iQHiqZkSwAQAARgMAAA4AAABk&#10;cnMvZTJvRG9jLnhtbK1SzY7TMBC+I+07WL5vnRRpCVHTFWi1KyQESAsP4Dp2Y8l/GrtN+gLwBpy4&#10;cOe5+hyM3abLzw1xmYxnJt9838ysbidryF5C1N51tF5UlEgnfK/dtqOfPt5fN5TExF3PjXeyowcZ&#10;6e366tlqDK1c+sGbXgJBEBfbMXR0SCm0jEUxSMvjwgfpMKk8WJ7wCVvWAx8R3Rq2rKobNnroA3gh&#10;Y8To3SlJ1wVfKSnSe6WiTMR0FLmlYqHYTbZsveLtFngYtDjT4P/AwnLtsOkF6o4nTnag/4KyWoCP&#10;XqWF8JZ5pbSQRQOqqas/1DwOPMiiBYcTw2VM8f/Binf7D0B0j7ujxHGLKzp+/XL89uP4/TOp83jG&#10;EFusegxYl6bXfupogp2cUxHjWfikwOYvSiJYgrM+XOYrp0QEBuv6xcvmOaYE5upm2TRV2QB7+j1A&#10;TA/SW5KdjgIusMyV79/GhGywdC7J3Zy/18aUJRr3WwALc4Rl+ieO2UvTZjpr2vj+gJLMG4fjzKcx&#10;OzA7m9nZBdDbAekobmJeCEfIV7uEzQunjHyCOzfEZRWq58PK1/Dru1Q9nf/6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EV4uHXSAAAABQEAAA8AAAAAAAAAAQAgAAAAOAAAAGRycy9kb3ducmV2Lnht&#10;bFBLAQIUABQAAAAIAIdO4kB4qmZEsAEAAEYDAAAOAAAAAAAAAAEAIAAAADcBAABkcnMvZTJvRG9j&#10;LnhtbFBLBQYAAAAABgAGAFkBAABZBQAAAAA=&#10;">
              <v:fill on="f" focussize="0,0"/>
              <v:stroke on="f"/>
              <v:imagedata o:title=""/>
              <o:lock v:ext="edit" aspectratio="f"/>
              <v:textbox inset="0mm,0mm,0mm,0mm" style="mso-fit-shape-to-text:t;">
                <w:txbxContent>
                  <w:p>
                    <w:pPr>
                      <w:pStyle w:val="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A96BA6"/>
    <w:rsid w:val="06BD21D2"/>
    <w:rsid w:val="0C7B08E8"/>
    <w:rsid w:val="183A07EC"/>
    <w:rsid w:val="1EF14880"/>
    <w:rsid w:val="1F102B67"/>
    <w:rsid w:val="2E646C55"/>
    <w:rsid w:val="301B57BD"/>
    <w:rsid w:val="322C4D43"/>
    <w:rsid w:val="32D007AA"/>
    <w:rsid w:val="3DB47DF7"/>
    <w:rsid w:val="3FB55B0E"/>
    <w:rsid w:val="45835E2E"/>
    <w:rsid w:val="512576CE"/>
    <w:rsid w:val="59DB4679"/>
    <w:rsid w:val="5DEEB819"/>
    <w:rsid w:val="60A96BA6"/>
    <w:rsid w:val="677F153E"/>
    <w:rsid w:val="6E68362E"/>
    <w:rsid w:val="799277B8"/>
    <w:rsid w:val="7F0215EE"/>
    <w:rsid w:val="7FCE1CB2"/>
    <w:rsid w:val="EA7FF8AB"/>
    <w:rsid w:val="F5DD4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640" w:firstLineChars="200"/>
      <w:jc w:val="both"/>
    </w:pPr>
    <w:rPr>
      <w:rFonts w:ascii="Times New Roman" w:hAnsi="Times New Roman" w:eastAsia="方正仿宋_GBK" w:cs="Times New Roman"/>
      <w:kern w:val="2"/>
      <w:sz w:val="32"/>
      <w:szCs w:val="32"/>
      <w:lang w:val="en-US" w:eastAsia="zh-CN" w:bidi="ar-SA"/>
    </w:rPr>
  </w:style>
  <w:style w:type="paragraph" w:styleId="3">
    <w:name w:val="heading 1"/>
    <w:basedOn w:val="1"/>
    <w:next w:val="1"/>
    <w:qFormat/>
    <w:uiPriority w:val="0"/>
    <w:pPr>
      <w:spacing w:line="600" w:lineRule="exact"/>
      <w:ind w:firstLine="0" w:firstLineChars="0"/>
      <w:jc w:val="center"/>
      <w:outlineLvl w:val="0"/>
    </w:pPr>
    <w:rPr>
      <w:rFonts w:eastAsia="方正小标宋_GBK"/>
      <w:color w:val="auto"/>
      <w:sz w:val="44"/>
      <w:szCs w:val="44"/>
    </w:rPr>
  </w:style>
  <w:style w:type="paragraph" w:styleId="4">
    <w:name w:val="heading 2"/>
    <w:basedOn w:val="1"/>
    <w:next w:val="1"/>
    <w:unhideWhenUsed/>
    <w:qFormat/>
    <w:uiPriority w:val="0"/>
    <w:pPr>
      <w:spacing w:line="600" w:lineRule="exact"/>
      <w:ind w:firstLine="640" w:firstLineChars="200"/>
      <w:outlineLvl w:val="1"/>
    </w:pPr>
    <w:rPr>
      <w:rFonts w:eastAsia="黑体"/>
      <w:color w:val="auto"/>
    </w:rPr>
  </w:style>
  <w:style w:type="paragraph" w:styleId="5">
    <w:name w:val="heading 3"/>
    <w:basedOn w:val="1"/>
    <w:next w:val="1"/>
    <w:link w:val="10"/>
    <w:unhideWhenUsed/>
    <w:qFormat/>
    <w:uiPriority w:val="0"/>
    <w:pPr>
      <w:keepNext w:val="0"/>
      <w:keepLines w:val="0"/>
      <w:spacing w:beforeLines="0" w:beforeAutospacing="0" w:afterLines="0" w:afterAutospacing="0" w:line="600" w:lineRule="exact"/>
      <w:ind w:firstLine="883" w:firstLineChars="200"/>
      <w:outlineLvl w:val="2"/>
    </w:pPr>
    <w:rPr>
      <w:rFonts w:eastAsia="方正楷体_GBK"/>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Salutation"/>
    <w:basedOn w:val="1"/>
    <w:next w:val="1"/>
    <w:qFormat/>
    <w:uiPriority w:val="0"/>
  </w:style>
  <w:style w:type="paragraph" w:styleId="6">
    <w:name w:val="footer"/>
    <w:basedOn w:val="1"/>
    <w:qFormat/>
    <w:uiPriority w:val="0"/>
    <w:pPr>
      <w:tabs>
        <w:tab w:val="center" w:pos="4153"/>
        <w:tab w:val="right" w:pos="8306"/>
      </w:tabs>
      <w:snapToGrid/>
      <w:spacing w:line="240" w:lineRule="auto"/>
      <w:ind w:firstLine="0" w:firstLineChars="0"/>
      <w:jc w:val="center"/>
    </w:pPr>
    <w:rPr>
      <w:rFonts w:eastAsia="宋体"/>
      <w:sz w:val="28"/>
      <w:szCs w:val="2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标题 3 Char"/>
    <w:link w:val="5"/>
    <w:qFormat/>
    <w:uiPriority w:val="0"/>
    <w:rPr>
      <w:rFonts w:eastAsia="方正楷体_GBK"/>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19870</Words>
  <Characters>22110</Characters>
  <Lines>0</Lines>
  <Paragraphs>0</Paragraphs>
  <TotalTime>124</TotalTime>
  <ScaleCrop>false</ScaleCrop>
  <LinksUpToDate>false</LinksUpToDate>
  <CharactersWithSpaces>22279</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2026-09-09T22:30:00Z</dcterms:created>
  <dc:creator>HAN</dc:creator>
  <cp:lastModifiedBy>user</cp:lastModifiedBy>
  <dcterms:modified xsi:type="dcterms:W3CDTF">2026-09-15T17:52:43Z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120A9F90228A4A299B79C7D2F9E0E33A_13</vt:lpwstr>
  </property>
  <property fmtid="{D5CDD505-2E9C-101B-9397-08002B2CF9AE}" pid="4" name="KSOTemplateDocerSaveRecord">
    <vt:lpwstr>eyJoZGlkIjoiMzEwNTM5NzYwMDRjMzkwZTVkZjY2ODkwMGIxNGU0OTUiLCJ1c2VySWQiOiIyNDUyNzczNzgifQ==</vt:lpwstr>
  </property>
</Properties>
</file>