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right="374"/>
        <w:jc w:val="left"/>
        <w:textAlignment w:val="auto"/>
        <w:rPr>
          <w:rFonts w:hint="default" w:ascii="Times New Roman" w:hAnsi="Times New Roman" w:eastAsia="黑体" w:cs="Times New Roman"/>
          <w:color w:val="auto"/>
          <w:kern w:val="0"/>
          <w:sz w:val="32"/>
          <w:szCs w:val="32"/>
          <w:lang w:val="en-US" w:eastAsia="zh-CN" w:bidi="ar-SA"/>
        </w:rPr>
      </w:pPr>
      <w:bookmarkStart w:id="0" w:name="quanwen"/>
      <w:bookmarkStart w:id="1" w:name="_GoBack"/>
      <w:bookmarkEnd w:id="1"/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right="374"/>
        <w:jc w:val="left"/>
        <w:textAlignment w:val="auto"/>
        <w:rPr>
          <w:rFonts w:hint="default" w:ascii="Times New Roman" w:hAnsi="Times New Roman" w:eastAsia="黑体" w:cs="Times New Roman"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黑体" w:cs="Times New Roman"/>
          <w:color w:val="auto"/>
          <w:kern w:val="0"/>
          <w:sz w:val="32"/>
          <w:szCs w:val="32"/>
          <w:lang w:val="en-US" w:eastAsia="zh-CN" w:bidi="ar-SA"/>
        </w:rPr>
        <w:t>附  件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right="374"/>
        <w:jc w:val="left"/>
        <w:textAlignment w:val="auto"/>
        <w:rPr>
          <w:rFonts w:hint="default" w:ascii="Times New Roman" w:hAnsi="Times New Roman" w:eastAsia="黑体" w:cs="Times New Roman"/>
          <w:color w:val="auto"/>
          <w:kern w:val="0"/>
          <w:sz w:val="32"/>
          <w:szCs w:val="32"/>
          <w:lang w:val="en-US" w:eastAsia="zh-CN" w:bidi="ar-SA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right="374"/>
        <w:jc w:val="center"/>
        <w:textAlignment w:val="auto"/>
        <w:rPr>
          <w:rFonts w:hint="default" w:ascii="Times New Roman" w:hAnsi="Times New Roman" w:eastAsia="方正小标宋_GBK" w:cs="Times New Roman"/>
          <w:b/>
          <w:bCs/>
          <w:color w:val="auto"/>
          <w:kern w:val="0"/>
          <w:sz w:val="42"/>
          <w:szCs w:val="42"/>
          <w:shd w:val="clear" w:color="auto" w:fill="FFFFFF"/>
          <w:lang w:val="en-US" w:eastAsia="zh-CN" w:bidi="ar-SA"/>
        </w:rPr>
      </w:pPr>
      <w:r>
        <w:rPr>
          <w:rFonts w:hint="default" w:ascii="Times New Roman" w:hAnsi="Times New Roman" w:eastAsia="方正小标宋_GBK" w:cs="Times New Roman"/>
          <w:b/>
          <w:bCs/>
          <w:color w:val="auto"/>
          <w:kern w:val="0"/>
          <w:sz w:val="42"/>
          <w:szCs w:val="42"/>
          <w:shd w:val="clear" w:color="auto" w:fill="FFFFFF"/>
          <w:lang w:val="en-US" w:eastAsia="zh-CN" w:bidi="ar-SA"/>
        </w:rPr>
        <w:t>2024年河南省质量标杆名单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right="374"/>
        <w:jc w:val="center"/>
        <w:textAlignment w:val="auto"/>
        <w:rPr>
          <w:rFonts w:hint="default" w:ascii="Times New Roman" w:hAnsi="Times New Roman" w:eastAsia="楷体" w:cs="Times New Roman"/>
          <w:bCs/>
          <w:color w:val="auto"/>
          <w:kern w:val="0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default" w:ascii="Times New Roman" w:hAnsi="Times New Roman" w:eastAsia="楷体" w:cs="Times New Roman"/>
          <w:b/>
          <w:bCs/>
          <w:color w:val="auto"/>
          <w:kern w:val="0"/>
          <w:sz w:val="32"/>
          <w:szCs w:val="32"/>
          <w:shd w:val="clear" w:color="auto" w:fill="FFFFFF"/>
          <w:lang w:val="en-US" w:eastAsia="zh-CN" w:bidi="ar-SA"/>
        </w:rPr>
        <w:t>（排名不分先后）</w:t>
      </w:r>
    </w:p>
    <w:tbl>
      <w:tblPr>
        <w:tblStyle w:val="6"/>
        <w:tblW w:w="9660" w:type="dxa"/>
        <w:tblInd w:w="-14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85"/>
        <w:gridCol w:w="3945"/>
        <w:gridCol w:w="483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32"/>
                <w:szCs w:val="32"/>
                <w:u w:val="none"/>
                <w:lang w:val="en-US" w:eastAsia="zh-CN" w:bidi="ar"/>
              </w:rPr>
              <w:t>序号</w:t>
            </w:r>
          </w:p>
        </w:tc>
        <w:tc>
          <w:tcPr>
            <w:tcW w:w="3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32"/>
                <w:szCs w:val="32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4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32"/>
                <w:szCs w:val="32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32"/>
                <w:szCs w:val="32"/>
                <w:u w:val="none"/>
                <w:lang w:val="en-US" w:eastAsia="zh-CN" w:bidi="ar"/>
              </w:rPr>
              <w:t>经验名称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3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62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郑州煤矿机械集团股份有限公司</w:t>
            </w:r>
          </w:p>
        </w:tc>
        <w:tc>
          <w:tcPr>
            <w:tcW w:w="4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62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实施基于“QC MAP”模式的质量管理体系提升质量管理的经验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2</w:t>
            </w:r>
          </w:p>
        </w:tc>
        <w:tc>
          <w:tcPr>
            <w:tcW w:w="3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62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郑州圣莱特空心微珠新材料有限公司</w:t>
            </w:r>
          </w:p>
        </w:tc>
        <w:tc>
          <w:tcPr>
            <w:tcW w:w="4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62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构建实施“用研供产服”五精质量管理模式实践经验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44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3</w:t>
            </w:r>
          </w:p>
        </w:tc>
        <w:tc>
          <w:tcPr>
            <w:tcW w:w="3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62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河南省超亚医药器械有限公司</w:t>
            </w:r>
          </w:p>
        </w:tc>
        <w:tc>
          <w:tcPr>
            <w:tcW w:w="4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62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实施以客户需求为导向的全生命周期数智化管理经验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4</w:t>
            </w:r>
          </w:p>
        </w:tc>
        <w:tc>
          <w:tcPr>
            <w:tcW w:w="3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62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郑州多元智能装备股份有限公司</w:t>
            </w:r>
          </w:p>
        </w:tc>
        <w:tc>
          <w:tcPr>
            <w:tcW w:w="4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62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基于智能CBB（共用模块）提升综合经营效率的管理经验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5</w:t>
            </w:r>
          </w:p>
        </w:tc>
        <w:tc>
          <w:tcPr>
            <w:tcW w:w="3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62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郑州深澜动力科技有限公司</w:t>
            </w:r>
          </w:p>
        </w:tc>
        <w:tc>
          <w:tcPr>
            <w:tcW w:w="4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62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产品全生命周期智能化监管解决方案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5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6</w:t>
            </w:r>
          </w:p>
        </w:tc>
        <w:tc>
          <w:tcPr>
            <w:tcW w:w="3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62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河南万达铝业有限公司</w:t>
            </w:r>
          </w:p>
        </w:tc>
        <w:tc>
          <w:tcPr>
            <w:tcW w:w="4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62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工艺精准化“6T”过程质量管控的经验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44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7</w:t>
            </w:r>
          </w:p>
        </w:tc>
        <w:tc>
          <w:tcPr>
            <w:tcW w:w="3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62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河南省新之林机电设备有限公司</w:t>
            </w:r>
          </w:p>
        </w:tc>
        <w:tc>
          <w:tcPr>
            <w:tcW w:w="4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62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基于六西格玛管理方法打造“零缺陷”生产的实施经验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8</w:t>
            </w:r>
          </w:p>
        </w:tc>
        <w:tc>
          <w:tcPr>
            <w:tcW w:w="3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62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郑州三华科技实业有限公司</w:t>
            </w:r>
          </w:p>
        </w:tc>
        <w:tc>
          <w:tcPr>
            <w:tcW w:w="4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62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构建“双环驱动+”的高质量管理模式实施经验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9</w:t>
            </w:r>
          </w:p>
        </w:tc>
        <w:tc>
          <w:tcPr>
            <w:tcW w:w="3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62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郑州正方科技有限公司</w:t>
            </w:r>
          </w:p>
        </w:tc>
        <w:tc>
          <w:tcPr>
            <w:tcW w:w="4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62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基于大数据平台驱动电池安全管理“质变”的实践经验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10</w:t>
            </w:r>
          </w:p>
        </w:tc>
        <w:tc>
          <w:tcPr>
            <w:tcW w:w="3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62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亚普汽车部件（开封）有限公司</w:t>
            </w:r>
          </w:p>
        </w:tc>
        <w:tc>
          <w:tcPr>
            <w:tcW w:w="4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62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基于“5G”的全流程数字化质量管控经验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44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11</w:t>
            </w:r>
          </w:p>
        </w:tc>
        <w:tc>
          <w:tcPr>
            <w:tcW w:w="3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62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开封仪表有限公司</w:t>
            </w:r>
          </w:p>
        </w:tc>
        <w:tc>
          <w:tcPr>
            <w:tcW w:w="4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62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实施信息化+精益化提升质量管理水平的经验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12</w:t>
            </w:r>
          </w:p>
        </w:tc>
        <w:tc>
          <w:tcPr>
            <w:tcW w:w="3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62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立邦涂料（河南）有限公司</w:t>
            </w:r>
          </w:p>
        </w:tc>
        <w:tc>
          <w:tcPr>
            <w:tcW w:w="4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62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实施基于信息化、智能化的全生命周期绿色化实践经验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13</w:t>
            </w:r>
          </w:p>
        </w:tc>
        <w:tc>
          <w:tcPr>
            <w:tcW w:w="3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62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洛阳轴承研究所有限公司</w:t>
            </w:r>
          </w:p>
        </w:tc>
        <w:tc>
          <w:tcPr>
            <w:tcW w:w="4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62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实施数字化打造精品轴承的质量管理经验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14</w:t>
            </w:r>
          </w:p>
        </w:tc>
        <w:tc>
          <w:tcPr>
            <w:tcW w:w="3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62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中车洛阳机车有限公司</w:t>
            </w:r>
          </w:p>
        </w:tc>
        <w:tc>
          <w:tcPr>
            <w:tcW w:w="4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62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实施“三能一体系+机车全寿命”质量管理创新的经验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44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15</w:t>
            </w:r>
          </w:p>
        </w:tc>
        <w:tc>
          <w:tcPr>
            <w:tcW w:w="3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62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汝阳杜康酿酒有限公司</w:t>
            </w:r>
          </w:p>
        </w:tc>
        <w:tc>
          <w:tcPr>
            <w:tcW w:w="4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62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实施现代生物技术改进窖池白酒传统工艺技术的经验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16</w:t>
            </w:r>
          </w:p>
        </w:tc>
        <w:tc>
          <w:tcPr>
            <w:tcW w:w="3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62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洛阳鸿元轴承科技有限公司</w:t>
            </w:r>
          </w:p>
        </w:tc>
        <w:tc>
          <w:tcPr>
            <w:tcW w:w="4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62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实施轴承智能工厂“精益创新+绿色智造”驱动质量提升的经验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17</w:t>
            </w:r>
          </w:p>
        </w:tc>
        <w:tc>
          <w:tcPr>
            <w:tcW w:w="3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62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中铝河南洛阳铝加工有限公司</w:t>
            </w:r>
          </w:p>
        </w:tc>
        <w:tc>
          <w:tcPr>
            <w:tcW w:w="4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62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实施技术创新+智能制造促进产品质量提升的实践经验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18</w:t>
            </w:r>
          </w:p>
        </w:tc>
        <w:tc>
          <w:tcPr>
            <w:tcW w:w="3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62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洛阳中硅高科技有限公司</w:t>
            </w:r>
          </w:p>
        </w:tc>
        <w:tc>
          <w:tcPr>
            <w:tcW w:w="4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62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实施“四化式”新型化工质量管理创新模式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44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19</w:t>
            </w:r>
          </w:p>
        </w:tc>
        <w:tc>
          <w:tcPr>
            <w:tcW w:w="3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62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洛阳利尔功能材料有限公司</w:t>
            </w:r>
          </w:p>
        </w:tc>
        <w:tc>
          <w:tcPr>
            <w:tcW w:w="4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62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实施创新驱动+数智赋能耐材质量提升的经验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20</w:t>
            </w:r>
          </w:p>
        </w:tc>
        <w:tc>
          <w:tcPr>
            <w:tcW w:w="3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62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河南中托力合化学有限公司</w:t>
            </w:r>
          </w:p>
        </w:tc>
        <w:tc>
          <w:tcPr>
            <w:tcW w:w="4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62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实施基于“三层一体”煤制油精加工管理模式的经验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21</w:t>
            </w:r>
          </w:p>
        </w:tc>
        <w:tc>
          <w:tcPr>
            <w:tcW w:w="3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62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舞钢神州重工金属复合材料有限公司</w:t>
            </w:r>
          </w:p>
        </w:tc>
        <w:tc>
          <w:tcPr>
            <w:tcW w:w="4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62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实施精准化质量控制管理实践经验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22</w:t>
            </w:r>
          </w:p>
        </w:tc>
        <w:tc>
          <w:tcPr>
            <w:tcW w:w="3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62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库柏爱迪生（平顶山）电子科技有限公司</w:t>
            </w:r>
          </w:p>
        </w:tc>
        <w:tc>
          <w:tcPr>
            <w:tcW w:w="4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62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实施全流程质量管理模式的实践经验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44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23</w:t>
            </w:r>
          </w:p>
        </w:tc>
        <w:tc>
          <w:tcPr>
            <w:tcW w:w="3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62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河南省嘉北科技有限公司</w:t>
            </w:r>
          </w:p>
        </w:tc>
        <w:tc>
          <w:tcPr>
            <w:tcW w:w="4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62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实施“1+3”质量管理模式的实践经验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24</w:t>
            </w:r>
          </w:p>
        </w:tc>
        <w:tc>
          <w:tcPr>
            <w:tcW w:w="3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62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平高集团智能电气有限公司</w:t>
            </w:r>
          </w:p>
        </w:tc>
        <w:tc>
          <w:tcPr>
            <w:tcW w:w="4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62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基于卓越绩效管理和评价的精益质量管理探索与实践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25</w:t>
            </w:r>
          </w:p>
        </w:tc>
        <w:tc>
          <w:tcPr>
            <w:tcW w:w="3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62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河南四通精密模具有限公司</w:t>
            </w:r>
          </w:p>
        </w:tc>
        <w:tc>
          <w:tcPr>
            <w:tcW w:w="4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62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基于生产工艺标准化“6M PDCA管理模型”管理方法的实践经验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26</w:t>
            </w:r>
          </w:p>
        </w:tc>
        <w:tc>
          <w:tcPr>
            <w:tcW w:w="3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62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河南永胜玻璃科技股份有限公司</w:t>
            </w:r>
          </w:p>
        </w:tc>
        <w:tc>
          <w:tcPr>
            <w:tcW w:w="4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62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实施“5+4”模式提升乳白玻璃瓶质量的经验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44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27</w:t>
            </w:r>
          </w:p>
        </w:tc>
        <w:tc>
          <w:tcPr>
            <w:tcW w:w="3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62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中维化纤股份有限公司</w:t>
            </w:r>
          </w:p>
        </w:tc>
        <w:tc>
          <w:tcPr>
            <w:tcW w:w="4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62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基于“一体化+智能化”的生产全过程质量管理的经验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28</w:t>
            </w:r>
          </w:p>
        </w:tc>
        <w:tc>
          <w:tcPr>
            <w:tcW w:w="3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62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新乡日升数控轴承装备股份有限公司</w:t>
            </w:r>
          </w:p>
        </w:tc>
        <w:tc>
          <w:tcPr>
            <w:tcW w:w="4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62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基于追求全价值链发展的“一核四精双赋能”质量管理方法经验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29</w:t>
            </w:r>
          </w:p>
        </w:tc>
        <w:tc>
          <w:tcPr>
            <w:tcW w:w="3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62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拓新药业集团股份有限公司</w:t>
            </w:r>
          </w:p>
        </w:tc>
        <w:tc>
          <w:tcPr>
            <w:tcW w:w="4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62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实施“IPD研发创新+三零管理”的经验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30</w:t>
            </w:r>
          </w:p>
        </w:tc>
        <w:tc>
          <w:tcPr>
            <w:tcW w:w="3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62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新乡华锐锂电新能源股份有限公司</w:t>
            </w:r>
          </w:p>
        </w:tc>
        <w:tc>
          <w:tcPr>
            <w:tcW w:w="4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62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实施“三驱五化”融合发展的质量管理实践经验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44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31</w:t>
            </w:r>
          </w:p>
        </w:tc>
        <w:tc>
          <w:tcPr>
            <w:tcW w:w="3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62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新乡市七星钎焊科技有限公司</w:t>
            </w:r>
          </w:p>
        </w:tc>
        <w:tc>
          <w:tcPr>
            <w:tcW w:w="4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62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spacing w:val="-6"/>
                <w:kern w:val="0"/>
                <w:sz w:val="24"/>
                <w:szCs w:val="24"/>
                <w:u w:val="none"/>
                <w:lang w:val="en-US" w:eastAsia="zh-CN" w:bidi="ar"/>
              </w:rPr>
              <w:t>实施基于顾客零距离的“SDM”质量提升的经验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8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32</w:t>
            </w:r>
          </w:p>
        </w:tc>
        <w:tc>
          <w:tcPr>
            <w:tcW w:w="3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62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河南神州精工制造股份有限公司</w:t>
            </w:r>
          </w:p>
        </w:tc>
        <w:tc>
          <w:tcPr>
            <w:tcW w:w="4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62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实施数字化赋能的全面自主质量管理实践经验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33</w:t>
            </w:r>
          </w:p>
        </w:tc>
        <w:tc>
          <w:tcPr>
            <w:tcW w:w="3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62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河南中冶起重机集团有限公司</w:t>
            </w:r>
          </w:p>
        </w:tc>
        <w:tc>
          <w:tcPr>
            <w:tcW w:w="4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62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基于“四化一中心”实施高质量发展的典型经验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34</w:t>
            </w:r>
          </w:p>
        </w:tc>
        <w:tc>
          <w:tcPr>
            <w:tcW w:w="3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62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焦作科瑞森重装股份有限公司</w:t>
            </w:r>
          </w:p>
        </w:tc>
        <w:tc>
          <w:tcPr>
            <w:tcW w:w="4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62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基于远程运维提升产品设计与服务质量的经验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46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35</w:t>
            </w:r>
          </w:p>
        </w:tc>
        <w:tc>
          <w:tcPr>
            <w:tcW w:w="3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62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河南京华食品科技开发有限公司</w:t>
            </w:r>
          </w:p>
        </w:tc>
        <w:tc>
          <w:tcPr>
            <w:tcW w:w="4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62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实施基于云平台的全生命周期食品安全质量 管理的经验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36</w:t>
            </w:r>
          </w:p>
        </w:tc>
        <w:tc>
          <w:tcPr>
            <w:tcW w:w="3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62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沁阳市立标滤膜有限公司</w:t>
            </w:r>
          </w:p>
        </w:tc>
        <w:tc>
          <w:tcPr>
            <w:tcW w:w="4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62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基于数智化的质量创新实践经验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37</w:t>
            </w:r>
          </w:p>
        </w:tc>
        <w:tc>
          <w:tcPr>
            <w:tcW w:w="3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62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大咖国际食品有限公司</w:t>
            </w:r>
          </w:p>
        </w:tc>
        <w:tc>
          <w:tcPr>
            <w:tcW w:w="4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62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实施食品全生命周期数字化理与追溯的经验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38</w:t>
            </w:r>
          </w:p>
        </w:tc>
        <w:tc>
          <w:tcPr>
            <w:tcW w:w="394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62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焦作市凯诺电子有限公司</w:t>
            </w:r>
          </w:p>
        </w:tc>
        <w:tc>
          <w:tcPr>
            <w:tcW w:w="483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62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实施“113”精益管理模式的实践经验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460" w:hRule="atLeast"/>
        </w:trPr>
        <w:tc>
          <w:tcPr>
            <w:tcW w:w="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39</w:t>
            </w:r>
          </w:p>
        </w:tc>
        <w:tc>
          <w:tcPr>
            <w:tcW w:w="3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62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河南华瑞兴业防水科技有限公司</w:t>
            </w:r>
          </w:p>
        </w:tc>
        <w:tc>
          <w:tcPr>
            <w:tcW w:w="4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62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基于高度数字化的绿色建材质量管控经验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40</w:t>
            </w:r>
          </w:p>
        </w:tc>
        <w:tc>
          <w:tcPr>
            <w:tcW w:w="3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62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濮阳国诚空气净化技术有限公司</w:t>
            </w:r>
          </w:p>
        </w:tc>
        <w:tc>
          <w:tcPr>
            <w:tcW w:w="4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62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实施“协调创新机制实现个性化定制模式”的经验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</w:trPr>
        <w:tc>
          <w:tcPr>
            <w:tcW w:w="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41</w:t>
            </w:r>
          </w:p>
        </w:tc>
        <w:tc>
          <w:tcPr>
            <w:tcW w:w="3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62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河南省路科威公路机械制造有限公司</w:t>
            </w:r>
          </w:p>
        </w:tc>
        <w:tc>
          <w:tcPr>
            <w:tcW w:w="4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62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基于“PSRI模式”提升专业设备制造质量的实践经验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42</w:t>
            </w:r>
          </w:p>
        </w:tc>
        <w:tc>
          <w:tcPr>
            <w:tcW w:w="3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62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濮阳市汇元药业有限公司</w:t>
            </w:r>
          </w:p>
        </w:tc>
        <w:tc>
          <w:tcPr>
            <w:tcW w:w="4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62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实施以科技创新为核心的药品全过程风险控制的管理经验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440" w:hRule="atLeast"/>
        </w:trPr>
        <w:tc>
          <w:tcPr>
            <w:tcW w:w="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43</w:t>
            </w:r>
          </w:p>
        </w:tc>
        <w:tc>
          <w:tcPr>
            <w:tcW w:w="3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62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濮阳市鑫业特种润滑油脂有限公司</w:t>
            </w:r>
          </w:p>
        </w:tc>
        <w:tc>
          <w:tcPr>
            <w:tcW w:w="4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62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以全生命周期绿色化实现润滑油脂质量提升的经验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44</w:t>
            </w:r>
          </w:p>
        </w:tc>
        <w:tc>
          <w:tcPr>
            <w:tcW w:w="3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62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许继电气股份有限公司</w:t>
            </w:r>
          </w:p>
        </w:tc>
        <w:tc>
          <w:tcPr>
            <w:tcW w:w="4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62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实施特高压设备全寿命周期“110”质量管控的经验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88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45</w:t>
            </w:r>
          </w:p>
        </w:tc>
        <w:tc>
          <w:tcPr>
            <w:tcW w:w="394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62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河南环宇玻璃科技股份有限公司</w:t>
            </w:r>
          </w:p>
        </w:tc>
        <w:tc>
          <w:tcPr>
            <w:tcW w:w="483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62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基于“四维十二策”精益生产的管理经验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46</w:t>
            </w:r>
          </w:p>
        </w:tc>
        <w:tc>
          <w:tcPr>
            <w:tcW w:w="3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62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许昌裕同印刷包装有限公司</w:t>
            </w:r>
          </w:p>
        </w:tc>
        <w:tc>
          <w:tcPr>
            <w:tcW w:w="4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62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构建数据驱动全过程质量协同管控模式的实践经验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44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47</w:t>
            </w:r>
          </w:p>
        </w:tc>
        <w:tc>
          <w:tcPr>
            <w:tcW w:w="3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62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河南帷幄电气有限公司</w:t>
            </w:r>
          </w:p>
        </w:tc>
        <w:tc>
          <w:tcPr>
            <w:tcW w:w="4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62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基于客户满意的全面质量管理提升的实践经验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48</w:t>
            </w:r>
          </w:p>
        </w:tc>
        <w:tc>
          <w:tcPr>
            <w:tcW w:w="3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62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许昌三顺研磨材料有限公司</w:t>
            </w:r>
          </w:p>
        </w:tc>
        <w:tc>
          <w:tcPr>
            <w:tcW w:w="4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62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实施“四化、两柱”的研磨材料质量提升经验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49</w:t>
            </w:r>
          </w:p>
        </w:tc>
        <w:tc>
          <w:tcPr>
            <w:tcW w:w="3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62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河南石力金刚石制品股份有限公司</w:t>
            </w:r>
          </w:p>
        </w:tc>
        <w:tc>
          <w:tcPr>
            <w:tcW w:w="4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62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“产品设计制造一体化全生命周期管理体系”的典型经验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50</w:t>
            </w:r>
          </w:p>
        </w:tc>
        <w:tc>
          <w:tcPr>
            <w:tcW w:w="3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62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虹峰电缆有限公司</w:t>
            </w:r>
          </w:p>
        </w:tc>
        <w:tc>
          <w:tcPr>
            <w:tcW w:w="4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62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基于信息化的SPC质量管理经验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44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51</w:t>
            </w:r>
          </w:p>
        </w:tc>
        <w:tc>
          <w:tcPr>
            <w:tcW w:w="3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62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河南永光电力科技有限公司</w:t>
            </w:r>
          </w:p>
        </w:tc>
        <w:tc>
          <w:tcPr>
            <w:tcW w:w="4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62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基于数字化的精益化质量管理方法的实践经验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52</w:t>
            </w:r>
          </w:p>
        </w:tc>
        <w:tc>
          <w:tcPr>
            <w:tcW w:w="3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62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灵宝宝鑫电子科技有限公司</w:t>
            </w:r>
          </w:p>
        </w:tc>
        <w:tc>
          <w:tcPr>
            <w:tcW w:w="4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62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实施数字化赋能“5SPDCA”精益管理经验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53</w:t>
            </w:r>
          </w:p>
        </w:tc>
        <w:tc>
          <w:tcPr>
            <w:tcW w:w="3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62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南阳格瑞光电科技股份有限公司</w:t>
            </w:r>
          </w:p>
        </w:tc>
        <w:tc>
          <w:tcPr>
            <w:tcW w:w="4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62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实施基于“创新驱动+数智管理”提升质量水平的实践经验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54</w:t>
            </w:r>
          </w:p>
        </w:tc>
        <w:tc>
          <w:tcPr>
            <w:tcW w:w="3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62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卧龙电气南阳防爆集团股份有限公司</w:t>
            </w:r>
          </w:p>
        </w:tc>
        <w:tc>
          <w:tcPr>
            <w:tcW w:w="4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62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基于智能制造实现柔性生产的实践经验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48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55</w:t>
            </w:r>
          </w:p>
        </w:tc>
        <w:tc>
          <w:tcPr>
            <w:tcW w:w="3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62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南阳市一通防爆电气有限公司</w:t>
            </w:r>
          </w:p>
        </w:tc>
        <w:tc>
          <w:tcPr>
            <w:tcW w:w="4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62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基于“网络化协同制造平台”的创新质量管理模式的实践经验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56</w:t>
            </w:r>
          </w:p>
        </w:tc>
        <w:tc>
          <w:tcPr>
            <w:tcW w:w="3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62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河南鼎能电子科技有限公司</w:t>
            </w:r>
          </w:p>
        </w:tc>
        <w:tc>
          <w:tcPr>
            <w:tcW w:w="4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62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实施基于产业链数字化协同的质量管理系统的经验实践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57</w:t>
            </w:r>
          </w:p>
        </w:tc>
        <w:tc>
          <w:tcPr>
            <w:tcW w:w="3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62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洁士美建材科技有限公司</w:t>
            </w:r>
          </w:p>
        </w:tc>
        <w:tc>
          <w:tcPr>
            <w:tcW w:w="4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62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实施“3+5”质量管理模式的经验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58</w:t>
            </w:r>
          </w:p>
        </w:tc>
        <w:tc>
          <w:tcPr>
            <w:tcW w:w="3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62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信阳市灵石科技有限公司</w:t>
            </w:r>
          </w:p>
        </w:tc>
        <w:tc>
          <w:tcPr>
            <w:tcW w:w="4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62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构建以“S-M-G”驱动的高质量管理模式的实施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48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59</w:t>
            </w:r>
          </w:p>
        </w:tc>
        <w:tc>
          <w:tcPr>
            <w:tcW w:w="3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62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河南五谷春酒业股份有限公司</w:t>
            </w:r>
          </w:p>
        </w:tc>
        <w:tc>
          <w:tcPr>
            <w:tcW w:w="4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62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实施匠心四体系循环管控质量创新模式的经验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60</w:t>
            </w:r>
          </w:p>
        </w:tc>
        <w:tc>
          <w:tcPr>
            <w:tcW w:w="3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62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河南省新四方制药有限公司</w:t>
            </w:r>
          </w:p>
        </w:tc>
        <w:tc>
          <w:tcPr>
            <w:tcW w:w="4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62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实施药品全生命周期数智化质量管理的经验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61</w:t>
            </w:r>
          </w:p>
        </w:tc>
        <w:tc>
          <w:tcPr>
            <w:tcW w:w="3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62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河南金泽兰纺织科技股份有限公司</w:t>
            </w:r>
          </w:p>
        </w:tc>
        <w:tc>
          <w:tcPr>
            <w:tcW w:w="4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62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实施基于智能制造的服装柔性化生产质量管控的经验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62</w:t>
            </w:r>
          </w:p>
        </w:tc>
        <w:tc>
          <w:tcPr>
            <w:tcW w:w="3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62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河南森罗家居有限公司</w:t>
            </w:r>
          </w:p>
        </w:tc>
        <w:tc>
          <w:tcPr>
            <w:tcW w:w="4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62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实施个性化定制+信息化协同质效双生管理模式实践经验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48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63</w:t>
            </w:r>
          </w:p>
        </w:tc>
        <w:tc>
          <w:tcPr>
            <w:tcW w:w="3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62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益海（周口）粮油工业有限公司</w:t>
            </w:r>
          </w:p>
        </w:tc>
        <w:tc>
          <w:tcPr>
            <w:tcW w:w="4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62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构建全价值链发展的“12506”质量管控模式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64</w:t>
            </w:r>
          </w:p>
        </w:tc>
        <w:tc>
          <w:tcPr>
            <w:tcW w:w="3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62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鹿邑县澄明食品有限公司</w:t>
            </w:r>
          </w:p>
        </w:tc>
        <w:tc>
          <w:tcPr>
            <w:tcW w:w="4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62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实施“闭环管控+智能制造”双驱动全生命周期食品安全追溯的经验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65</w:t>
            </w:r>
          </w:p>
        </w:tc>
        <w:tc>
          <w:tcPr>
            <w:tcW w:w="3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62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河南惠强新能源材料科技股份有限公司</w:t>
            </w:r>
          </w:p>
        </w:tc>
        <w:tc>
          <w:tcPr>
            <w:tcW w:w="4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62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基于FCMSD循环的关键过程零缺陷改进经验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66</w:t>
            </w:r>
          </w:p>
        </w:tc>
        <w:tc>
          <w:tcPr>
            <w:tcW w:w="3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62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河南省百蓓佳卫生用品有限公司</w:t>
            </w:r>
          </w:p>
        </w:tc>
        <w:tc>
          <w:tcPr>
            <w:tcW w:w="4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62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实施智能制造推动全价值链品控管理的经验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48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67</w:t>
            </w:r>
          </w:p>
        </w:tc>
        <w:tc>
          <w:tcPr>
            <w:tcW w:w="3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62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河南省泌花食品有限公司</w:t>
            </w:r>
          </w:p>
        </w:tc>
        <w:tc>
          <w:tcPr>
            <w:tcW w:w="4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62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基于市场导向的全方位质量管理体系构建与实施的经验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68</w:t>
            </w:r>
          </w:p>
        </w:tc>
        <w:tc>
          <w:tcPr>
            <w:tcW w:w="3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62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河南济钢精品钢材有限公司</w:t>
            </w:r>
          </w:p>
        </w:tc>
        <w:tc>
          <w:tcPr>
            <w:tcW w:w="4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62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实施“精益+N”多维精益管理模式的经验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69</w:t>
            </w:r>
          </w:p>
        </w:tc>
        <w:tc>
          <w:tcPr>
            <w:tcW w:w="3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62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济源市鲁泰纳米材料有限公司</w:t>
            </w:r>
          </w:p>
        </w:tc>
        <w:tc>
          <w:tcPr>
            <w:tcW w:w="4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62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实施“五化协同”驱动质量全面提升实践经验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70</w:t>
            </w:r>
          </w:p>
        </w:tc>
        <w:tc>
          <w:tcPr>
            <w:tcW w:w="3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62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郑州统一企业有限公司</w:t>
            </w:r>
          </w:p>
        </w:tc>
        <w:tc>
          <w:tcPr>
            <w:tcW w:w="4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62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基于"食安防线+品质把关+SOP标准" 全流程信息化管理系统的创新实践经验</w:t>
            </w:r>
          </w:p>
        </w:tc>
      </w:tr>
    </w:tbl>
    <w:p>
      <w:pPr>
        <w:spacing w:line="620" w:lineRule="exact"/>
        <w:rPr>
          <w:rFonts w:hint="default" w:ascii="Times New Roman" w:hAnsi="Times New Roman" w:cs="Times New Roman" w:eastAsiaTheme="minorEastAsia"/>
          <w:color w:val="auto"/>
          <w:sz w:val="21"/>
          <w:szCs w:val="24"/>
        </w:rPr>
      </w:pPr>
    </w:p>
    <w:p>
      <w:pPr>
        <w:widowControl w:val="0"/>
        <w:spacing w:after="120" w:line="620" w:lineRule="exact"/>
        <w:jc w:val="both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</w:pPr>
    </w:p>
    <w:p>
      <w:pPr>
        <w:spacing w:line="620" w:lineRule="exact"/>
        <w:rPr>
          <w:rFonts w:cs="宋体"/>
          <w:color w:val="auto"/>
        </w:rPr>
      </w:pPr>
    </w:p>
    <w:p>
      <w:pPr>
        <w:spacing w:line="620" w:lineRule="exact"/>
        <w:rPr>
          <w:rFonts w:cs="宋体"/>
          <w:color w:val="auto"/>
        </w:rPr>
      </w:pPr>
    </w:p>
    <w:bookmarkEnd w:id="0"/>
    <w:p>
      <w:pPr>
        <w:spacing w:line="620" w:lineRule="exact"/>
        <w:rPr>
          <w:rFonts w:cs="宋体"/>
          <w:color w:val="auto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20" w:lineRule="exact"/>
        <w:jc w:val="both"/>
        <w:textAlignment w:val="auto"/>
        <w:rPr>
          <w:rFonts w:hint="default" w:ascii="Times New Roman" w:hAnsi="Times New Roman" w:eastAsia="仿宋" w:cs="Times New Roman"/>
          <w:kern w:val="2"/>
          <w:sz w:val="32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20" w:lineRule="exact"/>
        <w:jc w:val="both"/>
        <w:textAlignment w:val="auto"/>
        <w:rPr>
          <w:rFonts w:hint="default" w:ascii="Times New Roman" w:hAnsi="Times New Roman" w:eastAsia="仿宋" w:cs="Times New Roman"/>
          <w:kern w:val="2"/>
          <w:sz w:val="32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left="0" w:leftChars="0" w:right="640" w:rightChars="200" w:firstLine="0" w:firstLineChars="0"/>
        <w:jc w:val="right"/>
        <w:textAlignment w:val="auto"/>
        <w:outlineLvl w:val="9"/>
        <w:rPr>
          <w:rFonts w:hint="default" w:ascii="Times New Roman" w:hAnsi="Times New Roman" w:eastAsia="仿宋" w:cs="Times New Roman"/>
          <w:spacing w:val="-6"/>
          <w:szCs w:val="32"/>
        </w:rPr>
      </w:pPr>
    </w:p>
    <w:p>
      <w:pPr>
        <w:widowControl w:val="0"/>
        <w:spacing w:after="120" w:line="620" w:lineRule="exact"/>
        <w:jc w:val="both"/>
        <w:rPr>
          <w:rFonts w:hint="default" w:ascii="Times New Roman" w:hAnsi="Times New Roman" w:eastAsia="仿宋_GB2312" w:cs="宋体"/>
          <w:kern w:val="2"/>
          <w:sz w:val="32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88" w:beforeLines="60" w:after="120" w:line="620" w:lineRule="exact"/>
        <w:jc w:val="both"/>
        <w:textAlignment w:val="auto"/>
        <w:rPr>
          <w:rFonts w:hint="default" w:ascii="Times New Roman" w:hAnsi="Times New Roman" w:eastAsia="仿宋_GB2312" w:cs="Times New Roman"/>
          <w:kern w:val="2"/>
          <w:sz w:val="32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88" w:beforeLines="60" w:after="120" w:line="620" w:lineRule="exact"/>
        <w:jc w:val="both"/>
        <w:textAlignment w:val="auto"/>
        <w:rPr>
          <w:rFonts w:hint="default" w:ascii="Times New Roman" w:hAnsi="Times New Roman" w:eastAsia="仿宋_GB2312" w:cs="Times New Roman"/>
          <w:kern w:val="2"/>
          <w:sz w:val="32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88" w:beforeLines="60" w:after="120" w:line="620" w:lineRule="exact"/>
        <w:jc w:val="both"/>
        <w:textAlignment w:val="auto"/>
        <w:rPr>
          <w:rFonts w:hint="default" w:ascii="Times New Roman" w:hAnsi="Times New Roman" w:eastAsia="仿宋_GB2312" w:cs="Times New Roman"/>
          <w:kern w:val="2"/>
          <w:sz w:val="32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88" w:beforeLines="60" w:after="120" w:line="620" w:lineRule="exact"/>
        <w:jc w:val="both"/>
        <w:textAlignment w:val="auto"/>
        <w:rPr>
          <w:rFonts w:hint="default" w:ascii="Times New Roman" w:hAnsi="Times New Roman" w:eastAsia="仿宋_GB2312" w:cs="Times New Roman"/>
          <w:kern w:val="2"/>
          <w:sz w:val="32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20" w:lineRule="exact"/>
        <w:jc w:val="both"/>
        <w:textAlignment w:val="auto"/>
        <w:rPr>
          <w:rFonts w:hint="default" w:ascii="Times New Roman" w:hAnsi="Times New Roman" w:eastAsia="仿宋_GB2312" w:cs="Times New Roman"/>
          <w:kern w:val="2"/>
          <w:sz w:val="32"/>
          <w:lang w:val="en-US" w:eastAsia="zh-CN" w:bidi="ar-SA"/>
        </w:rPr>
      </w:pPr>
    </w:p>
    <w:tbl>
      <w:tblPr>
        <w:tblStyle w:val="6"/>
        <w:tblW w:w="0" w:type="auto"/>
        <w:jc w:val="center"/>
        <w:tblBorders>
          <w:top w:val="none" w:color="auto" w:sz="0" w:space="0"/>
          <w:left w:val="none" w:color="auto" w:sz="0" w:space="0"/>
          <w:bottom w:val="single" w:color="auto" w:sz="12" w:space="0"/>
          <w:right w:val="none" w:color="auto" w:sz="0" w:space="0"/>
          <w:insideH w:val="single" w:color="auto" w:sz="12" w:space="0"/>
          <w:insideV w:val="single" w:color="auto" w:sz="1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01"/>
      </w:tblGrid>
      <w:tr>
        <w:tblPrEx>
          <w:tblBorders>
            <w:top w:val="none" w:color="auto" w:sz="0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  <w:jc w:val="center"/>
        </w:trPr>
        <w:tc>
          <w:tcPr>
            <w:tcW w:w="9201" w:type="dxa"/>
            <w:noWrap w:val="0"/>
            <w:vAlign w:val="top"/>
          </w:tcPr>
          <w:p>
            <w:pPr>
              <w:tabs>
                <w:tab w:val="left" w:pos="3780"/>
                <w:tab w:val="left" w:pos="4140"/>
              </w:tabs>
              <w:spacing w:line="360" w:lineRule="exact"/>
              <w:ind w:firstLine="140" w:firstLineChars="50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  <w:jc w:val="center"/>
        </w:trPr>
        <w:tc>
          <w:tcPr>
            <w:tcW w:w="9201" w:type="dxa"/>
            <w:noWrap w:val="0"/>
            <w:vAlign w:val="top"/>
          </w:tcPr>
          <w:p>
            <w:pPr>
              <w:tabs>
                <w:tab w:val="left" w:pos="3780"/>
                <w:tab w:val="left" w:pos="4140"/>
              </w:tabs>
              <w:spacing w:line="600" w:lineRule="exact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河南省工业和信息化厅办公室          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   </w:t>
            </w:r>
            <w:r>
              <w:rPr>
                <w:rFonts w:hint="eastAsia" w:cs="Times New Roman"/>
                <w:sz w:val="28"/>
                <w:szCs w:val="28"/>
                <w:lang w:val="en-US" w:eastAsia="zh-CN"/>
              </w:rPr>
              <w:t xml:space="preserve">    2024年7月2日印发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  </w:t>
            </w:r>
          </w:p>
        </w:tc>
      </w:tr>
    </w:tbl>
    <w:p>
      <w:pPr>
        <w:keepNext w:val="0"/>
        <w:keepLines w:val="0"/>
        <w:pageBreakBefore w:val="0"/>
        <w:widowControl w:val="0"/>
        <w:tabs>
          <w:tab w:val="left" w:pos="3780"/>
          <w:tab w:val="left" w:pos="41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625" w:beforeLines="200" w:line="240" w:lineRule="auto"/>
        <w:ind w:right="-717" w:rightChars="-224"/>
        <w:textAlignment w:val="auto"/>
      </w:pPr>
      <w:r>
        <w:rPr>
          <w:rFonts w:hint="default" w:ascii="Times New Roman" w:hAnsi="Times New Roman" w:cs="Times New Roman"/>
          <w:sz w:val="28"/>
          <w:szCs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3979545</wp:posOffset>
            </wp:positionH>
            <wp:positionV relativeFrom="paragraph">
              <wp:posOffset>123190</wp:posOffset>
            </wp:positionV>
            <wp:extent cx="1790700" cy="476250"/>
            <wp:effectExtent l="0" t="0" r="0" b="0"/>
            <wp:wrapNone/>
            <wp:docPr id="3" name="图片 3" descr="豫工信创新〔2024〕132号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豫工信创新〔2024〕132号"/>
                    <pic:cNvPicPr>
                      <a:picLocks noChangeAspect="true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ascii="Times New Roman" w:hAnsi="Times New Roman" w:cs="Times New Roman"/>
          <w:sz w:val="28"/>
          <w:szCs w:val="28"/>
        </w:rPr>
        <w:t xml:space="preserve">                                </w:t>
      </w:r>
    </w:p>
    <w:sectPr>
      <w:footerReference r:id="rId5" w:type="first"/>
      <w:headerReference r:id="rId3" w:type="default"/>
      <w:footerReference r:id="rId4" w:type="default"/>
      <w:pgSz w:w="11907" w:h="16840"/>
      <w:pgMar w:top="1417" w:right="1417" w:bottom="1417" w:left="1417" w:header="1020" w:footer="1304" w:gutter="0"/>
      <w:pgNumType w:fmt="decimal"/>
      <w:cols w:space="0" w:num="1"/>
      <w:rtlGutter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中宋">
    <w:altName w:val="汉仪中宋简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长城小标宋体">
    <w:altName w:val="方正小标宋_GBK"/>
    <w:panose1 w:val="02010609010101010101"/>
    <w:charset w:val="00"/>
    <w:family w:val="modern"/>
    <w:pitch w:val="default"/>
    <w:sig w:usb0="00000000" w:usb1="00000000" w:usb2="00000000" w:usb3="00000000" w:csb0="00040001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decorative"/>
    <w:pitch w:val="default"/>
    <w:sig w:usb0="00000000" w:usb1="00000000" w:usb2="00000016" w:usb3="00000000" w:csb0="00040001" w:csb1="00000000"/>
  </w:font>
  <w:font w:name="楷体">
    <w:altName w:val="方正楷体_GBK"/>
    <w:panose1 w:val="02010609060101010101"/>
    <w:charset w:val="86"/>
    <w:family w:val="decorative"/>
    <w:pitch w:val="default"/>
    <w:sig w:usb0="00000000" w:usb1="00000000" w:usb2="00000016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汉仪中宋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8240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BYAAABkcnMvUEsBAhQAFAAAAAgA&#10;h07iQLNJWO7QAAAABQEAAA8AAAAAAAAAAQAgAAAAOAAAAGRycy9kb3ducmV2LnhtbFBLAQIUABQA&#10;AAAIAIdO4kA8FiLyGwIAACkEAAAOAAAAAAAAAAEAIAAAADU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17B2C59"/>
    <w:rsid w:val="1EDB1D2D"/>
    <w:rsid w:val="49BD1AFC"/>
    <w:rsid w:val="6F3B212C"/>
    <w:rsid w:val="70042192"/>
    <w:rsid w:val="717B2C59"/>
    <w:rsid w:val="7A4C0FC0"/>
    <w:rsid w:val="EBBF0C0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qFormat/>
    <w:uiPriority w:val="0"/>
    <w:pPr>
      <w:widowControl w:val="0"/>
      <w:spacing w:after="120" w:line="620" w:lineRule="exact"/>
      <w:jc w:val="both"/>
    </w:pPr>
    <w:rPr>
      <w:rFonts w:ascii="Times New Roman" w:hAnsi="Times New Roman" w:eastAsia="仿宋_GB2312" w:cs="宋体"/>
      <w:kern w:val="2"/>
      <w:sz w:val="32"/>
      <w:lang w:val="en-US" w:eastAsia="zh-CN" w:bidi="ar-SA"/>
    </w:rPr>
  </w:style>
  <w:style w:type="paragraph" w:styleId="3">
    <w:name w:val="footer"/>
    <w:qFormat/>
    <w:uiPriority w:val="0"/>
    <w:pPr>
      <w:widowControl w:val="0"/>
      <w:tabs>
        <w:tab w:val="center" w:pos="4153"/>
        <w:tab w:val="right" w:pos="8306"/>
      </w:tabs>
      <w:snapToGrid w:val="0"/>
      <w:spacing w:line="240" w:lineRule="atLeast"/>
      <w:jc w:val="left"/>
    </w:pPr>
    <w:rPr>
      <w:rFonts w:ascii="Times New Roman" w:hAnsi="Times New Roman" w:eastAsia="仿宋_GB2312" w:cs="宋体"/>
      <w:kern w:val="2"/>
      <w:sz w:val="18"/>
      <w:szCs w:val="18"/>
      <w:lang w:val="en-US" w:eastAsia="zh-CN" w:bidi="ar-SA"/>
    </w:rPr>
  </w:style>
  <w:style w:type="paragraph" w:styleId="4">
    <w:name w:val="header"/>
    <w:qFormat/>
    <w:uiPriority w:val="0"/>
    <w:pPr>
      <w:widowControl w:val="0"/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rFonts w:ascii="Times New Roman" w:hAnsi="Times New Roman" w:eastAsia="仿宋_GB2312" w:cs="宋体"/>
      <w:kern w:val="2"/>
      <w:sz w:val="18"/>
      <w:szCs w:val="18"/>
      <w:lang w:val="en-US" w:eastAsia="zh-CN" w:bidi="ar-SA"/>
    </w:rPr>
  </w:style>
  <w:style w:type="paragraph" w:styleId="5">
    <w:name w:val="Normal (Web)"/>
    <w:qFormat/>
    <w:uiPriority w:val="0"/>
    <w:pPr>
      <w:widowControl w:val="0"/>
      <w:spacing w:beforeAutospacing="1" w:afterAutospacing="1"/>
      <w:jc w:val="left"/>
    </w:pPr>
    <w:rPr>
      <w:rFonts w:ascii="Calibri" w:hAnsi="Calibri" w:eastAsia="宋体" w:cs="Times New Roman"/>
      <w:kern w:val="0"/>
      <w:sz w:val="24"/>
      <w:szCs w:val="24"/>
      <w:lang w:val="en-US" w:eastAsia="zh-CN" w:bidi="ar-SA"/>
    </w:rPr>
  </w:style>
  <w:style w:type="character" w:styleId="8">
    <w:name w:val="Strong"/>
    <w:qFormat/>
    <w:uiPriority w:val="0"/>
    <w:rPr>
      <w:b/>
    </w:rPr>
  </w:style>
  <w:style w:type="character" w:customStyle="1" w:styleId="9">
    <w:name w:val="font31"/>
    <w:qFormat/>
    <w:uiPriority w:val="0"/>
    <w:rPr>
      <w:rFonts w:ascii="华文仿宋" w:hAnsi="华文仿宋" w:eastAsia="华文仿宋" w:cs="华文仿宋"/>
      <w:color w:val="000000"/>
      <w:sz w:val="24"/>
      <w:szCs w:val="24"/>
      <w:u w:val="none"/>
    </w:rPr>
  </w:style>
  <w:style w:type="character" w:customStyle="1" w:styleId="10">
    <w:name w:val="font21"/>
    <w:qFormat/>
    <w:uiPriority w:val="0"/>
    <w:rPr>
      <w:rFonts w:hint="eastAsia" w:ascii="华文仿宋" w:hAnsi="华文仿宋" w:eastAsia="华文仿宋" w:cs="华文仿宋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Office_11.8.2.10534_F1E327BC-269C-435d-A152-05C5408002CA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2024-06-27T18:27:00Z</dcterms:created>
  <dc:creator>lzh</dc:creator>
  <cp:lastModifiedBy>huanghe</cp:lastModifiedBy>
  <dcterms:modified xsi:type="dcterms:W3CDTF">2024-07-11T17:57:57Z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2052-11.8.2.10534</vt:lpwstr>
  </property>
</Properties>
</file>