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center" w:pos="4252"/>
        </w:tabs>
        <w:kinsoku/>
        <w:wordWrap/>
        <w:overflowPunct/>
        <w:topLinePunct w:val="0"/>
        <w:autoSpaceDE/>
        <w:autoSpaceDN/>
        <w:bidi w:val="0"/>
        <w:spacing w:line="58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ab/>
      </w: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bCs/>
          <w:color w:val="auto"/>
          <w:spacing w:val="6"/>
          <w:w w:val="90"/>
          <w:kern w:val="0"/>
          <w:sz w:val="32"/>
          <w:szCs w:val="32"/>
          <w:highlight w:val="none"/>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lang w:eastAsia="zh-CN"/>
        </w:rPr>
        <w:t>崇左</w:t>
      </w:r>
      <w:r>
        <w:rPr>
          <w:rFonts w:hint="eastAsia" w:ascii="方正小标宋简体" w:hAnsi="方正小标宋简体" w:eastAsia="方正小标宋简体" w:cs="方正小标宋简体"/>
          <w:bCs/>
          <w:color w:val="auto"/>
          <w:sz w:val="44"/>
          <w:szCs w:val="44"/>
          <w:highlight w:val="none"/>
        </w:rPr>
        <w:t xml:space="preserve">市人民政府  </w:t>
      </w:r>
      <w:r>
        <w:rPr>
          <w:rFonts w:hint="eastAsia" w:ascii="方正小标宋简体" w:hAnsi="方正小标宋简体" w:eastAsia="方正小标宋简体" w:cs="方正小标宋简体"/>
          <w:bCs/>
          <w:color w:val="auto"/>
          <w:sz w:val="44"/>
          <w:szCs w:val="44"/>
          <w:highlight w:val="none"/>
          <w:lang w:val="en-US" w:eastAsia="zh-CN"/>
        </w:rPr>
        <w:t xml:space="preserve"> </w:t>
      </w:r>
      <w:r>
        <w:rPr>
          <w:rFonts w:hint="eastAsia" w:ascii="方正小标宋简体" w:hAnsi="方正小标宋简体" w:eastAsia="方正小标宋简体" w:cs="方正小标宋简体"/>
          <w:bCs/>
          <w:color w:val="auto"/>
          <w:sz w:val="44"/>
          <w:szCs w:val="44"/>
          <w:highlight w:val="none"/>
        </w:rPr>
        <w:t>广西电网有限责任公司</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Cs/>
          <w:color w:val="auto"/>
          <w:sz w:val="44"/>
          <w:szCs w:val="44"/>
          <w:highlight w:val="none"/>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Cs/>
          <w:color w:val="auto"/>
          <w:sz w:val="44"/>
          <w:szCs w:val="44"/>
          <w:highlight w:val="none"/>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Cs/>
          <w:color w:val="auto"/>
          <w:sz w:val="44"/>
          <w:szCs w:val="44"/>
          <w:highlight w:val="none"/>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lang w:eastAsia="zh-CN"/>
        </w:rPr>
        <w:t>“十五五”电力</w:t>
      </w:r>
      <w:r>
        <w:rPr>
          <w:rFonts w:hint="eastAsia" w:ascii="方正小标宋简体" w:hAnsi="方正小标宋简体" w:eastAsia="方正小标宋简体" w:cs="方正小标宋简体"/>
          <w:bCs/>
          <w:color w:val="auto"/>
          <w:sz w:val="44"/>
          <w:szCs w:val="44"/>
          <w:highlight w:val="none"/>
        </w:rPr>
        <w:t>合作</w:t>
      </w:r>
      <w:r>
        <w:rPr>
          <w:rFonts w:hint="eastAsia" w:ascii="方正小标宋简体" w:hAnsi="方正小标宋简体" w:eastAsia="方正小标宋简体" w:cs="方正小标宋简体"/>
          <w:bCs/>
          <w:color w:val="auto"/>
          <w:sz w:val="44"/>
          <w:szCs w:val="44"/>
          <w:highlight w:val="none"/>
          <w:lang w:eastAsia="zh-CN"/>
        </w:rPr>
        <w:t>框架</w:t>
      </w:r>
      <w:r>
        <w:rPr>
          <w:rFonts w:hint="eastAsia" w:ascii="方正小标宋简体" w:hAnsi="方正小标宋简体" w:eastAsia="方正小标宋简体" w:cs="方正小标宋简体"/>
          <w:bCs/>
          <w:color w:val="auto"/>
          <w:sz w:val="44"/>
          <w:szCs w:val="44"/>
          <w:highlight w:val="none"/>
        </w:rPr>
        <w:t>协议</w:t>
      </w:r>
    </w:p>
    <w:p>
      <w:pPr>
        <w:keepNext w:val="0"/>
        <w:keepLines w:val="0"/>
        <w:pageBreakBefore w:val="0"/>
        <w:widowControl w:val="0"/>
        <w:kinsoku/>
        <w:wordWrap/>
        <w:overflowPunct/>
        <w:topLinePunct w:val="0"/>
        <w:autoSpaceDE/>
        <w:autoSpaceDN/>
        <w:bidi w:val="0"/>
        <w:spacing w:line="580" w:lineRule="exact"/>
        <w:jc w:val="center"/>
        <w:textAlignment w:val="auto"/>
        <w:rPr>
          <w:rFonts w:hint="eastAsia" w:ascii="楷体_GB2312" w:hAnsi="楷体_GB2312" w:eastAsia="楷体_GB2312" w:cs="楷体_GB2312"/>
          <w:color w:val="auto"/>
          <w:sz w:val="32"/>
          <w:szCs w:val="32"/>
          <w:highlight w:val="none"/>
          <w:lang w:eastAsia="zh-CN"/>
        </w:rPr>
      </w:pPr>
      <w:r>
        <w:rPr>
          <w:rFonts w:hint="eastAsia" w:ascii="楷体_GB2312" w:hAnsi="楷体_GB2312" w:eastAsia="楷体_GB2312" w:cs="楷体_GB2312"/>
          <w:color w:val="auto"/>
          <w:sz w:val="32"/>
          <w:szCs w:val="32"/>
          <w:highlight w:val="none"/>
          <w:lang w:eastAsia="zh-CN"/>
        </w:rPr>
        <w:t>（</w:t>
      </w:r>
      <w:r>
        <w:rPr>
          <w:rFonts w:hint="eastAsia" w:ascii="楷体_GB2312" w:hAnsi="楷体_GB2312" w:eastAsia="楷体_GB2312" w:cs="楷体_GB2312"/>
          <w:color w:val="auto"/>
          <w:sz w:val="32"/>
          <w:szCs w:val="32"/>
          <w:highlight w:val="none"/>
          <w:lang w:val="en-US" w:eastAsia="zh-CN"/>
        </w:rPr>
        <w:t>征求意见稿</w:t>
      </w:r>
      <w:r>
        <w:rPr>
          <w:rFonts w:hint="eastAsia" w:ascii="楷体_GB2312" w:hAnsi="楷体_GB2312" w:eastAsia="楷体_GB2312" w:cs="楷体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80" w:lineRule="exact"/>
        <w:jc w:val="distribute"/>
        <w:textAlignment w:val="auto"/>
        <w:rPr>
          <w:rFonts w:hint="eastAsia" w:ascii="仿宋_GB2312" w:hAnsi="仿宋_GB2312" w:eastAsia="仿宋_GB2312" w:cs="仿宋_GB2312"/>
          <w:b w:val="0"/>
          <w:bCs/>
          <w:color w:val="auto"/>
          <w:spacing w:val="6"/>
          <w:w w:val="90"/>
          <w:kern w:val="0"/>
          <w:sz w:val="32"/>
          <w:szCs w:val="32"/>
          <w:highlight w:val="none"/>
        </w:rPr>
      </w:pPr>
    </w:p>
    <w:p>
      <w:pPr>
        <w:keepNext w:val="0"/>
        <w:keepLines w:val="0"/>
        <w:pageBreakBefore w:val="0"/>
        <w:widowControl w:val="0"/>
        <w:kinsoku/>
        <w:wordWrap/>
        <w:overflowPunct/>
        <w:topLinePunct w:val="0"/>
        <w:autoSpaceDE/>
        <w:autoSpaceDN/>
        <w:bidi w:val="0"/>
        <w:adjustRightInd/>
        <w:snapToGrid/>
        <w:spacing w:line="580" w:lineRule="exact"/>
        <w:jc w:val="distribute"/>
        <w:textAlignment w:val="auto"/>
        <w:rPr>
          <w:rFonts w:hint="eastAsia" w:ascii="仿宋_GB2312" w:hAnsi="仿宋_GB2312" w:eastAsia="仿宋_GB2312" w:cs="仿宋_GB2312"/>
          <w:bCs/>
          <w:color w:val="auto"/>
          <w:spacing w:val="6"/>
          <w:w w:val="90"/>
          <w:kern w:val="0"/>
          <w:sz w:val="32"/>
          <w:szCs w:val="32"/>
          <w:highlight w:val="none"/>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80" w:lineRule="exact"/>
        <w:jc w:val="distribute"/>
        <w:textAlignment w:val="auto"/>
        <w:rPr>
          <w:rFonts w:hint="eastAsia" w:ascii="仿宋_GB2312" w:hAnsi="仿宋_GB2312" w:eastAsia="仿宋_GB2312" w:cs="仿宋_GB2312"/>
          <w:bCs/>
          <w:color w:val="auto"/>
          <w:spacing w:val="6"/>
          <w:w w:val="90"/>
          <w:kern w:val="0"/>
          <w:sz w:val="32"/>
          <w:szCs w:val="32"/>
          <w:highlight w:val="none"/>
        </w:rPr>
      </w:pPr>
    </w:p>
    <w:p>
      <w:pPr>
        <w:keepNext w:val="0"/>
        <w:keepLines w:val="0"/>
        <w:pageBreakBefore w:val="0"/>
        <w:widowControl w:val="0"/>
        <w:kinsoku/>
        <w:wordWrap/>
        <w:overflowPunct/>
        <w:topLinePunct w:val="0"/>
        <w:autoSpaceDE/>
        <w:autoSpaceDN/>
        <w:bidi w:val="0"/>
        <w:adjustRightInd/>
        <w:snapToGrid/>
        <w:spacing w:line="580" w:lineRule="exact"/>
        <w:jc w:val="distribute"/>
        <w:textAlignment w:val="auto"/>
        <w:rPr>
          <w:rFonts w:hint="eastAsia" w:ascii="仿宋_GB2312" w:hAnsi="仿宋_GB2312" w:eastAsia="仿宋_GB2312" w:cs="仿宋_GB2312"/>
          <w:bCs/>
          <w:color w:val="auto"/>
          <w:spacing w:val="6"/>
          <w:w w:val="90"/>
          <w:kern w:val="0"/>
          <w:sz w:val="32"/>
          <w:szCs w:val="32"/>
          <w:highlight w:val="none"/>
        </w:rPr>
      </w:pPr>
    </w:p>
    <w:p>
      <w:pPr>
        <w:keepNext w:val="0"/>
        <w:keepLines w:val="0"/>
        <w:pageBreakBefore w:val="0"/>
        <w:widowControl w:val="0"/>
        <w:kinsoku/>
        <w:wordWrap/>
        <w:overflowPunct/>
        <w:topLinePunct w:val="0"/>
        <w:autoSpaceDE/>
        <w:autoSpaceDN/>
        <w:bidi w:val="0"/>
        <w:adjustRightInd/>
        <w:snapToGrid/>
        <w:spacing w:line="580" w:lineRule="exact"/>
        <w:jc w:val="distribute"/>
        <w:textAlignment w:val="auto"/>
        <w:rPr>
          <w:rFonts w:hint="eastAsia" w:ascii="仿宋_GB2312" w:hAnsi="仿宋_GB2312" w:eastAsia="仿宋_GB2312" w:cs="仿宋_GB2312"/>
          <w:bCs/>
          <w:color w:val="auto"/>
          <w:spacing w:val="6"/>
          <w:w w:val="90"/>
          <w:kern w:val="0"/>
          <w:sz w:val="32"/>
          <w:szCs w:val="32"/>
          <w:highlight w:val="none"/>
        </w:rPr>
      </w:pPr>
    </w:p>
    <w:p>
      <w:pPr>
        <w:keepNext w:val="0"/>
        <w:keepLines w:val="0"/>
        <w:pageBreakBefore w:val="0"/>
        <w:widowControl w:val="0"/>
        <w:kinsoku/>
        <w:wordWrap/>
        <w:overflowPunct/>
        <w:topLinePunct w:val="0"/>
        <w:autoSpaceDE/>
        <w:autoSpaceDN/>
        <w:bidi w:val="0"/>
        <w:adjustRightInd/>
        <w:snapToGrid/>
        <w:spacing w:line="580" w:lineRule="exact"/>
        <w:jc w:val="distribute"/>
        <w:textAlignment w:val="auto"/>
        <w:rPr>
          <w:rFonts w:hint="eastAsia" w:ascii="仿宋_GB2312" w:hAnsi="仿宋_GB2312" w:eastAsia="仿宋_GB2312" w:cs="仿宋_GB2312"/>
          <w:bCs/>
          <w:color w:val="auto"/>
          <w:spacing w:val="6"/>
          <w:w w:val="90"/>
          <w:kern w:val="0"/>
          <w:sz w:val="32"/>
          <w:szCs w:val="32"/>
          <w:highlight w:val="none"/>
        </w:rPr>
      </w:pPr>
    </w:p>
    <w:p>
      <w:pPr>
        <w:keepNext w:val="0"/>
        <w:keepLines w:val="0"/>
        <w:pageBreakBefore w:val="0"/>
        <w:widowControl w:val="0"/>
        <w:kinsoku/>
        <w:wordWrap/>
        <w:overflowPunct/>
        <w:topLinePunct w:val="0"/>
        <w:autoSpaceDE/>
        <w:autoSpaceDN/>
        <w:bidi w:val="0"/>
        <w:adjustRightInd/>
        <w:snapToGrid/>
        <w:spacing w:line="580" w:lineRule="exact"/>
        <w:jc w:val="distribute"/>
        <w:textAlignment w:val="auto"/>
        <w:rPr>
          <w:rFonts w:hint="eastAsia" w:ascii="仿宋_GB2312" w:hAnsi="仿宋_GB2312" w:eastAsia="仿宋_GB2312" w:cs="仿宋_GB2312"/>
          <w:bCs/>
          <w:color w:val="auto"/>
          <w:spacing w:val="6"/>
          <w:w w:val="90"/>
          <w:kern w:val="0"/>
          <w:sz w:val="32"/>
          <w:szCs w:val="32"/>
          <w:highlight w:val="none"/>
        </w:rPr>
      </w:pPr>
    </w:p>
    <w:p>
      <w:pPr>
        <w:keepNext w:val="0"/>
        <w:keepLines w:val="0"/>
        <w:pageBreakBefore w:val="0"/>
        <w:widowControl w:val="0"/>
        <w:kinsoku/>
        <w:wordWrap/>
        <w:overflowPunct/>
        <w:topLinePunct w:val="0"/>
        <w:autoSpaceDE/>
        <w:autoSpaceDN/>
        <w:bidi w:val="0"/>
        <w:adjustRightInd/>
        <w:snapToGrid/>
        <w:spacing w:line="580" w:lineRule="exact"/>
        <w:jc w:val="distribute"/>
        <w:textAlignment w:val="auto"/>
        <w:rPr>
          <w:rFonts w:hint="eastAsia" w:ascii="仿宋_GB2312" w:hAnsi="仿宋_GB2312" w:eastAsia="仿宋_GB2312" w:cs="仿宋_GB2312"/>
          <w:bCs/>
          <w:color w:val="auto"/>
          <w:spacing w:val="6"/>
          <w:w w:val="90"/>
          <w:kern w:val="0"/>
          <w:sz w:val="32"/>
          <w:szCs w:val="32"/>
          <w:highlight w:val="none"/>
        </w:rPr>
      </w:pPr>
    </w:p>
    <w:p>
      <w:pPr>
        <w:keepNext w:val="0"/>
        <w:keepLines w:val="0"/>
        <w:pageBreakBefore w:val="0"/>
        <w:widowControl w:val="0"/>
        <w:kinsoku/>
        <w:wordWrap/>
        <w:overflowPunct/>
        <w:topLinePunct w:val="0"/>
        <w:autoSpaceDE/>
        <w:autoSpaceDN/>
        <w:bidi w:val="0"/>
        <w:adjustRightInd/>
        <w:snapToGrid/>
        <w:spacing w:line="580" w:lineRule="exact"/>
        <w:jc w:val="distribute"/>
        <w:textAlignment w:val="auto"/>
        <w:rPr>
          <w:rFonts w:hint="eastAsia" w:ascii="仿宋_GB2312" w:hAnsi="仿宋_GB2312" w:eastAsia="仿宋_GB2312" w:cs="仿宋_GB2312"/>
          <w:bCs/>
          <w:color w:val="auto"/>
          <w:spacing w:val="6"/>
          <w:w w:val="90"/>
          <w:kern w:val="0"/>
          <w:sz w:val="32"/>
          <w:szCs w:val="32"/>
          <w:highlight w:val="none"/>
        </w:rPr>
      </w:pPr>
    </w:p>
    <w:p>
      <w:pPr>
        <w:keepNext w:val="0"/>
        <w:keepLines w:val="0"/>
        <w:pageBreakBefore w:val="0"/>
        <w:widowControl w:val="0"/>
        <w:kinsoku/>
        <w:wordWrap/>
        <w:overflowPunct/>
        <w:topLinePunct w:val="0"/>
        <w:autoSpaceDE/>
        <w:autoSpaceDN/>
        <w:bidi w:val="0"/>
        <w:adjustRightInd/>
        <w:snapToGrid/>
        <w:spacing w:line="580" w:lineRule="exact"/>
        <w:jc w:val="distribute"/>
        <w:textAlignment w:val="auto"/>
        <w:rPr>
          <w:rFonts w:hint="eastAsia" w:ascii="仿宋_GB2312" w:hAnsi="仿宋_GB2312" w:eastAsia="仿宋_GB2312" w:cs="仿宋_GB2312"/>
          <w:bCs/>
          <w:color w:val="auto"/>
          <w:spacing w:val="6"/>
          <w:w w:val="90"/>
          <w:kern w:val="0"/>
          <w:sz w:val="32"/>
          <w:szCs w:val="32"/>
          <w:highlight w:val="none"/>
        </w:rPr>
      </w:pPr>
    </w:p>
    <w:p>
      <w:pPr>
        <w:keepNext w:val="0"/>
        <w:keepLines w:val="0"/>
        <w:pageBreakBefore w:val="0"/>
        <w:widowControl w:val="0"/>
        <w:kinsoku/>
        <w:wordWrap/>
        <w:overflowPunct/>
        <w:topLinePunct w:val="0"/>
        <w:autoSpaceDE/>
        <w:autoSpaceDN/>
        <w:bidi w:val="0"/>
        <w:spacing w:line="580" w:lineRule="exact"/>
        <w:jc w:val="center"/>
        <w:textAlignment w:val="auto"/>
        <w:rPr>
          <w:rFonts w:hint="default" w:ascii="Times New Roman" w:hAnsi="Times New Roman" w:eastAsia="方正小标宋简体" w:cs="Times New Roman"/>
          <w:color w:val="auto"/>
          <w:sz w:val="32"/>
          <w:szCs w:val="32"/>
          <w:highlight w:val="none"/>
          <w:lang w:val="en-US" w:eastAsia="zh-CN"/>
        </w:rPr>
      </w:pPr>
      <w:r>
        <w:rPr>
          <w:rFonts w:hint="default" w:ascii="Times New Roman" w:hAnsi="Times New Roman" w:eastAsia="方正小标宋简体" w:cs="Times New Roman"/>
          <w:color w:val="auto"/>
          <w:sz w:val="32"/>
          <w:szCs w:val="32"/>
          <w:highlight w:val="none"/>
        </w:rPr>
        <w:t>202</w:t>
      </w:r>
      <w:r>
        <w:rPr>
          <w:rFonts w:hint="eastAsia" w:ascii="Times New Roman" w:hAnsi="Times New Roman" w:eastAsia="方正小标宋简体" w:cs="Times New Roman"/>
          <w:color w:val="auto"/>
          <w:sz w:val="32"/>
          <w:szCs w:val="32"/>
          <w:highlight w:val="none"/>
          <w:lang w:val="en-US" w:eastAsia="zh-CN"/>
        </w:rPr>
        <w:t>6</w:t>
      </w:r>
      <w:r>
        <w:rPr>
          <w:rFonts w:hint="default" w:ascii="Times New Roman" w:hAnsi="Times New Roman" w:eastAsia="方正小标宋简体" w:cs="Times New Roman"/>
          <w:color w:val="auto"/>
          <w:sz w:val="32"/>
          <w:szCs w:val="32"/>
          <w:highlight w:val="none"/>
        </w:rPr>
        <w:t>年</w:t>
      </w:r>
      <w:r>
        <w:rPr>
          <w:rFonts w:hint="eastAsia" w:ascii="Times New Roman" w:hAnsi="Times New Roman" w:eastAsia="方正小标宋简体" w:cs="Times New Roman"/>
          <w:color w:val="auto"/>
          <w:sz w:val="32"/>
          <w:szCs w:val="32"/>
          <w:highlight w:val="none"/>
          <w:lang w:val="en-US" w:eastAsia="zh-CN"/>
        </w:rPr>
        <w:t>XX</w:t>
      </w:r>
      <w:r>
        <w:rPr>
          <w:rFonts w:hint="default" w:ascii="Times New Roman" w:hAnsi="Times New Roman" w:eastAsia="方正小标宋简体" w:cs="Times New Roman"/>
          <w:color w:val="auto"/>
          <w:sz w:val="32"/>
          <w:szCs w:val="32"/>
          <w:highlight w:val="none"/>
        </w:rPr>
        <w:t xml:space="preserve">月 </w:t>
      </w:r>
      <w:r>
        <w:rPr>
          <w:rFonts w:hint="eastAsia" w:eastAsia="方正小标宋简体" w:cs="Times New Roman"/>
          <w:color w:val="auto"/>
          <w:sz w:val="32"/>
          <w:szCs w:val="32"/>
          <w:highlight w:val="none"/>
          <w:lang w:val="en-US" w:eastAsia="zh-CN"/>
        </w:rPr>
        <w:t>广西崇左市</w:t>
      </w:r>
    </w:p>
    <w:p>
      <w:pPr>
        <w:keepNext w:val="0"/>
        <w:keepLines w:val="0"/>
        <w:pageBreakBefore w:val="0"/>
        <w:kinsoku/>
        <w:wordWrap/>
        <w:overflowPunct/>
        <w:topLinePunct w:val="0"/>
        <w:autoSpaceDE/>
        <w:autoSpaceDN/>
        <w:bidi w:val="0"/>
        <w:spacing w:line="580" w:lineRule="exact"/>
        <w:jc w:val="left"/>
        <w:textAlignment w:val="auto"/>
        <w:rPr>
          <w:rFonts w:hint="eastAsia" w:ascii="方正仿宋简体" w:hAnsi="方正仿宋简体" w:eastAsia="方正仿宋简体" w:cs="方正仿宋简体"/>
          <w:b/>
          <w:bCs/>
          <w:color w:val="auto"/>
          <w:kern w:val="0"/>
          <w:sz w:val="32"/>
          <w:szCs w:val="32"/>
          <w:highlight w:val="none"/>
        </w:rPr>
      </w:pPr>
    </w:p>
    <w:p>
      <w:pPr>
        <w:keepNext w:val="0"/>
        <w:keepLines w:val="0"/>
        <w:pageBreakBefore w:val="0"/>
        <w:kinsoku/>
        <w:wordWrap/>
        <w:overflowPunct/>
        <w:topLinePunct w:val="0"/>
        <w:autoSpaceDE/>
        <w:autoSpaceDN/>
        <w:bidi w:val="0"/>
        <w:spacing w:line="580" w:lineRule="exact"/>
        <w:jc w:val="left"/>
        <w:textAlignment w:val="auto"/>
        <w:rPr>
          <w:rFonts w:hint="eastAsia" w:ascii="方正仿宋简体" w:hAnsi="方正仿宋简体" w:eastAsia="方正仿宋简体" w:cs="方正仿宋简体"/>
          <w:b/>
          <w:bCs/>
          <w:color w:val="auto"/>
          <w:kern w:val="0"/>
          <w:sz w:val="32"/>
          <w:szCs w:val="32"/>
          <w:highlight w:val="none"/>
        </w:rPr>
      </w:pPr>
    </w:p>
    <w:p>
      <w:pPr>
        <w:pStyle w:val="2"/>
        <w:rPr>
          <w:rFonts w:hint="eastAsia"/>
          <w:highlight w:val="none"/>
        </w:rPr>
      </w:pPr>
    </w:p>
    <w:p>
      <w:pPr>
        <w:keepNext w:val="0"/>
        <w:keepLines w:val="0"/>
        <w:pageBreakBefore w:val="0"/>
        <w:kinsoku/>
        <w:wordWrap/>
        <w:overflowPunct/>
        <w:topLinePunct w:val="0"/>
        <w:autoSpaceDE/>
        <w:autoSpaceDN/>
        <w:bidi w:val="0"/>
        <w:spacing w:line="580" w:lineRule="exact"/>
        <w:jc w:val="left"/>
        <w:textAlignment w:val="auto"/>
        <w:rPr>
          <w:rFonts w:hint="eastAsia" w:ascii="方正仿宋简体" w:hAnsi="方正仿宋简体" w:eastAsia="方正仿宋简体" w:cs="方正仿宋简体"/>
          <w:b/>
          <w:bCs/>
          <w:color w:val="auto"/>
          <w:kern w:val="0"/>
          <w:sz w:val="32"/>
          <w:szCs w:val="32"/>
          <w:highlight w:val="none"/>
        </w:rPr>
      </w:pP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outlineLvl w:val="0"/>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崇左</w:t>
      </w:r>
      <w:r>
        <w:rPr>
          <w:rFonts w:hint="eastAsia" w:ascii="方正小标宋简体" w:hAnsi="方正小标宋简体" w:eastAsia="方正小标宋简体" w:cs="方正小标宋简体"/>
          <w:color w:val="auto"/>
          <w:sz w:val="44"/>
          <w:szCs w:val="44"/>
          <w:highlight w:val="none"/>
        </w:rPr>
        <w:t xml:space="preserve">市人民政府 </w:t>
      </w:r>
      <w:r>
        <w:rPr>
          <w:rFonts w:hint="eastAsia" w:ascii="方正小标宋简体" w:hAnsi="方正小标宋简体" w:eastAsia="方正小标宋简体" w:cs="方正小标宋简体"/>
          <w:color w:val="auto"/>
          <w:sz w:val="44"/>
          <w:szCs w:val="44"/>
          <w:highlight w:val="none"/>
          <w:lang w:val="en-US" w:eastAsia="zh-CN"/>
        </w:rPr>
        <w:t xml:space="preserve"> </w:t>
      </w:r>
      <w:r>
        <w:rPr>
          <w:rFonts w:hint="eastAsia" w:ascii="方正小标宋简体" w:hAnsi="方正小标宋简体" w:eastAsia="方正小标宋简体" w:cs="方正小标宋简体"/>
          <w:color w:val="auto"/>
          <w:sz w:val="44"/>
          <w:szCs w:val="44"/>
          <w:highlight w:val="none"/>
        </w:rPr>
        <w:t>广西电网有限责任公司</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outlineLvl w:val="0"/>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eastAsia="zh-CN"/>
        </w:rPr>
        <w:t>“十</w:t>
      </w:r>
      <w:r>
        <w:rPr>
          <w:rFonts w:hint="eastAsia" w:ascii="方正小标宋简体" w:hAnsi="方正小标宋简体" w:eastAsia="方正小标宋简体" w:cs="方正小标宋简体"/>
          <w:color w:val="auto"/>
          <w:sz w:val="44"/>
          <w:szCs w:val="44"/>
          <w:highlight w:val="none"/>
          <w:lang w:val="en-US" w:eastAsia="zh-CN"/>
        </w:rPr>
        <w:t>五</w:t>
      </w:r>
      <w:r>
        <w:rPr>
          <w:rFonts w:hint="eastAsia" w:ascii="方正小标宋简体" w:hAnsi="方正小标宋简体" w:eastAsia="方正小标宋简体" w:cs="方正小标宋简体"/>
          <w:color w:val="auto"/>
          <w:sz w:val="44"/>
          <w:szCs w:val="44"/>
          <w:highlight w:val="none"/>
          <w:lang w:eastAsia="zh-CN"/>
        </w:rPr>
        <w:t>五”</w:t>
      </w:r>
      <w:r>
        <w:rPr>
          <w:rFonts w:hint="eastAsia" w:ascii="方正小标宋简体" w:hAnsi="方正小标宋简体" w:eastAsia="方正小标宋简体" w:cs="方正小标宋简体"/>
          <w:color w:val="auto"/>
          <w:sz w:val="44"/>
          <w:szCs w:val="44"/>
          <w:highlight w:val="none"/>
        </w:rPr>
        <w:t>电力合作</w:t>
      </w:r>
      <w:r>
        <w:rPr>
          <w:rFonts w:hint="eastAsia" w:ascii="方正小标宋简体" w:hAnsi="方正小标宋简体" w:eastAsia="方正小标宋简体" w:cs="方正小标宋简体"/>
          <w:color w:val="auto"/>
          <w:sz w:val="44"/>
          <w:szCs w:val="44"/>
          <w:highlight w:val="none"/>
          <w:lang w:eastAsia="zh-CN"/>
        </w:rPr>
        <w:t>框架</w:t>
      </w:r>
      <w:r>
        <w:rPr>
          <w:rFonts w:hint="eastAsia" w:ascii="方正小标宋简体" w:hAnsi="方正小标宋简体" w:eastAsia="方正小标宋简体" w:cs="方正小标宋简体"/>
          <w:color w:val="auto"/>
          <w:sz w:val="44"/>
          <w:szCs w:val="44"/>
          <w:highlight w:val="none"/>
        </w:rPr>
        <w:t>协议</w:t>
      </w:r>
    </w:p>
    <w:p>
      <w:pPr>
        <w:pStyle w:val="2"/>
        <w:keepNext w:val="0"/>
        <w:keepLines w:val="0"/>
        <w:pageBreakBefore w:val="0"/>
        <w:kinsoku/>
        <w:wordWrap/>
        <w:overflowPunct/>
        <w:topLinePunct w:val="0"/>
        <w:autoSpaceDE/>
        <w:autoSpaceDN/>
        <w:bidi w:val="0"/>
        <w:spacing w:after="0" w:line="580" w:lineRule="exact"/>
        <w:textAlignment w:val="auto"/>
        <w:rPr>
          <w:rFonts w:hint="eastAsia"/>
          <w:color w:val="auto"/>
          <w:highlight w:val="none"/>
        </w:rPr>
      </w:pPr>
    </w:p>
    <w:p>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both"/>
        <w:textAlignment w:val="auto"/>
        <w:outlineLvl w:val="9"/>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甲</w:t>
      </w:r>
      <w:r>
        <w:rPr>
          <w:rFonts w:hint="eastAsia" w:ascii="黑体" w:hAnsi="黑体" w:eastAsia="黑体" w:cs="黑体"/>
          <w:b w:val="0"/>
          <w:bCs w:val="0"/>
          <w:color w:val="auto"/>
          <w:sz w:val="32"/>
          <w:szCs w:val="32"/>
          <w:highlight w:val="none"/>
          <w:lang w:val="en-US" w:eastAsia="zh-CN"/>
        </w:rPr>
        <w:t xml:space="preserve">      </w:t>
      </w:r>
      <w:r>
        <w:rPr>
          <w:rFonts w:hint="eastAsia" w:ascii="黑体" w:hAnsi="黑体" w:eastAsia="黑体" w:cs="黑体"/>
          <w:b w:val="0"/>
          <w:bCs w:val="0"/>
          <w:color w:val="auto"/>
          <w:sz w:val="32"/>
          <w:szCs w:val="32"/>
          <w:highlight w:val="none"/>
        </w:rPr>
        <w:t>方：</w:t>
      </w:r>
      <w:r>
        <w:rPr>
          <w:rFonts w:hint="eastAsia" w:ascii="黑体" w:hAnsi="黑体" w:eastAsia="黑体" w:cs="黑体"/>
          <w:b w:val="0"/>
          <w:bCs w:val="0"/>
          <w:color w:val="auto"/>
          <w:sz w:val="32"/>
          <w:szCs w:val="32"/>
          <w:highlight w:val="none"/>
          <w:lang w:val="en-US" w:eastAsia="zh-CN"/>
        </w:rPr>
        <w:t>崇左</w:t>
      </w:r>
      <w:r>
        <w:rPr>
          <w:rFonts w:hint="eastAsia" w:ascii="黑体" w:hAnsi="黑体" w:eastAsia="黑体" w:cs="黑体"/>
          <w:b w:val="0"/>
          <w:bCs w:val="0"/>
          <w:color w:val="auto"/>
          <w:sz w:val="32"/>
          <w:szCs w:val="32"/>
          <w:highlight w:val="none"/>
        </w:rPr>
        <w:t>市人民政府</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outlineLvl w:val="9"/>
        <w:rPr>
          <w:rFonts w:hint="default" w:ascii="Times New Roman" w:hAnsi="Times New Roman" w:eastAsia="黑体" w:cs="Times New Roman"/>
          <w:color w:val="auto"/>
          <w:sz w:val="32"/>
          <w:szCs w:val="32"/>
          <w:highlight w:val="none"/>
          <w:lang w:val="en-US" w:eastAsia="zh-CN"/>
        </w:rPr>
      </w:pPr>
      <w:r>
        <w:rPr>
          <w:rFonts w:hint="eastAsia" w:ascii="黑体" w:hAnsi="黑体" w:eastAsia="黑体" w:cs="黑体"/>
          <w:color w:val="auto"/>
          <w:sz w:val="32"/>
          <w:szCs w:val="32"/>
          <w:highlight w:val="none"/>
          <w:lang w:eastAsia="zh-CN"/>
        </w:rPr>
        <w:t>地</w:t>
      </w:r>
      <w:r>
        <w:rPr>
          <w:rFonts w:hint="eastAsia" w:ascii="黑体" w:hAnsi="黑体" w:eastAsia="黑体" w:cs="黑体"/>
          <w:color w:val="auto"/>
          <w:sz w:val="32"/>
          <w:szCs w:val="32"/>
          <w:highlight w:val="none"/>
          <w:lang w:val="en-US" w:eastAsia="zh-CN"/>
        </w:rPr>
        <w:t xml:space="preserve">      </w:t>
      </w:r>
      <w:r>
        <w:rPr>
          <w:rFonts w:hint="eastAsia" w:ascii="黑体" w:hAnsi="黑体" w:eastAsia="黑体" w:cs="黑体"/>
          <w:color w:val="auto"/>
          <w:sz w:val="32"/>
          <w:szCs w:val="32"/>
          <w:highlight w:val="none"/>
          <w:lang w:eastAsia="zh-CN"/>
        </w:rPr>
        <w:t>址：江州区新城路</w:t>
      </w:r>
      <w:r>
        <w:rPr>
          <w:rFonts w:hint="eastAsia" w:ascii="黑体" w:hAnsi="黑体" w:eastAsia="黑体" w:cs="黑体"/>
          <w:color w:val="auto"/>
          <w:sz w:val="32"/>
          <w:szCs w:val="32"/>
          <w:highlight w:val="none"/>
          <w:lang w:val="en-US" w:eastAsia="zh-CN"/>
        </w:rPr>
        <w:t>1号</w:t>
      </w:r>
    </w:p>
    <w:p>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eastAsia" w:ascii="仿宋_GB2312" w:hAnsi="仿宋_GB2312" w:eastAsia="仿宋_GB2312" w:cs="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both"/>
        <w:textAlignment w:val="auto"/>
        <w:outlineLvl w:val="9"/>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乙</w:t>
      </w:r>
      <w:r>
        <w:rPr>
          <w:rFonts w:hint="eastAsia" w:ascii="黑体" w:hAnsi="黑体" w:eastAsia="黑体" w:cs="黑体"/>
          <w:b w:val="0"/>
          <w:bCs w:val="0"/>
          <w:color w:val="auto"/>
          <w:sz w:val="32"/>
          <w:szCs w:val="32"/>
          <w:highlight w:val="none"/>
          <w:lang w:val="en-US" w:eastAsia="zh-CN"/>
        </w:rPr>
        <w:t xml:space="preserve">      </w:t>
      </w:r>
      <w:r>
        <w:rPr>
          <w:rFonts w:hint="eastAsia" w:ascii="黑体" w:hAnsi="黑体" w:eastAsia="黑体" w:cs="黑体"/>
          <w:b w:val="0"/>
          <w:bCs w:val="0"/>
          <w:color w:val="auto"/>
          <w:sz w:val="32"/>
          <w:szCs w:val="32"/>
          <w:highlight w:val="none"/>
        </w:rPr>
        <w:t>方：广西电网有限责任公司</w:t>
      </w:r>
    </w:p>
    <w:p>
      <w:pPr>
        <w:pStyle w:val="3"/>
        <w:keepNext w:val="0"/>
        <w:keepLines w:val="0"/>
        <w:pageBreakBefore w:val="0"/>
        <w:widowControl w:val="0"/>
        <w:kinsoku/>
        <w:wordWrap/>
        <w:overflowPunct/>
        <w:topLinePunct w:val="0"/>
        <w:autoSpaceDE/>
        <w:autoSpaceDN/>
        <w:bidi w:val="0"/>
        <w:adjustRightInd/>
        <w:snapToGrid/>
        <w:spacing w:before="0" w:after="0" w:line="580" w:lineRule="exact"/>
        <w:jc w:val="both"/>
        <w:textAlignment w:val="auto"/>
        <w:outlineLvl w:val="9"/>
        <w:rPr>
          <w:rFonts w:hint="default" w:ascii="Times New Roman" w:hAnsi="Times New Roman" w:eastAsia="黑体" w:cs="Times New Roman"/>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eastAsia="zh-CN"/>
        </w:rPr>
        <w:t>地</w:t>
      </w:r>
      <w:r>
        <w:rPr>
          <w:rFonts w:hint="eastAsia" w:ascii="黑体" w:hAnsi="黑体" w:eastAsia="黑体" w:cs="黑体"/>
          <w:b w:val="0"/>
          <w:bCs w:val="0"/>
          <w:color w:val="auto"/>
          <w:sz w:val="32"/>
          <w:szCs w:val="32"/>
          <w:highlight w:val="none"/>
          <w:lang w:val="en-US" w:eastAsia="zh-CN"/>
        </w:rPr>
        <w:t xml:space="preserve">      </w:t>
      </w:r>
      <w:r>
        <w:rPr>
          <w:rFonts w:hint="eastAsia" w:ascii="黑体" w:hAnsi="黑体" w:eastAsia="黑体" w:cs="黑体"/>
          <w:b w:val="0"/>
          <w:bCs w:val="0"/>
          <w:color w:val="auto"/>
          <w:sz w:val="32"/>
          <w:szCs w:val="32"/>
          <w:highlight w:val="none"/>
          <w:lang w:eastAsia="zh-CN"/>
        </w:rPr>
        <w:t>址：广西壮族自治区南宁市兴宁</w:t>
      </w:r>
      <w:r>
        <w:rPr>
          <w:rFonts w:hint="default" w:ascii="Times New Roman" w:hAnsi="Times New Roman" w:eastAsia="黑体" w:cs="Times New Roman"/>
          <w:b w:val="0"/>
          <w:bCs w:val="0"/>
          <w:color w:val="auto"/>
          <w:sz w:val="32"/>
          <w:szCs w:val="32"/>
          <w:highlight w:val="none"/>
          <w:lang w:eastAsia="zh-CN"/>
        </w:rPr>
        <w:t>区民主路</w:t>
      </w:r>
      <w:r>
        <w:rPr>
          <w:rFonts w:hint="default" w:ascii="Times New Roman" w:hAnsi="Times New Roman" w:eastAsia="黑体" w:cs="Times New Roman"/>
          <w:b w:val="0"/>
          <w:bCs w:val="0"/>
          <w:color w:val="auto"/>
          <w:sz w:val="32"/>
          <w:szCs w:val="32"/>
          <w:highlight w:val="none"/>
          <w:lang w:val="en-US" w:eastAsia="zh-CN"/>
        </w:rPr>
        <w:t>6号</w:t>
      </w: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0"/>
          <w:sz w:val="32"/>
          <w:szCs w:val="32"/>
          <w:highlight w:val="none"/>
          <w:lang w:val="en-US" w:eastAsia="zh-CN"/>
        </w:rPr>
      </w:pP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仿宋_GB2312" w:eastAsia="仿宋_GB2312" w:cs="Times New Roman"/>
          <w:color w:val="auto"/>
          <w:sz w:val="32"/>
          <w:szCs w:val="32"/>
          <w:highlight w:val="none"/>
        </w:rPr>
      </w:pPr>
      <w:r>
        <w:rPr>
          <w:rFonts w:hint="eastAsia" w:ascii="Times New Roman" w:hAnsi="仿宋_GB2312" w:eastAsia="仿宋_GB2312" w:cs="Times New Roman"/>
          <w:color w:val="auto"/>
          <w:sz w:val="32"/>
          <w:szCs w:val="32"/>
          <w:highlight w:val="none"/>
        </w:rPr>
        <w:t>坚持以习近平新时代中国特色社会主义思想为指导，全面贯彻党的二十大及</w:t>
      </w:r>
      <w:r>
        <w:rPr>
          <w:rFonts w:hint="eastAsia" w:ascii="Times New Roman" w:hAnsi="仿宋_GB2312" w:eastAsia="仿宋_GB2312" w:cs="Times New Roman"/>
          <w:color w:val="auto"/>
          <w:sz w:val="32"/>
          <w:szCs w:val="32"/>
          <w:highlight w:val="none"/>
          <w:lang w:val="en-US" w:eastAsia="zh-CN"/>
        </w:rPr>
        <w:t>二十届</w:t>
      </w:r>
      <w:r>
        <w:rPr>
          <w:rFonts w:hint="eastAsia" w:hAnsi="仿宋_GB2312" w:cs="Times New Roman"/>
          <w:color w:val="auto"/>
          <w:sz w:val="32"/>
          <w:szCs w:val="32"/>
          <w:highlight w:val="none"/>
          <w:lang w:val="en-US" w:eastAsia="zh-CN"/>
        </w:rPr>
        <w:t>历次</w:t>
      </w:r>
      <w:r>
        <w:rPr>
          <w:rFonts w:hint="eastAsia" w:ascii="Times New Roman" w:hAnsi="仿宋_GB2312" w:eastAsia="仿宋_GB2312" w:cs="Times New Roman"/>
          <w:color w:val="auto"/>
          <w:sz w:val="32"/>
          <w:szCs w:val="32"/>
          <w:highlight w:val="none"/>
          <w:lang w:val="en-US" w:eastAsia="zh-CN"/>
        </w:rPr>
        <w:t>全会</w:t>
      </w:r>
      <w:r>
        <w:rPr>
          <w:rFonts w:hint="eastAsia" w:ascii="Times New Roman" w:hAnsi="仿宋_GB2312" w:eastAsia="仿宋_GB2312" w:cs="Times New Roman"/>
          <w:color w:val="auto"/>
          <w:sz w:val="32"/>
          <w:szCs w:val="32"/>
          <w:highlight w:val="none"/>
        </w:rPr>
        <w:t>精神，深入落实习近平总书记对广西“五个更大”重要要求及视察广西重要讲话精神，</w:t>
      </w:r>
      <w:r>
        <w:rPr>
          <w:rFonts w:hint="eastAsia" w:ascii="Times New Roman" w:hAnsi="仿宋_GB2312" w:cs="Times New Roman"/>
          <w:color w:val="auto"/>
          <w:sz w:val="32"/>
          <w:szCs w:val="32"/>
          <w:highlight w:val="none"/>
          <w:lang w:val="en-US" w:eastAsia="zh-CN"/>
        </w:rPr>
        <w:t>锚定“建设新时代中国特色社会主义壮美广西总目标”</w:t>
      </w:r>
      <w:r>
        <w:rPr>
          <w:rFonts w:hint="eastAsia" w:ascii="Times New Roman" w:hAnsi="仿宋_GB2312" w:eastAsia="仿宋_GB2312" w:cs="Times New Roman"/>
          <w:color w:val="auto"/>
          <w:sz w:val="32"/>
          <w:szCs w:val="32"/>
          <w:highlight w:val="none"/>
        </w:rPr>
        <w:t>，紧扣</w:t>
      </w:r>
      <w:r>
        <w:rPr>
          <w:rFonts w:hint="eastAsia" w:hAnsi="仿宋_GB2312" w:cs="Times New Roman"/>
          <w:color w:val="auto"/>
          <w:sz w:val="32"/>
          <w:szCs w:val="32"/>
          <w:highlight w:val="none"/>
          <w:lang w:val="en-US" w:eastAsia="zh-CN"/>
        </w:rPr>
        <w:t>崇左</w:t>
      </w:r>
      <w:r>
        <w:rPr>
          <w:rFonts w:hint="eastAsia" w:ascii="Times New Roman" w:hAnsi="仿宋_GB2312" w:eastAsia="仿宋_GB2312" w:cs="Times New Roman"/>
          <w:color w:val="auto"/>
          <w:sz w:val="32"/>
          <w:szCs w:val="32"/>
          <w:highlight w:val="none"/>
        </w:rPr>
        <w:t>市“十五五”经济社会发展重点，以</w:t>
      </w:r>
      <w:r>
        <w:rPr>
          <w:rFonts w:hint="eastAsia" w:ascii="Times New Roman" w:hAnsi="仿宋_GB2312" w:eastAsia="仿宋_GB2312" w:cs="Times New Roman"/>
          <w:color w:val="auto"/>
          <w:sz w:val="32"/>
          <w:szCs w:val="32"/>
          <w:highlight w:val="none"/>
          <w:lang w:eastAsia="zh-CN"/>
        </w:rPr>
        <w:t>“</w:t>
      </w:r>
      <w:r>
        <w:rPr>
          <w:rFonts w:hint="eastAsia" w:ascii="Times New Roman" w:hAnsi="仿宋_GB2312" w:eastAsia="仿宋_GB2312" w:cs="Times New Roman"/>
          <w:color w:val="auto"/>
          <w:sz w:val="32"/>
          <w:szCs w:val="32"/>
          <w:highlight w:val="none"/>
          <w:lang w:val="en-US" w:eastAsia="zh-CN"/>
        </w:rPr>
        <w:t>两化促两型</w:t>
      </w:r>
      <w:r>
        <w:rPr>
          <w:rFonts w:hint="eastAsia" w:ascii="Times New Roman" w:hAnsi="仿宋_GB2312" w:eastAsia="仿宋_GB2312" w:cs="Times New Roman"/>
          <w:color w:val="auto"/>
          <w:sz w:val="32"/>
          <w:szCs w:val="32"/>
          <w:highlight w:val="none"/>
          <w:lang w:eastAsia="zh-CN"/>
        </w:rPr>
        <w:t>”</w:t>
      </w:r>
      <w:r>
        <w:rPr>
          <w:rFonts w:hint="eastAsia" w:ascii="Times New Roman" w:hAnsi="仿宋_GB2312" w:eastAsia="仿宋_GB2312" w:cs="Times New Roman"/>
          <w:color w:val="auto"/>
          <w:sz w:val="32"/>
          <w:szCs w:val="32"/>
          <w:highlight w:val="none"/>
        </w:rPr>
        <w:t>为核心，</w:t>
      </w:r>
      <w:r>
        <w:rPr>
          <w:rFonts w:hint="eastAsia" w:ascii="Times New Roman" w:hAnsi="仿宋_GB2312" w:cs="Times New Roman"/>
          <w:color w:val="auto"/>
          <w:sz w:val="32"/>
          <w:szCs w:val="32"/>
          <w:highlight w:val="none"/>
          <w:lang w:val="en-US" w:eastAsia="zh-CN"/>
        </w:rPr>
        <w:t>进一步</w:t>
      </w:r>
      <w:r>
        <w:rPr>
          <w:rFonts w:hint="eastAsia" w:ascii="Times New Roman" w:hAnsi="仿宋_GB2312" w:eastAsia="仿宋_GB2312" w:cs="Times New Roman"/>
          <w:color w:val="auto"/>
          <w:sz w:val="32"/>
          <w:szCs w:val="32"/>
          <w:highlight w:val="none"/>
        </w:rPr>
        <w:t>深化政企协同</w:t>
      </w:r>
      <w:r>
        <w:rPr>
          <w:rFonts w:hint="eastAsia" w:ascii="Times New Roman" w:hAnsi="仿宋_GB2312" w:eastAsia="仿宋_GB2312" w:cs="Times New Roman"/>
          <w:color w:val="auto"/>
          <w:sz w:val="32"/>
          <w:szCs w:val="32"/>
          <w:highlight w:val="none"/>
          <w:lang w:val="en-US" w:eastAsia="zh-CN"/>
        </w:rPr>
        <w:t>合作</w:t>
      </w:r>
      <w:r>
        <w:rPr>
          <w:rFonts w:hint="eastAsia" w:ascii="Times New Roman" w:hAnsi="仿宋_GB2312" w:eastAsia="仿宋_GB2312" w:cs="Times New Roman"/>
          <w:color w:val="auto"/>
          <w:sz w:val="32"/>
          <w:szCs w:val="32"/>
          <w:highlight w:val="none"/>
        </w:rPr>
        <w:t>，优化电力营商环境，保障能源电力安全，</w:t>
      </w:r>
      <w:r>
        <w:rPr>
          <w:rFonts w:hint="eastAsia" w:ascii="Times New Roman" w:hAnsi="仿宋_GB2312" w:cs="Times New Roman"/>
          <w:color w:val="auto"/>
          <w:sz w:val="32"/>
          <w:szCs w:val="32"/>
          <w:highlight w:val="none"/>
          <w:lang w:val="en-US" w:eastAsia="zh-CN"/>
        </w:rPr>
        <w:t>共同推动</w:t>
      </w:r>
      <w:r>
        <w:rPr>
          <w:rFonts w:hint="eastAsia" w:hAnsi="仿宋_GB2312" w:cs="Times New Roman"/>
          <w:color w:val="auto"/>
          <w:sz w:val="32"/>
          <w:szCs w:val="32"/>
          <w:highlight w:val="none"/>
          <w:lang w:val="en-US" w:eastAsia="zh-CN"/>
        </w:rPr>
        <w:t>崇左</w:t>
      </w:r>
      <w:r>
        <w:rPr>
          <w:rFonts w:hint="eastAsia" w:ascii="Times New Roman" w:hAnsi="仿宋_GB2312" w:cs="Times New Roman"/>
          <w:color w:val="auto"/>
          <w:sz w:val="32"/>
          <w:szCs w:val="32"/>
          <w:highlight w:val="none"/>
          <w:lang w:val="en-US" w:eastAsia="zh-CN"/>
        </w:rPr>
        <w:t>“十五五”经济社会发展总体目标</w:t>
      </w:r>
      <w:r>
        <w:rPr>
          <w:rFonts w:hint="eastAsia" w:hAnsi="仿宋_GB2312" w:cs="Times New Roman"/>
          <w:color w:val="auto"/>
          <w:sz w:val="32"/>
          <w:szCs w:val="32"/>
          <w:highlight w:val="none"/>
          <w:lang w:val="en-US" w:eastAsia="zh-CN"/>
        </w:rPr>
        <w:t>及</w:t>
      </w:r>
      <w:r>
        <w:rPr>
          <w:rFonts w:hint="eastAsia" w:ascii="Times New Roman" w:hAnsi="仿宋_GB2312" w:cs="Times New Roman"/>
          <w:color w:val="auto"/>
          <w:sz w:val="32"/>
          <w:szCs w:val="32"/>
          <w:highlight w:val="none"/>
          <w:lang w:val="en-US" w:eastAsia="zh-CN"/>
        </w:rPr>
        <w:t>主要任务</w:t>
      </w:r>
      <w:r>
        <w:rPr>
          <w:rFonts w:hint="eastAsia" w:hAnsi="仿宋_GB2312" w:cs="Times New Roman"/>
          <w:color w:val="auto"/>
          <w:sz w:val="32"/>
          <w:szCs w:val="32"/>
          <w:highlight w:val="none"/>
          <w:lang w:val="en-US" w:eastAsia="zh-CN"/>
        </w:rPr>
        <w:t>达成</w:t>
      </w:r>
      <w:r>
        <w:rPr>
          <w:rFonts w:hint="eastAsia" w:ascii="Times New Roman" w:hAnsi="仿宋_GB2312" w:cs="Times New Roman"/>
          <w:color w:val="auto"/>
          <w:sz w:val="32"/>
          <w:szCs w:val="32"/>
          <w:highlight w:val="none"/>
          <w:lang w:val="en-US" w:eastAsia="zh-CN"/>
        </w:rPr>
        <w:t>。</w:t>
      </w:r>
      <w:r>
        <w:rPr>
          <w:rFonts w:hint="eastAsia" w:ascii="Times New Roman" w:hAnsi="仿宋_GB2312" w:eastAsia="仿宋_GB2312" w:cs="Times New Roman"/>
          <w:color w:val="auto"/>
          <w:sz w:val="32"/>
          <w:szCs w:val="32"/>
          <w:highlight w:val="none"/>
        </w:rPr>
        <w:t>经甲乙双方平等协商，达成如下合作协议：</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第一条 强化规划协同融合，筑牢电网建设空间保障</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spacing w:line="580" w:lineRule="exact"/>
        <w:ind w:firstLine="640" w:firstLineChars="200"/>
        <w:jc w:val="both"/>
        <w:textAlignment w:val="auto"/>
        <w:rPr>
          <w:rFonts w:hint="eastAsia" w:ascii="Times New Roman" w:hAnsi="仿宋_GB2312" w:cs="Times New Roman"/>
          <w:color w:val="auto"/>
          <w:sz w:val="32"/>
          <w:szCs w:val="32"/>
          <w:highlight w:val="none"/>
          <w:lang w:val="en-US" w:eastAsia="zh-CN"/>
        </w:rPr>
      </w:pPr>
      <w:r>
        <w:rPr>
          <w:rFonts w:hint="eastAsia" w:ascii="Times New Roman" w:hAnsi="仿宋_GB2312" w:cs="Times New Roman"/>
          <w:color w:val="auto"/>
          <w:sz w:val="32"/>
          <w:szCs w:val="32"/>
          <w:highlight w:val="none"/>
          <w:lang w:val="en-US" w:eastAsia="zh-CN"/>
        </w:rPr>
        <w:t>按自治区能源局统一部署，甲方组织编制和印发</w:t>
      </w:r>
      <w:r>
        <w:rPr>
          <w:rFonts w:hint="eastAsia" w:hAnsi="仿宋_GB2312" w:cs="Times New Roman"/>
          <w:color w:val="auto"/>
          <w:sz w:val="32"/>
          <w:szCs w:val="32"/>
          <w:highlight w:val="none"/>
          <w:lang w:val="en-US" w:eastAsia="zh-CN"/>
        </w:rPr>
        <w:t>崇左</w:t>
      </w:r>
      <w:r>
        <w:rPr>
          <w:rFonts w:hint="eastAsia" w:ascii="Times New Roman" w:hAnsi="仿宋_GB2312" w:cs="Times New Roman"/>
          <w:color w:val="auto"/>
          <w:sz w:val="32"/>
          <w:szCs w:val="32"/>
          <w:highlight w:val="none"/>
          <w:lang w:val="en-US" w:eastAsia="zh-CN"/>
        </w:rPr>
        <w:t>市“十五五”配电网规划并按年度组织规划修编工作。统筹做好城市发展和电网规划建设的衔接，深化国土空间规划“一张图”信息平台电力业务应用，组织将自治区印发的“十五五”系列电力规划</w:t>
      </w:r>
      <w:r>
        <w:rPr>
          <w:rFonts w:hint="eastAsia" w:hAnsi="仿宋_GB2312" w:cs="Times New Roman"/>
          <w:color w:val="auto"/>
          <w:sz w:val="32"/>
          <w:szCs w:val="32"/>
          <w:highlight w:val="none"/>
          <w:lang w:val="en-US" w:eastAsia="zh-CN"/>
        </w:rPr>
        <w:t>崇左</w:t>
      </w:r>
      <w:r>
        <w:rPr>
          <w:rFonts w:hint="eastAsia" w:ascii="Times New Roman" w:hAnsi="仿宋_GB2312" w:cs="Times New Roman"/>
          <w:color w:val="auto"/>
          <w:sz w:val="32"/>
          <w:szCs w:val="32"/>
          <w:highlight w:val="none"/>
          <w:lang w:val="en-US" w:eastAsia="zh-CN"/>
        </w:rPr>
        <w:t>市辖区内项目及</w:t>
      </w:r>
      <w:r>
        <w:rPr>
          <w:rFonts w:hint="eastAsia" w:hAnsi="仿宋_GB2312" w:cs="Times New Roman"/>
          <w:color w:val="auto"/>
          <w:sz w:val="32"/>
          <w:szCs w:val="32"/>
          <w:highlight w:val="none"/>
          <w:lang w:val="en-US" w:eastAsia="zh-CN"/>
        </w:rPr>
        <w:t>崇左</w:t>
      </w:r>
      <w:r>
        <w:rPr>
          <w:rFonts w:hint="eastAsia" w:ascii="Times New Roman" w:hAnsi="仿宋_GB2312" w:cs="Times New Roman"/>
          <w:color w:val="auto"/>
          <w:sz w:val="32"/>
          <w:szCs w:val="32"/>
          <w:highlight w:val="none"/>
          <w:lang w:val="en-US" w:eastAsia="zh-CN"/>
        </w:rPr>
        <w:t>市“十五五”配电网规划、</w:t>
      </w:r>
      <w:r>
        <w:rPr>
          <w:rFonts w:hint="eastAsia" w:hAnsi="仿宋_GB2312" w:cs="Times New Roman"/>
          <w:color w:val="auto"/>
          <w:sz w:val="32"/>
          <w:szCs w:val="32"/>
          <w:highlight w:val="none"/>
          <w:lang w:val="en-US" w:eastAsia="zh-CN"/>
        </w:rPr>
        <w:t>崇左</w:t>
      </w:r>
      <w:r>
        <w:rPr>
          <w:rFonts w:hint="eastAsia" w:ascii="Times New Roman" w:hAnsi="仿宋_GB2312" w:cs="Times New Roman"/>
          <w:color w:val="auto"/>
          <w:sz w:val="32"/>
          <w:szCs w:val="32"/>
          <w:highlight w:val="none"/>
          <w:lang w:val="en-US" w:eastAsia="zh-CN"/>
        </w:rPr>
        <w:t>市电力专项规划</w:t>
      </w:r>
      <w:r>
        <w:rPr>
          <w:rFonts w:hint="eastAsia" w:hAnsi="仿宋_GB2312" w:cs="Times New Roman"/>
          <w:color w:val="auto"/>
          <w:sz w:val="32"/>
          <w:szCs w:val="32"/>
          <w:highlight w:val="none"/>
          <w:lang w:val="en-US" w:eastAsia="zh-CN"/>
        </w:rPr>
        <w:t>等</w:t>
      </w:r>
      <w:r>
        <w:rPr>
          <w:rFonts w:hint="eastAsia" w:ascii="Times New Roman" w:hAnsi="仿宋_GB2312" w:cs="Times New Roman"/>
          <w:color w:val="auto"/>
          <w:sz w:val="32"/>
          <w:szCs w:val="32"/>
          <w:highlight w:val="none"/>
          <w:lang w:val="en-US" w:eastAsia="zh-CN"/>
        </w:rPr>
        <w:t>核心成果全面纳入城市总体规划、控制性详细规划及乡村规划等，</w:t>
      </w:r>
      <w:r>
        <w:rPr>
          <w:rFonts w:hint="eastAsia" w:ascii="Times New Roman" w:hAnsi="仿宋_GB2312" w:eastAsia="仿宋_GB2312" w:cs="Times New Roman"/>
          <w:color w:val="auto"/>
          <w:sz w:val="32"/>
          <w:szCs w:val="32"/>
          <w:highlight w:val="none"/>
        </w:rPr>
        <w:t>预留变电站、电缆通道等电力设施用地及空间，</w:t>
      </w:r>
      <w:r>
        <w:rPr>
          <w:rFonts w:hint="eastAsia" w:hAnsi="仿宋_GB2312" w:cs="Times New Roman"/>
          <w:color w:val="auto"/>
          <w:sz w:val="32"/>
          <w:szCs w:val="32"/>
          <w:highlight w:val="none"/>
          <w:lang w:val="en-US" w:eastAsia="zh-CN"/>
        </w:rPr>
        <w:t>统筹协调</w:t>
      </w:r>
      <w:r>
        <w:rPr>
          <w:rFonts w:hint="eastAsia" w:ascii="Times New Roman" w:hAnsi="仿宋_GB2312" w:eastAsia="仿宋_GB2312" w:cs="Times New Roman"/>
          <w:color w:val="auto"/>
          <w:sz w:val="32"/>
          <w:szCs w:val="32"/>
          <w:highlight w:val="none"/>
          <w:lang w:val="en-US" w:eastAsia="zh-CN"/>
        </w:rPr>
        <w:t>电网建设时序与城市发展节奏相匹配，提升电网发展的前瞻性与适应性。</w:t>
      </w:r>
      <w:r>
        <w:rPr>
          <w:rFonts w:hint="eastAsia" w:ascii="Times New Roman" w:hAnsi="仿宋_GB2312" w:cs="Times New Roman"/>
          <w:b w:val="0"/>
          <w:bCs w:val="0"/>
          <w:color w:val="auto"/>
          <w:sz w:val="32"/>
          <w:szCs w:val="32"/>
          <w:highlight w:val="none"/>
          <w:lang w:val="en-US" w:eastAsia="zh-CN"/>
        </w:rPr>
        <w:t>同时，建立电力规划与城乡规划协同审核机制，电力规划每轮修编后，</w:t>
      </w:r>
      <w:r>
        <w:rPr>
          <w:rFonts w:hint="eastAsia" w:hAnsi="仿宋_GB2312" w:cs="Times New Roman"/>
          <w:b w:val="0"/>
          <w:bCs w:val="0"/>
          <w:color w:val="auto"/>
          <w:sz w:val="32"/>
          <w:szCs w:val="32"/>
          <w:highlight w:val="none"/>
          <w:lang w:val="en-US" w:eastAsia="zh-CN"/>
        </w:rPr>
        <w:t>统筹协调</w:t>
      </w:r>
      <w:r>
        <w:rPr>
          <w:rFonts w:hint="eastAsia" w:ascii="Times New Roman" w:hAnsi="仿宋_GB2312" w:cs="Times New Roman"/>
          <w:b w:val="0"/>
          <w:bCs w:val="0"/>
          <w:color w:val="auto"/>
          <w:sz w:val="32"/>
          <w:szCs w:val="32"/>
          <w:highlight w:val="none"/>
          <w:lang w:val="en-US" w:eastAsia="zh-CN"/>
        </w:rPr>
        <w:t>新增项目能及时纳入国土空间规划。</w:t>
      </w:r>
    </w:p>
    <w:p>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outlineLvl w:val="0"/>
        <w:rPr>
          <w:rFonts w:hint="default" w:ascii="Times New Roman" w:hAnsi="Times New Roman" w:eastAsia="楷体_GB2312" w:cs="Times New Roman"/>
          <w:snapToGrid w:val="0"/>
          <w:color w:val="auto"/>
          <w:kern w:val="0"/>
          <w:highlight w:val="none"/>
          <w:lang w:val="en-US" w:eastAsia="zh-CN"/>
        </w:rPr>
      </w:pPr>
      <w:r>
        <w:rPr>
          <w:rFonts w:hint="eastAsia" w:ascii="Times New Roman" w:hAnsi="仿宋_GB2312" w:eastAsia="仿宋_GB2312" w:cs="Times New Roman"/>
          <w:color w:val="auto"/>
          <w:sz w:val="32"/>
          <w:szCs w:val="32"/>
          <w:highlight w:val="none"/>
        </w:rPr>
        <w:t>乙方</w:t>
      </w:r>
      <w:r>
        <w:rPr>
          <w:rFonts w:hint="eastAsia" w:ascii="Times New Roman" w:hAnsi="仿宋_GB2312" w:cs="Times New Roman"/>
          <w:color w:val="auto"/>
          <w:sz w:val="32"/>
          <w:szCs w:val="32"/>
          <w:highlight w:val="none"/>
          <w:lang w:val="en-US" w:eastAsia="zh-CN"/>
        </w:rPr>
        <w:t>积极协助甲方做好</w:t>
      </w:r>
      <w:r>
        <w:rPr>
          <w:rFonts w:hint="eastAsia" w:hAnsi="仿宋_GB2312" w:cs="Times New Roman"/>
          <w:color w:val="auto"/>
          <w:sz w:val="32"/>
          <w:szCs w:val="32"/>
          <w:highlight w:val="none"/>
          <w:lang w:val="en-US" w:eastAsia="zh-CN"/>
        </w:rPr>
        <w:t>崇左</w:t>
      </w:r>
      <w:r>
        <w:rPr>
          <w:rFonts w:hint="eastAsia" w:ascii="Times New Roman" w:hAnsi="仿宋_GB2312" w:eastAsia="仿宋_GB2312" w:cs="Times New Roman"/>
          <w:color w:val="auto"/>
          <w:sz w:val="32"/>
          <w:szCs w:val="32"/>
          <w:highlight w:val="none"/>
        </w:rPr>
        <w:t>市“十五五”配电网规划</w:t>
      </w:r>
      <w:r>
        <w:rPr>
          <w:rFonts w:hint="eastAsia" w:ascii="Times New Roman" w:hAnsi="仿宋_GB2312" w:cs="Times New Roman"/>
          <w:color w:val="auto"/>
          <w:sz w:val="32"/>
          <w:szCs w:val="32"/>
          <w:highlight w:val="none"/>
          <w:lang w:eastAsia="zh-CN"/>
        </w:rPr>
        <w:t>、</w:t>
      </w:r>
      <w:r>
        <w:rPr>
          <w:rFonts w:hint="eastAsia" w:hAnsi="仿宋_GB2312" w:cs="Times New Roman"/>
          <w:color w:val="auto"/>
          <w:sz w:val="32"/>
          <w:szCs w:val="32"/>
          <w:highlight w:val="none"/>
          <w:lang w:val="en-US" w:eastAsia="zh-CN"/>
        </w:rPr>
        <w:t>崇左</w:t>
      </w:r>
      <w:r>
        <w:rPr>
          <w:rFonts w:hint="eastAsia" w:ascii="Times New Roman" w:hAnsi="仿宋_GB2312" w:cs="Times New Roman"/>
          <w:color w:val="auto"/>
          <w:sz w:val="32"/>
          <w:szCs w:val="32"/>
          <w:highlight w:val="none"/>
          <w:lang w:val="en-US" w:eastAsia="zh-CN"/>
        </w:rPr>
        <w:t>市电力专项规划等编制工作，</w:t>
      </w:r>
      <w:r>
        <w:rPr>
          <w:rFonts w:hint="eastAsia" w:ascii="Times New Roman" w:hAnsi="仿宋_GB2312" w:eastAsia="仿宋_GB2312" w:cs="Times New Roman"/>
          <w:color w:val="auto"/>
          <w:sz w:val="32"/>
          <w:szCs w:val="32"/>
          <w:highlight w:val="none"/>
        </w:rPr>
        <w:t>提供电网规划、项目布局等数据，支撑</w:t>
      </w:r>
      <w:r>
        <w:rPr>
          <w:rFonts w:hint="eastAsia" w:ascii="Times New Roman" w:hAnsi="仿宋_GB2312" w:eastAsia="仿宋_GB2312" w:cs="Times New Roman"/>
          <w:color w:val="auto"/>
          <w:sz w:val="32"/>
          <w:szCs w:val="32"/>
          <w:highlight w:val="none"/>
          <w:lang w:val="en-US" w:eastAsia="zh-CN"/>
        </w:rPr>
        <w:t>国土空间规划</w:t>
      </w:r>
      <w:r>
        <w:rPr>
          <w:rFonts w:hint="eastAsia" w:ascii="Times New Roman" w:hAnsi="仿宋_GB2312" w:eastAsia="仿宋_GB2312" w:cs="Times New Roman"/>
          <w:color w:val="auto"/>
          <w:sz w:val="32"/>
          <w:szCs w:val="32"/>
          <w:highlight w:val="none"/>
          <w:lang w:eastAsia="zh-CN"/>
        </w:rPr>
        <w:t>“</w:t>
      </w:r>
      <w:r>
        <w:rPr>
          <w:rFonts w:hint="eastAsia" w:ascii="Times New Roman" w:hAnsi="仿宋_GB2312" w:eastAsia="仿宋_GB2312" w:cs="Times New Roman"/>
          <w:color w:val="auto"/>
          <w:sz w:val="32"/>
          <w:szCs w:val="32"/>
          <w:highlight w:val="none"/>
          <w:lang w:val="en-US" w:eastAsia="zh-CN"/>
        </w:rPr>
        <w:t>一张图</w:t>
      </w:r>
      <w:r>
        <w:rPr>
          <w:rFonts w:hint="eastAsia" w:ascii="Times New Roman" w:hAnsi="仿宋_GB2312" w:eastAsia="仿宋_GB2312" w:cs="Times New Roman"/>
          <w:color w:val="auto"/>
          <w:sz w:val="32"/>
          <w:szCs w:val="32"/>
          <w:highlight w:val="none"/>
          <w:lang w:eastAsia="zh-CN"/>
        </w:rPr>
        <w:t>”</w:t>
      </w:r>
      <w:r>
        <w:rPr>
          <w:rFonts w:hint="eastAsia" w:ascii="Times New Roman" w:hAnsi="仿宋_GB2312" w:eastAsia="仿宋_GB2312" w:cs="Times New Roman"/>
          <w:color w:val="auto"/>
          <w:sz w:val="32"/>
          <w:szCs w:val="32"/>
          <w:highlight w:val="none"/>
        </w:rPr>
        <w:t>平台功能优化</w:t>
      </w:r>
      <w:r>
        <w:rPr>
          <w:rFonts w:hint="eastAsia" w:ascii="Times New Roman" w:hAnsi="仿宋_GB2312" w:eastAsia="仿宋_GB2312" w:cs="Times New Roman"/>
          <w:color w:val="auto"/>
          <w:sz w:val="32"/>
          <w:szCs w:val="32"/>
          <w:highlight w:val="none"/>
          <w:lang w:eastAsia="zh-CN"/>
        </w:rPr>
        <w:t>，</w:t>
      </w:r>
      <w:r>
        <w:rPr>
          <w:rFonts w:hint="eastAsia" w:ascii="Times New Roman" w:hAnsi="仿宋_GB2312" w:eastAsia="仿宋_GB2312" w:cs="Times New Roman"/>
          <w:color w:val="auto"/>
          <w:sz w:val="32"/>
          <w:szCs w:val="32"/>
          <w:highlight w:val="none"/>
          <w:lang w:val="en-US" w:eastAsia="zh-CN"/>
        </w:rPr>
        <w:t>并将电力设施布局纳入“一张图”管理，实现电网项目与城市更新、产业布局、交通建设等同步规划、协同实施</w:t>
      </w:r>
      <w:r>
        <w:rPr>
          <w:rFonts w:hint="eastAsia" w:hAnsi="仿宋_GB2312" w:cs="Times New Roman"/>
          <w:color w:val="auto"/>
          <w:sz w:val="32"/>
          <w:szCs w:val="32"/>
          <w:highlight w:val="none"/>
          <w:lang w:eastAsia="zh-CN"/>
        </w:rPr>
        <w:t>，</w:t>
      </w:r>
      <w:r>
        <w:rPr>
          <w:rFonts w:hint="default" w:ascii="Times New Roman" w:hAnsi="Times New Roman" w:cs="Times New Roman"/>
          <w:snapToGrid w:val="0"/>
          <w:color w:val="auto"/>
          <w:kern w:val="0"/>
          <w:highlight w:val="none"/>
          <w:lang w:val="en-US" w:eastAsia="zh-CN"/>
        </w:rPr>
        <w:t>做好电网规划与</w:t>
      </w:r>
      <w:r>
        <w:rPr>
          <w:rFonts w:hint="eastAsia" w:cs="Times New Roman"/>
          <w:snapToGrid w:val="0"/>
          <w:color w:val="auto"/>
          <w:kern w:val="0"/>
          <w:highlight w:val="none"/>
          <w:lang w:val="en-US" w:eastAsia="zh-CN"/>
        </w:rPr>
        <w:t>城市发展总体规划</w:t>
      </w:r>
      <w:r>
        <w:rPr>
          <w:rFonts w:hint="default" w:ascii="Times New Roman" w:hAnsi="Times New Roman" w:cs="Times New Roman"/>
          <w:snapToGrid w:val="0"/>
          <w:color w:val="auto"/>
          <w:kern w:val="0"/>
          <w:highlight w:val="none"/>
          <w:lang w:val="en-US" w:eastAsia="zh-CN"/>
        </w:rPr>
        <w:t>的精准衔接</w:t>
      </w:r>
      <w:r>
        <w:rPr>
          <w:rFonts w:hint="eastAsia" w:cs="Times New Roman"/>
          <w:snapToGrid w:val="0"/>
          <w:color w:val="auto"/>
          <w:kern w:val="0"/>
          <w:highlight w:val="none"/>
          <w:lang w:val="en-US" w:eastAsia="zh-CN"/>
        </w:rPr>
        <w:t>，</w:t>
      </w:r>
      <w:r>
        <w:rPr>
          <w:rFonts w:hint="default" w:ascii="Times New Roman" w:hAnsi="Times New Roman" w:cs="Times New Roman"/>
          <w:snapToGrid w:val="0"/>
          <w:color w:val="auto"/>
          <w:kern w:val="0"/>
          <w:highlight w:val="none"/>
          <w:lang w:val="en-US" w:eastAsia="zh-CN"/>
        </w:rPr>
        <w:t>支撑好</w:t>
      </w:r>
      <w:r>
        <w:rPr>
          <w:rFonts w:hint="eastAsia" w:cs="Times New Roman"/>
          <w:snapToGrid w:val="0"/>
          <w:color w:val="auto"/>
          <w:kern w:val="0"/>
          <w:highlight w:val="none"/>
          <w:lang w:val="en-US" w:eastAsia="zh-CN"/>
        </w:rPr>
        <w:t>崇左市打造</w:t>
      </w:r>
      <w:r>
        <w:rPr>
          <w:rFonts w:hint="eastAsia" w:ascii="仿宋_GB2312" w:hAnsi="仿宋_GB2312" w:eastAsia="仿宋_GB2312" w:cs="仿宋_GB2312"/>
          <w:color w:val="auto"/>
          <w:sz w:val="32"/>
          <w:szCs w:val="32"/>
          <w:highlight w:val="none"/>
        </w:rPr>
        <w:t>现代化南疆国门城市</w:t>
      </w:r>
      <w:r>
        <w:rPr>
          <w:rFonts w:hint="eastAsia" w:ascii="Times New Roman" w:hAnsi="Times New Roman" w:cs="Times New Roman"/>
          <w:snapToGrid w:val="0"/>
          <w:color w:val="auto"/>
          <w:kern w:val="0"/>
          <w:highlight w:val="none"/>
          <w:lang w:val="en-US" w:eastAsia="zh-CN"/>
        </w:rPr>
        <w:t>。</w:t>
      </w:r>
    </w:p>
    <w:p>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outlineLvl w:val="0"/>
        <w:rPr>
          <w:rFonts w:hint="default" w:ascii="Times New Roman" w:hAnsi="Times New Roman" w:eastAsia="黑体" w:cs="Times New Roman"/>
          <w:color w:val="auto"/>
          <w:highlight w:val="none"/>
          <w:lang w:eastAsia="zh-CN"/>
        </w:rPr>
      </w:pPr>
      <w:r>
        <w:rPr>
          <w:rFonts w:hint="default" w:ascii="Times New Roman" w:hAnsi="Times New Roman" w:eastAsia="黑体" w:cs="Times New Roman"/>
          <w:color w:val="auto"/>
          <w:highlight w:val="none"/>
          <w:lang w:eastAsia="zh-CN"/>
        </w:rPr>
        <w:t>第二条</w:t>
      </w:r>
      <w:r>
        <w:rPr>
          <w:rFonts w:hint="default" w:ascii="Times New Roman" w:hAnsi="Times New Roman" w:eastAsia="黑体" w:cs="Times New Roman"/>
          <w:color w:val="auto"/>
          <w:highlight w:val="none"/>
          <w:lang w:val="en-US" w:eastAsia="zh-CN"/>
        </w:rPr>
        <w:t xml:space="preserve"> </w:t>
      </w:r>
      <w:r>
        <w:rPr>
          <w:rFonts w:hint="eastAsia" w:eastAsia="黑体" w:cs="Times New Roman"/>
          <w:color w:val="auto"/>
          <w:highlight w:val="none"/>
          <w:lang w:val="en-US" w:eastAsia="zh-CN"/>
        </w:rPr>
        <w:t>共同</w:t>
      </w:r>
      <w:r>
        <w:rPr>
          <w:rFonts w:hint="default" w:ascii="Times New Roman" w:hAnsi="Times New Roman" w:eastAsia="黑体" w:cs="Times New Roman"/>
          <w:color w:val="auto"/>
          <w:highlight w:val="none"/>
          <w:lang w:val="en-US" w:eastAsia="zh-CN"/>
        </w:rPr>
        <w:t>推动</w:t>
      </w:r>
      <w:r>
        <w:rPr>
          <w:rFonts w:hint="eastAsia" w:eastAsia="黑体" w:cs="Times New Roman"/>
          <w:color w:val="auto"/>
          <w:highlight w:val="none"/>
          <w:lang w:val="en-US" w:eastAsia="zh-CN"/>
        </w:rPr>
        <w:t>崇左市</w:t>
      </w:r>
      <w:r>
        <w:rPr>
          <w:rFonts w:hint="default" w:ascii="Times New Roman" w:hAnsi="Times New Roman" w:eastAsia="黑体" w:cs="Times New Roman"/>
          <w:color w:val="auto"/>
          <w:highlight w:val="none"/>
          <w:lang w:eastAsia="zh-CN"/>
        </w:rPr>
        <w:t>新型电力系统</w:t>
      </w:r>
      <w:r>
        <w:rPr>
          <w:rFonts w:hint="default" w:ascii="Times New Roman" w:hAnsi="Times New Roman" w:eastAsia="黑体" w:cs="Times New Roman"/>
          <w:color w:val="auto"/>
          <w:highlight w:val="none"/>
          <w:lang w:val="en-US" w:eastAsia="zh-CN"/>
        </w:rPr>
        <w:t>和</w:t>
      </w:r>
      <w:r>
        <w:rPr>
          <w:rFonts w:hint="default" w:ascii="Times New Roman" w:hAnsi="Times New Roman" w:eastAsia="黑体" w:cs="Times New Roman"/>
          <w:color w:val="auto"/>
          <w:highlight w:val="none"/>
          <w:lang w:eastAsia="zh-CN"/>
        </w:rPr>
        <w:t>新型能源体系建设</w:t>
      </w:r>
      <w:r>
        <w:rPr>
          <w:rFonts w:hint="eastAsia" w:eastAsia="黑体" w:cs="Times New Roman"/>
          <w:color w:val="auto"/>
          <w:highlight w:val="none"/>
          <w:lang w:eastAsia="zh-CN"/>
        </w:rPr>
        <w:t>，</w:t>
      </w:r>
      <w:r>
        <w:rPr>
          <w:rFonts w:hint="eastAsia" w:ascii="黑体" w:hAnsi="黑体" w:eastAsia="黑体" w:cs="黑体"/>
          <w:color w:val="auto"/>
          <w:sz w:val="32"/>
          <w:szCs w:val="32"/>
          <w:highlight w:val="none"/>
        </w:rPr>
        <w:t>服务绿色低碳转型</w:t>
      </w:r>
    </w:p>
    <w:p>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outlineLvl w:val="0"/>
        <w:rPr>
          <w:rFonts w:hint="default" w:ascii="Times New Roman" w:hAnsi="Times New Roman" w:eastAsia="楷体_GB2312" w:cs="Times New Roman"/>
          <w:snapToGrid w:val="0"/>
          <w:color w:val="auto"/>
          <w:kern w:val="0"/>
          <w:highlight w:val="none"/>
          <w:lang w:eastAsia="zh-CN"/>
        </w:rPr>
      </w:pPr>
      <w:r>
        <w:rPr>
          <w:rFonts w:hint="default" w:ascii="Times New Roman" w:hAnsi="Times New Roman" w:eastAsia="楷体_GB2312" w:cs="Times New Roman"/>
          <w:snapToGrid w:val="0"/>
          <w:color w:val="auto"/>
          <w:kern w:val="0"/>
          <w:highlight w:val="none"/>
        </w:rPr>
        <w:t>（</w:t>
      </w:r>
      <w:r>
        <w:rPr>
          <w:rFonts w:hint="default" w:ascii="Times New Roman" w:hAnsi="Times New Roman" w:eastAsia="楷体_GB2312" w:cs="Times New Roman"/>
          <w:snapToGrid w:val="0"/>
          <w:color w:val="auto"/>
          <w:kern w:val="0"/>
          <w:highlight w:val="none"/>
          <w:lang w:eastAsia="zh-CN"/>
        </w:rPr>
        <w:t>一</w:t>
      </w:r>
      <w:r>
        <w:rPr>
          <w:rFonts w:hint="default" w:ascii="Times New Roman" w:hAnsi="Times New Roman" w:eastAsia="楷体_GB2312" w:cs="Times New Roman"/>
          <w:snapToGrid w:val="0"/>
          <w:color w:val="auto"/>
          <w:kern w:val="0"/>
          <w:highlight w:val="none"/>
        </w:rPr>
        <w:t>）提升能源保供水平</w:t>
      </w:r>
    </w:p>
    <w:p>
      <w:pPr>
        <w:keepNext w:val="0"/>
        <w:keepLines w:val="0"/>
        <w:pageBreakBefore w:val="0"/>
        <w:kinsoku/>
        <w:wordWrap/>
        <w:overflowPunct/>
        <w:topLinePunct w:val="0"/>
        <w:autoSpaceDE/>
        <w:autoSpaceDN/>
        <w:bidi w:val="0"/>
        <w:adjustRightInd w:val="0"/>
        <w:snapToGrid w:val="0"/>
        <w:spacing w:line="580" w:lineRule="exact"/>
        <w:ind w:firstLine="640" w:firstLineChars="200"/>
        <w:jc w:val="both"/>
        <w:textAlignment w:val="auto"/>
        <w:outlineLvl w:val="0"/>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snapToGrid w:val="0"/>
          <w:color w:val="auto"/>
          <w:kern w:val="0"/>
          <w:highlight w:val="none"/>
          <w:lang w:eastAsia="zh-CN"/>
        </w:rPr>
        <w:t>双方</w:t>
      </w:r>
      <w:r>
        <w:rPr>
          <w:rFonts w:hint="default" w:ascii="Times New Roman" w:hAnsi="Times New Roman" w:cs="Times New Roman"/>
          <w:color w:val="auto"/>
          <w:sz w:val="32"/>
          <w:szCs w:val="32"/>
          <w:highlight w:val="none"/>
          <w:lang w:val="en-US" w:eastAsia="zh-CN"/>
        </w:rPr>
        <w:t>从全局的角度系统谋划提升</w:t>
      </w:r>
      <w:r>
        <w:rPr>
          <w:rFonts w:hint="eastAsia" w:cs="Times New Roman"/>
          <w:color w:val="auto"/>
          <w:sz w:val="32"/>
          <w:szCs w:val="32"/>
          <w:highlight w:val="none"/>
          <w:lang w:val="en-US" w:eastAsia="zh-CN"/>
        </w:rPr>
        <w:t>崇左市的</w:t>
      </w:r>
      <w:r>
        <w:rPr>
          <w:rFonts w:hint="default" w:ascii="Times New Roman" w:hAnsi="Times New Roman" w:cs="Times New Roman"/>
          <w:color w:val="auto"/>
          <w:sz w:val="32"/>
          <w:szCs w:val="32"/>
          <w:highlight w:val="none"/>
          <w:lang w:val="en-US" w:eastAsia="zh-CN"/>
        </w:rPr>
        <w:t>能源保供水平</w:t>
      </w:r>
      <w:r>
        <w:rPr>
          <w:rFonts w:hint="eastAsia" w:cs="Times New Roman"/>
          <w:color w:val="auto"/>
          <w:sz w:val="32"/>
          <w:szCs w:val="32"/>
          <w:highlight w:val="none"/>
          <w:lang w:val="en-US" w:eastAsia="zh-CN"/>
        </w:rPr>
        <w:t>。结合资源禀赋，适度超前谋划</w:t>
      </w:r>
      <w:r>
        <w:rPr>
          <w:rFonts w:hint="eastAsia" w:ascii="Times New Roman" w:hAnsi="Times New Roman" w:cs="Times New Roman"/>
          <w:snapToGrid w:val="0"/>
          <w:color w:val="auto"/>
          <w:kern w:val="0"/>
          <w:highlight w:val="none"/>
          <w:lang w:val="en-US" w:eastAsia="zh-CN"/>
        </w:rPr>
        <w:t>布局</w:t>
      </w:r>
      <w:r>
        <w:rPr>
          <w:rFonts w:hint="eastAsia" w:cs="Times New Roman"/>
          <w:snapToGrid w:val="0"/>
          <w:color w:val="auto"/>
          <w:kern w:val="0"/>
          <w:highlight w:val="none"/>
          <w:lang w:val="en-US" w:eastAsia="zh-CN"/>
        </w:rPr>
        <w:t>崇左电厂二期等</w:t>
      </w:r>
      <w:r>
        <w:rPr>
          <w:rFonts w:hint="eastAsia" w:ascii="Times New Roman" w:hAnsi="Times New Roman" w:cs="Times New Roman"/>
          <w:snapToGrid w:val="0"/>
          <w:color w:val="auto"/>
          <w:kern w:val="0"/>
          <w:highlight w:val="none"/>
          <w:lang w:val="en-US" w:eastAsia="zh-CN"/>
        </w:rPr>
        <w:t>一批煤电、风电、光伏电源项目，共同推动</w:t>
      </w:r>
      <w:r>
        <w:rPr>
          <w:rFonts w:hint="eastAsia" w:cs="Times New Roman"/>
          <w:snapToGrid w:val="0"/>
          <w:color w:val="auto"/>
          <w:kern w:val="0"/>
          <w:highlight w:val="none"/>
          <w:lang w:val="en-US" w:eastAsia="zh-CN"/>
        </w:rPr>
        <w:t>坚</w:t>
      </w:r>
      <w:r>
        <w:rPr>
          <w:rFonts w:hint="eastAsia" w:ascii="Times New Roman" w:hAnsi="Times New Roman" w:cs="Times New Roman"/>
          <w:snapToGrid w:val="0"/>
          <w:color w:val="auto"/>
          <w:kern w:val="0"/>
          <w:highlight w:val="none"/>
          <w:lang w:val="en-US" w:eastAsia="zh-CN"/>
        </w:rPr>
        <w:t>强局部电网建设，增强电网抵御自然灾害的能力，加强大面积停电风险防</w:t>
      </w:r>
      <w:r>
        <w:rPr>
          <w:rFonts w:hint="eastAsia" w:ascii="Times New Roman" w:hAnsi="Times New Roman" w:cs="Times New Roman"/>
          <w:color w:val="auto"/>
          <w:sz w:val="32"/>
          <w:szCs w:val="32"/>
          <w:highlight w:val="none"/>
          <w:lang w:val="en-US" w:eastAsia="zh-CN"/>
        </w:rPr>
        <w:t>范。共同做好储能发展规划，合理布局抽水蓄能、电化学储能等新型储能，有效提升</w:t>
      </w:r>
      <w:r>
        <w:rPr>
          <w:rFonts w:hint="eastAsia" w:cs="Times New Roman"/>
          <w:color w:val="auto"/>
          <w:sz w:val="32"/>
          <w:szCs w:val="32"/>
          <w:highlight w:val="none"/>
          <w:lang w:val="en-US" w:eastAsia="zh-CN"/>
        </w:rPr>
        <w:t>崇左</w:t>
      </w:r>
      <w:r>
        <w:rPr>
          <w:rFonts w:hint="eastAsia" w:ascii="Times New Roman" w:hAnsi="Times New Roman" w:cs="Times New Roman"/>
          <w:color w:val="auto"/>
          <w:sz w:val="32"/>
          <w:szCs w:val="32"/>
          <w:highlight w:val="none"/>
          <w:lang w:val="en-US" w:eastAsia="zh-CN"/>
        </w:rPr>
        <w:t>网区电力调节能力。</w:t>
      </w:r>
    </w:p>
    <w:p>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outlineLvl w:val="0"/>
        <w:rPr>
          <w:rFonts w:hint="default" w:ascii="Times New Roman" w:hAnsi="Times New Roman" w:eastAsia="楷体_GB2312" w:cs="Times New Roman"/>
          <w:snapToGrid w:val="0"/>
          <w:color w:val="auto"/>
          <w:kern w:val="0"/>
          <w:highlight w:val="none"/>
          <w:lang w:eastAsia="zh-CN"/>
        </w:rPr>
      </w:pPr>
      <w:r>
        <w:rPr>
          <w:rFonts w:hint="default" w:ascii="Times New Roman" w:hAnsi="Times New Roman" w:eastAsia="楷体_GB2312" w:cs="Times New Roman"/>
          <w:snapToGrid w:val="0"/>
          <w:color w:val="auto"/>
          <w:kern w:val="0"/>
          <w:highlight w:val="none"/>
        </w:rPr>
        <w:t>（</w:t>
      </w:r>
      <w:r>
        <w:rPr>
          <w:rFonts w:hint="default" w:ascii="Times New Roman" w:hAnsi="Times New Roman" w:eastAsia="楷体_GB2312" w:cs="Times New Roman"/>
          <w:snapToGrid w:val="0"/>
          <w:color w:val="auto"/>
          <w:kern w:val="0"/>
          <w:highlight w:val="none"/>
          <w:lang w:eastAsia="zh-CN"/>
        </w:rPr>
        <w:t>二</w:t>
      </w:r>
      <w:r>
        <w:rPr>
          <w:rFonts w:hint="default" w:ascii="Times New Roman" w:hAnsi="Times New Roman" w:eastAsia="楷体_GB2312" w:cs="Times New Roman"/>
          <w:snapToGrid w:val="0"/>
          <w:color w:val="auto"/>
          <w:kern w:val="0"/>
          <w:highlight w:val="none"/>
        </w:rPr>
        <w:t>）做好新能源项目并网和消纳</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spacing w:line="580" w:lineRule="exact"/>
        <w:ind w:firstLine="640" w:firstLineChars="200"/>
        <w:jc w:val="left"/>
        <w:textAlignment w:val="auto"/>
        <w:rPr>
          <w:rFonts w:hint="eastAsia" w:ascii="Times New Roman" w:hAnsi="仿宋_GB2312" w:eastAsia="仿宋_GB2312" w:cs="Times New Roman"/>
          <w:color w:val="auto"/>
          <w:sz w:val="32"/>
          <w:szCs w:val="32"/>
          <w:highlight w:val="none"/>
        </w:rPr>
      </w:pPr>
      <w:r>
        <w:rPr>
          <w:rFonts w:hint="eastAsia" w:ascii="Times New Roman" w:hAnsi="仿宋_GB2312" w:eastAsia="仿宋_GB2312" w:cs="Times New Roman"/>
          <w:color w:val="auto"/>
          <w:sz w:val="32"/>
          <w:szCs w:val="32"/>
          <w:highlight w:val="none"/>
        </w:rPr>
        <w:t>甲方统筹推进新能源项目规划布局，</w:t>
      </w:r>
      <w:r>
        <w:rPr>
          <w:rFonts w:hint="eastAsia" w:ascii="Times New Roman" w:hAnsi="仿宋_GB2312" w:eastAsia="仿宋_GB2312" w:cs="Times New Roman"/>
          <w:color w:val="auto"/>
          <w:sz w:val="32"/>
          <w:szCs w:val="32"/>
          <w:highlight w:val="none"/>
          <w:lang w:val="en-US" w:eastAsia="zh-CN"/>
        </w:rPr>
        <w:t>明确“十五五”时期新能源发展目标和消纳要求，</w:t>
      </w:r>
      <w:r>
        <w:rPr>
          <w:rFonts w:hint="eastAsia" w:ascii="Times New Roman" w:hAnsi="仿宋_GB2312" w:eastAsia="仿宋_GB2312" w:cs="Times New Roman"/>
          <w:color w:val="auto"/>
          <w:sz w:val="32"/>
          <w:szCs w:val="32"/>
          <w:highlight w:val="none"/>
        </w:rPr>
        <w:t>加强新能源项目与送出工程规划衔接</w:t>
      </w:r>
      <w:r>
        <w:rPr>
          <w:rFonts w:hint="eastAsia" w:ascii="Times New Roman" w:hAnsi="仿宋_GB2312" w:eastAsia="仿宋_GB2312" w:cs="Times New Roman"/>
          <w:color w:val="auto"/>
          <w:sz w:val="32"/>
          <w:szCs w:val="32"/>
          <w:highlight w:val="none"/>
          <w:lang w:eastAsia="zh-CN"/>
        </w:rPr>
        <w:t>。</w:t>
      </w:r>
      <w:r>
        <w:rPr>
          <w:rFonts w:hint="eastAsia" w:ascii="Times New Roman" w:hAnsi="仿宋_GB2312" w:eastAsia="仿宋_GB2312" w:cs="Times New Roman"/>
          <w:color w:val="auto"/>
          <w:sz w:val="32"/>
          <w:szCs w:val="32"/>
          <w:highlight w:val="none"/>
          <w:lang w:val="en-US" w:eastAsia="zh-CN"/>
        </w:rPr>
        <w:t>简化新能源项目和电网配套工程审批流程，建立并联审批机制，</w:t>
      </w:r>
      <w:r>
        <w:rPr>
          <w:rFonts w:hint="eastAsia" w:ascii="Times New Roman" w:hAnsi="仿宋_GB2312" w:eastAsia="仿宋_GB2312" w:cs="Times New Roman"/>
          <w:color w:val="auto"/>
          <w:sz w:val="32"/>
          <w:szCs w:val="32"/>
          <w:highlight w:val="none"/>
        </w:rPr>
        <w:t>协调解决项目用地、环评等前期手续办理难题，为</w:t>
      </w:r>
      <w:r>
        <w:rPr>
          <w:rFonts w:hint="eastAsia" w:ascii="Times New Roman" w:hAnsi="仿宋_GB2312" w:eastAsia="仿宋_GB2312" w:cs="Times New Roman"/>
          <w:color w:val="auto"/>
          <w:sz w:val="32"/>
          <w:szCs w:val="32"/>
          <w:highlight w:val="none"/>
          <w:lang w:val="en-US" w:eastAsia="zh-CN"/>
        </w:rPr>
        <w:t>新能源</w:t>
      </w:r>
      <w:r>
        <w:rPr>
          <w:rFonts w:hint="eastAsia" w:ascii="Times New Roman" w:hAnsi="仿宋_GB2312" w:eastAsia="仿宋_GB2312" w:cs="Times New Roman"/>
          <w:color w:val="auto"/>
          <w:sz w:val="32"/>
          <w:szCs w:val="32"/>
          <w:highlight w:val="none"/>
        </w:rPr>
        <w:t>项目落地创造条件</w:t>
      </w:r>
      <w:r>
        <w:rPr>
          <w:rFonts w:hint="eastAsia" w:ascii="Times New Roman" w:hAnsi="仿宋_GB2312" w:eastAsia="仿宋_GB2312" w:cs="Times New Roman"/>
          <w:color w:val="auto"/>
          <w:sz w:val="32"/>
          <w:szCs w:val="32"/>
          <w:highlight w:val="none"/>
          <w:lang w:val="en-US" w:eastAsia="zh-CN"/>
        </w:rPr>
        <w:t>，</w:t>
      </w:r>
      <w:r>
        <w:rPr>
          <w:rFonts w:hint="eastAsia" w:ascii="Times New Roman" w:hAnsi="仿宋_GB2312" w:eastAsia="仿宋_GB2312" w:cs="Times New Roman"/>
          <w:color w:val="auto"/>
          <w:sz w:val="32"/>
          <w:szCs w:val="32"/>
          <w:highlight w:val="none"/>
        </w:rPr>
        <w:t>实现新能源项目“应开尽开、应并尽并、能并快并”。</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spacing w:line="580" w:lineRule="exact"/>
        <w:ind w:firstLine="640" w:firstLineChars="200"/>
        <w:jc w:val="both"/>
        <w:textAlignment w:val="auto"/>
        <w:rPr>
          <w:rFonts w:hint="eastAsia" w:ascii="Times New Roman" w:hAnsi="仿宋_GB2312" w:eastAsia="仿宋_GB2312" w:cs="Times New Roman"/>
          <w:color w:val="auto"/>
          <w:sz w:val="32"/>
          <w:szCs w:val="32"/>
          <w:highlight w:val="none"/>
        </w:rPr>
      </w:pPr>
      <w:r>
        <w:rPr>
          <w:rFonts w:hint="eastAsia" w:ascii="Times New Roman" w:hAnsi="仿宋_GB2312" w:eastAsia="仿宋_GB2312" w:cs="Times New Roman"/>
          <w:color w:val="auto"/>
          <w:sz w:val="32"/>
          <w:szCs w:val="32"/>
          <w:highlight w:val="none"/>
        </w:rPr>
        <w:t>乙方</w:t>
      </w:r>
      <w:r>
        <w:rPr>
          <w:rFonts w:hint="eastAsia" w:ascii="Times New Roman" w:hAnsi="仿宋_GB2312" w:eastAsia="仿宋_GB2312" w:cs="Times New Roman"/>
          <w:color w:val="auto"/>
          <w:sz w:val="32"/>
          <w:szCs w:val="32"/>
          <w:highlight w:val="none"/>
          <w:lang w:val="en-US" w:eastAsia="zh-CN"/>
        </w:rPr>
        <w:t>负责配合优化完善</w:t>
      </w:r>
      <w:r>
        <w:rPr>
          <w:rFonts w:hint="eastAsia" w:hAnsi="仿宋_GB2312" w:cs="Times New Roman"/>
          <w:color w:val="auto"/>
          <w:sz w:val="32"/>
          <w:szCs w:val="32"/>
          <w:highlight w:val="none"/>
          <w:lang w:val="en-US" w:eastAsia="zh-CN"/>
        </w:rPr>
        <w:t>崇左</w:t>
      </w:r>
      <w:r>
        <w:rPr>
          <w:rFonts w:hint="eastAsia" w:ascii="Times New Roman" w:hAnsi="仿宋_GB2312" w:eastAsia="仿宋_GB2312" w:cs="Times New Roman"/>
          <w:color w:val="auto"/>
          <w:sz w:val="32"/>
          <w:szCs w:val="32"/>
          <w:highlight w:val="none"/>
          <w:lang w:val="en-US" w:eastAsia="zh-CN"/>
        </w:rPr>
        <w:t>市新能源项目统一送出规划，不断优化主网架和配电网布局，</w:t>
      </w:r>
      <w:r>
        <w:rPr>
          <w:rFonts w:hint="eastAsia" w:ascii="Times New Roman" w:hAnsi="仿宋_GB2312" w:eastAsia="仿宋_GB2312" w:cs="Times New Roman"/>
          <w:color w:val="auto"/>
          <w:sz w:val="32"/>
          <w:szCs w:val="32"/>
          <w:highlight w:val="none"/>
          <w:lang w:eastAsia="zh-CN"/>
        </w:rPr>
        <w:t>优化</w:t>
      </w:r>
      <w:r>
        <w:rPr>
          <w:rFonts w:hint="eastAsia" w:ascii="Times New Roman" w:hAnsi="仿宋_GB2312" w:eastAsia="仿宋_GB2312" w:cs="Times New Roman"/>
          <w:color w:val="auto"/>
          <w:sz w:val="32"/>
          <w:szCs w:val="32"/>
          <w:highlight w:val="none"/>
        </w:rPr>
        <w:t>区域新能源</w:t>
      </w:r>
      <w:r>
        <w:rPr>
          <w:rFonts w:hint="eastAsia" w:ascii="Times New Roman" w:hAnsi="仿宋_GB2312" w:eastAsia="仿宋_GB2312" w:cs="Times New Roman"/>
          <w:color w:val="auto"/>
          <w:sz w:val="32"/>
          <w:szCs w:val="32"/>
          <w:highlight w:val="none"/>
          <w:lang w:val="en-US" w:eastAsia="zh-CN"/>
        </w:rPr>
        <w:t>接入系统布局</w:t>
      </w:r>
      <w:r>
        <w:rPr>
          <w:rFonts w:hint="eastAsia" w:ascii="Times New Roman" w:hAnsi="仿宋_GB2312" w:eastAsia="仿宋_GB2312" w:cs="Times New Roman"/>
          <w:color w:val="auto"/>
          <w:sz w:val="32"/>
          <w:szCs w:val="32"/>
          <w:highlight w:val="none"/>
        </w:rPr>
        <w:t>，提高新能源就地消纳</w:t>
      </w:r>
      <w:r>
        <w:rPr>
          <w:rFonts w:hint="eastAsia" w:hAnsi="仿宋_GB2312" w:cs="Times New Roman"/>
          <w:color w:val="auto"/>
          <w:sz w:val="32"/>
          <w:szCs w:val="32"/>
          <w:highlight w:val="none"/>
          <w:lang w:eastAsia="zh-CN"/>
        </w:rPr>
        <w:t>、</w:t>
      </w:r>
      <w:r>
        <w:rPr>
          <w:rFonts w:hint="eastAsia" w:ascii="Times New Roman" w:hAnsi="仿宋_GB2312" w:eastAsia="仿宋_GB2312" w:cs="Times New Roman"/>
          <w:color w:val="auto"/>
          <w:sz w:val="32"/>
          <w:szCs w:val="32"/>
          <w:highlight w:val="none"/>
        </w:rPr>
        <w:t>外送</w:t>
      </w:r>
      <w:r>
        <w:rPr>
          <w:rFonts w:hint="eastAsia" w:hAnsi="仿宋_GB2312" w:cs="Times New Roman"/>
          <w:color w:val="auto"/>
          <w:sz w:val="32"/>
          <w:szCs w:val="32"/>
          <w:highlight w:val="none"/>
          <w:lang w:val="en-US" w:eastAsia="zh-CN"/>
        </w:rPr>
        <w:t>和</w:t>
      </w:r>
      <w:r>
        <w:rPr>
          <w:rFonts w:hint="eastAsia" w:ascii="Times New Roman" w:hAnsi="仿宋_GB2312" w:eastAsia="仿宋_GB2312" w:cs="Times New Roman"/>
          <w:color w:val="auto"/>
          <w:sz w:val="32"/>
          <w:szCs w:val="32"/>
          <w:highlight w:val="none"/>
          <w:lang w:val="en-US" w:eastAsia="zh-CN"/>
        </w:rPr>
        <w:t>电网承载能力。</w:t>
      </w:r>
      <w:r>
        <w:rPr>
          <w:rFonts w:hint="eastAsia" w:ascii="Times New Roman" w:hAnsi="仿宋_GB2312" w:eastAsia="仿宋_GB2312" w:cs="Times New Roman"/>
          <w:color w:val="auto"/>
          <w:sz w:val="32"/>
          <w:szCs w:val="32"/>
          <w:highlight w:val="none"/>
          <w:lang w:eastAsia="zh-CN"/>
        </w:rPr>
        <w:t>完善</w:t>
      </w:r>
      <w:r>
        <w:rPr>
          <w:rFonts w:hint="eastAsia" w:ascii="Times New Roman" w:hAnsi="仿宋_GB2312" w:eastAsia="仿宋_GB2312" w:cs="Times New Roman"/>
          <w:color w:val="auto"/>
          <w:sz w:val="32"/>
          <w:szCs w:val="32"/>
          <w:highlight w:val="none"/>
        </w:rPr>
        <w:t>新能源项目并网</w:t>
      </w:r>
      <w:r>
        <w:rPr>
          <w:rFonts w:hint="eastAsia" w:ascii="Times New Roman" w:hAnsi="仿宋_GB2312" w:eastAsia="仿宋_GB2312" w:cs="Times New Roman"/>
          <w:color w:val="auto"/>
          <w:sz w:val="32"/>
          <w:szCs w:val="32"/>
          <w:highlight w:val="none"/>
          <w:lang w:val="en-US" w:eastAsia="zh-CN"/>
        </w:rPr>
        <w:t>服务流程</w:t>
      </w:r>
      <w:r>
        <w:rPr>
          <w:rFonts w:hint="eastAsia" w:ascii="Times New Roman" w:hAnsi="仿宋_GB2312" w:eastAsia="仿宋_GB2312" w:cs="Times New Roman"/>
          <w:color w:val="auto"/>
          <w:sz w:val="32"/>
          <w:szCs w:val="32"/>
          <w:highlight w:val="none"/>
        </w:rPr>
        <w:t>和送出工程建设</w:t>
      </w:r>
      <w:r>
        <w:rPr>
          <w:rFonts w:hint="eastAsia" w:ascii="Times New Roman" w:hAnsi="仿宋_GB2312" w:eastAsia="仿宋_GB2312" w:cs="Times New Roman"/>
          <w:color w:val="auto"/>
          <w:sz w:val="32"/>
          <w:szCs w:val="32"/>
          <w:highlight w:val="none"/>
          <w:lang w:val="en-US" w:eastAsia="zh-CN"/>
        </w:rPr>
        <w:t>程序</w:t>
      </w:r>
      <w:r>
        <w:rPr>
          <w:rFonts w:hint="eastAsia" w:ascii="Times New Roman" w:hAnsi="仿宋_GB2312" w:eastAsia="仿宋_GB2312" w:cs="Times New Roman"/>
          <w:color w:val="auto"/>
          <w:sz w:val="32"/>
          <w:szCs w:val="32"/>
          <w:highlight w:val="none"/>
        </w:rPr>
        <w:t>，简化审批环节，加大新能源送出工程投资力度</w:t>
      </w:r>
      <w:r>
        <w:rPr>
          <w:rFonts w:hint="eastAsia" w:hAnsi="仿宋_GB2312" w:cs="Times New Roman"/>
          <w:color w:val="auto"/>
          <w:sz w:val="32"/>
          <w:szCs w:val="32"/>
          <w:highlight w:val="none"/>
          <w:lang w:eastAsia="zh-CN"/>
        </w:rPr>
        <w:t>，</w:t>
      </w:r>
      <w:r>
        <w:rPr>
          <w:rFonts w:hint="eastAsia" w:hAnsi="仿宋_GB2312" w:cs="Times New Roman"/>
          <w:color w:val="auto"/>
          <w:sz w:val="32"/>
          <w:szCs w:val="32"/>
          <w:highlight w:val="none"/>
          <w:lang w:val="en-US" w:eastAsia="zh-CN"/>
        </w:rPr>
        <w:t>采取敏捷举措加快工程建设</w:t>
      </w:r>
      <w:r>
        <w:rPr>
          <w:rFonts w:hint="eastAsia" w:ascii="Times New Roman" w:hAnsi="仿宋_GB2312" w:eastAsia="仿宋_GB2312" w:cs="Times New Roman"/>
          <w:color w:val="auto"/>
          <w:sz w:val="32"/>
          <w:szCs w:val="32"/>
          <w:highlight w:val="none"/>
        </w:rPr>
        <w:t>。</w:t>
      </w:r>
    </w:p>
    <w:p>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outlineLvl w:val="0"/>
        <w:rPr>
          <w:rFonts w:hint="default" w:ascii="Times New Roman" w:hAnsi="Times New Roman" w:eastAsia="楷体_GB2312" w:cs="Times New Roman"/>
          <w:snapToGrid w:val="0"/>
          <w:color w:val="auto"/>
          <w:kern w:val="0"/>
          <w:highlight w:val="none"/>
          <w:lang w:val="en-US" w:eastAsia="zh-CN"/>
        </w:rPr>
      </w:pPr>
      <w:r>
        <w:rPr>
          <w:rFonts w:hint="eastAsia" w:ascii="Times New Roman" w:hAnsi="Times New Roman" w:eastAsia="楷体_GB2312" w:cs="Times New Roman"/>
          <w:snapToGrid w:val="0"/>
          <w:color w:val="auto"/>
          <w:kern w:val="0"/>
          <w:highlight w:val="none"/>
        </w:rPr>
        <w:t>（</w:t>
      </w:r>
      <w:r>
        <w:rPr>
          <w:rFonts w:hint="eastAsia" w:ascii="Times New Roman" w:hAnsi="Times New Roman" w:eastAsia="楷体_GB2312" w:cs="Times New Roman"/>
          <w:snapToGrid w:val="0"/>
          <w:color w:val="auto"/>
          <w:kern w:val="0"/>
          <w:highlight w:val="none"/>
          <w:lang w:val="en-US" w:eastAsia="zh-CN"/>
        </w:rPr>
        <w:t>三</w:t>
      </w:r>
      <w:r>
        <w:rPr>
          <w:rFonts w:hint="eastAsia" w:ascii="Times New Roman" w:hAnsi="Times New Roman" w:eastAsia="楷体_GB2312" w:cs="Times New Roman"/>
          <w:snapToGrid w:val="0"/>
          <w:color w:val="auto"/>
          <w:kern w:val="0"/>
          <w:highlight w:val="none"/>
        </w:rPr>
        <w:t>）加大</w:t>
      </w:r>
      <w:r>
        <w:rPr>
          <w:rFonts w:hint="eastAsia" w:ascii="Times New Roman" w:hAnsi="Times New Roman" w:eastAsia="楷体_GB2312" w:cs="Times New Roman"/>
          <w:snapToGrid w:val="0"/>
          <w:color w:val="auto"/>
          <w:kern w:val="0"/>
          <w:highlight w:val="none"/>
          <w:lang w:val="en-US" w:eastAsia="zh-CN"/>
        </w:rPr>
        <w:t>电网</w:t>
      </w:r>
      <w:r>
        <w:rPr>
          <w:rFonts w:hint="eastAsia" w:ascii="Times New Roman" w:hAnsi="Times New Roman" w:eastAsia="楷体_GB2312" w:cs="Times New Roman"/>
          <w:snapToGrid w:val="0"/>
          <w:color w:val="auto"/>
          <w:kern w:val="0"/>
          <w:highlight w:val="none"/>
        </w:rPr>
        <w:t>投资</w:t>
      </w:r>
      <w:r>
        <w:rPr>
          <w:rFonts w:hint="eastAsia" w:ascii="Times New Roman" w:hAnsi="Times New Roman" w:eastAsia="楷体_GB2312" w:cs="Times New Roman"/>
          <w:snapToGrid w:val="0"/>
          <w:color w:val="auto"/>
          <w:kern w:val="0"/>
          <w:highlight w:val="none"/>
          <w:lang w:eastAsia="zh-CN"/>
        </w:rPr>
        <w:t>建设</w:t>
      </w:r>
      <w:r>
        <w:rPr>
          <w:rFonts w:hint="eastAsia" w:ascii="Times New Roman" w:hAnsi="Times New Roman" w:eastAsia="楷体_GB2312" w:cs="Times New Roman"/>
          <w:snapToGrid w:val="0"/>
          <w:color w:val="auto"/>
          <w:kern w:val="0"/>
          <w:highlight w:val="none"/>
        </w:rPr>
        <w:t>力度</w:t>
      </w:r>
      <w:r>
        <w:rPr>
          <w:rFonts w:hint="eastAsia" w:eastAsia="楷体_GB2312" w:cs="Times New Roman"/>
          <w:snapToGrid w:val="0"/>
          <w:color w:val="auto"/>
          <w:kern w:val="0"/>
          <w:highlight w:val="none"/>
          <w:lang w:eastAsia="zh-CN"/>
        </w:rPr>
        <w:t>，</w:t>
      </w:r>
      <w:r>
        <w:rPr>
          <w:rFonts w:hint="eastAsia" w:eastAsia="楷体_GB2312" w:cs="Times New Roman"/>
          <w:snapToGrid w:val="0"/>
          <w:color w:val="auto"/>
          <w:kern w:val="0"/>
          <w:highlight w:val="none"/>
          <w:lang w:val="en-US" w:eastAsia="zh-CN"/>
        </w:rPr>
        <w:t>补齐供电短板</w:t>
      </w:r>
    </w:p>
    <w:p>
      <w:pPr>
        <w:keepNext w:val="0"/>
        <w:keepLines w:val="0"/>
        <w:pageBreakBefore w:val="0"/>
        <w:numPr>
          <w:ilvl w:val="0"/>
          <w:numId w:val="0"/>
        </w:numPr>
        <w:kinsoku/>
        <w:wordWrap/>
        <w:overflowPunct/>
        <w:topLinePunct w:val="0"/>
        <w:autoSpaceDE/>
        <w:autoSpaceDN/>
        <w:bidi w:val="0"/>
        <w:spacing w:line="58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val="en-US" w:eastAsia="zh-CN"/>
        </w:rPr>
        <w:t>乙方</w:t>
      </w:r>
      <w:r>
        <w:rPr>
          <w:rFonts w:hint="eastAsia" w:ascii="仿宋_GB2312" w:hAnsi="仿宋_GB2312" w:eastAsia="仿宋_GB2312" w:cs="仿宋_GB2312"/>
          <w:color w:val="auto"/>
          <w:sz w:val="32"/>
          <w:szCs w:val="32"/>
          <w:highlight w:val="none"/>
        </w:rPr>
        <w:t>加大</w:t>
      </w:r>
      <w:r>
        <w:rPr>
          <w:rFonts w:hint="eastAsia" w:ascii="仿宋_GB2312" w:hAnsi="仿宋_GB2312" w:cs="仿宋_GB2312"/>
          <w:color w:val="auto"/>
          <w:sz w:val="32"/>
          <w:szCs w:val="32"/>
          <w:highlight w:val="none"/>
          <w:lang w:val="en-US" w:eastAsia="zh-CN"/>
        </w:rPr>
        <w:t>对崇左市</w:t>
      </w:r>
      <w:r>
        <w:rPr>
          <w:rFonts w:hint="eastAsia" w:ascii="仿宋_GB2312" w:hAnsi="仿宋_GB2312" w:eastAsia="仿宋_GB2312" w:cs="仿宋_GB2312"/>
          <w:color w:val="auto"/>
          <w:sz w:val="32"/>
          <w:szCs w:val="32"/>
          <w:highlight w:val="none"/>
        </w:rPr>
        <w:t>电网投资</w:t>
      </w:r>
      <w:r>
        <w:rPr>
          <w:rFonts w:hint="eastAsia" w:ascii="仿宋_GB2312" w:hAnsi="仿宋_GB2312" w:cs="仿宋_GB2312"/>
          <w:color w:val="auto"/>
          <w:sz w:val="32"/>
          <w:szCs w:val="32"/>
          <w:highlight w:val="none"/>
          <w:lang w:val="en-US" w:eastAsia="zh-CN"/>
        </w:rPr>
        <w:t>建设支持力度</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cs="仿宋_GB2312"/>
          <w:color w:val="auto"/>
          <w:sz w:val="32"/>
          <w:szCs w:val="32"/>
          <w:highlight w:val="none"/>
          <w:lang w:eastAsia="zh-CN"/>
        </w:rPr>
        <w:t>“</w:t>
      </w:r>
      <w:r>
        <w:rPr>
          <w:rFonts w:hint="eastAsia" w:ascii="仿宋_GB2312" w:hAnsi="仿宋_GB2312" w:cs="仿宋_GB2312"/>
          <w:color w:val="auto"/>
          <w:sz w:val="32"/>
          <w:szCs w:val="32"/>
          <w:highlight w:val="none"/>
          <w:lang w:val="en-US" w:eastAsia="zh-CN"/>
        </w:rPr>
        <w:t>十五五</w:t>
      </w:r>
      <w:r>
        <w:rPr>
          <w:rFonts w:hint="eastAsia" w:ascii="仿宋_GB2312" w:hAnsi="仿宋_GB2312" w:cs="仿宋_GB2312"/>
          <w:color w:val="auto"/>
          <w:sz w:val="32"/>
          <w:szCs w:val="32"/>
          <w:highlight w:val="none"/>
          <w:lang w:eastAsia="zh-CN"/>
        </w:rPr>
        <w:t>”</w:t>
      </w:r>
      <w:r>
        <w:rPr>
          <w:rFonts w:hint="eastAsia" w:ascii="仿宋_GB2312" w:hAnsi="仿宋_GB2312" w:cs="仿宋_GB2312"/>
          <w:color w:val="auto"/>
          <w:sz w:val="32"/>
          <w:szCs w:val="32"/>
          <w:highlight w:val="none"/>
          <w:lang w:val="en-US" w:eastAsia="zh-CN"/>
        </w:rPr>
        <w:t>期间在崇左市固定资产投资达到30亿元以上。结合崇左电厂一期、崇左电厂二期等大型能源项目落地，借助500千伏白龙核电接入系统工程、500千伏崇左电厂二期接入系统工程、500千伏宁明抽水蓄能接入系统工程等重大项目开展，提前谋划500千伏崇左二站建设，项目落地后可完善崇左主网架，支撑崇左大电源送出，形成双500千伏电源主网架，全面化解我市大面积停电风险，加固崇左边境县域220千伏网架，满足中越跨境电力合作电网建设需求</w:t>
      </w:r>
      <w:r>
        <w:rPr>
          <w:rFonts w:hint="default" w:ascii="Times New Roman" w:hAnsi="Times New Roman" w:cs="Times New Roman"/>
          <w:snapToGrid w:val="0"/>
          <w:color w:val="auto"/>
          <w:kern w:val="0"/>
          <w:highlight w:val="none"/>
          <w:lang w:val="en-US" w:eastAsia="zh-CN"/>
        </w:rPr>
        <w:t>，</w:t>
      </w:r>
      <w:r>
        <w:rPr>
          <w:rFonts w:hint="eastAsia" w:hAnsi="仿宋_GB2312"/>
          <w:color w:val="auto"/>
          <w:sz w:val="32"/>
          <w:szCs w:val="32"/>
          <w:highlight w:val="none"/>
          <w:lang w:eastAsia="zh-CN"/>
        </w:rPr>
        <w:t>同时坚持不懈的推进我市农村电网巩固提升，着力解决县域大面积停电风险，</w:t>
      </w:r>
      <w:r>
        <w:rPr>
          <w:rFonts w:hint="eastAsia" w:hAnsi="仿宋_GB2312" w:eastAsia="仿宋_GB2312"/>
          <w:color w:val="auto"/>
          <w:sz w:val="32"/>
          <w:szCs w:val="32"/>
          <w:highlight w:val="none"/>
        </w:rPr>
        <w:t>全面提升</w:t>
      </w:r>
      <w:r>
        <w:rPr>
          <w:rFonts w:hint="eastAsia" w:hAnsi="仿宋_GB2312"/>
          <w:color w:val="auto"/>
          <w:sz w:val="32"/>
          <w:szCs w:val="32"/>
          <w:highlight w:val="none"/>
          <w:lang w:eastAsia="zh-CN"/>
        </w:rPr>
        <w:t>我市</w:t>
      </w:r>
      <w:r>
        <w:rPr>
          <w:rFonts w:hint="eastAsia" w:hAnsi="仿宋_GB2312" w:eastAsia="仿宋_GB2312"/>
          <w:color w:val="auto"/>
          <w:sz w:val="32"/>
          <w:szCs w:val="32"/>
          <w:highlight w:val="none"/>
        </w:rPr>
        <w:t>电网供电保障能力。落实《关于推进以县城为重要载体的城镇化建设的意见》</w:t>
      </w:r>
      <w:r>
        <w:rPr>
          <w:rFonts w:hint="eastAsia" w:hAnsi="仿宋_GB2312"/>
          <w:color w:val="auto"/>
          <w:sz w:val="32"/>
          <w:szCs w:val="32"/>
          <w:highlight w:val="none"/>
          <w:lang w:val="en-US" w:eastAsia="zh-CN"/>
        </w:rPr>
        <w:t>等文件</w:t>
      </w:r>
      <w:r>
        <w:rPr>
          <w:rFonts w:hint="eastAsia" w:hAnsi="仿宋_GB2312" w:eastAsia="仿宋_GB2312"/>
          <w:color w:val="auto"/>
          <w:sz w:val="32"/>
          <w:szCs w:val="32"/>
          <w:highlight w:val="none"/>
        </w:rPr>
        <w:t>要求，加大</w:t>
      </w:r>
      <w:r>
        <w:rPr>
          <w:rFonts w:hint="eastAsia" w:hAnsi="仿宋_GB2312"/>
          <w:color w:val="auto"/>
          <w:sz w:val="32"/>
          <w:szCs w:val="32"/>
          <w:highlight w:val="none"/>
          <w:lang w:val="en-US" w:eastAsia="zh-CN"/>
        </w:rPr>
        <w:t>崇左市</w:t>
      </w:r>
      <w:r>
        <w:rPr>
          <w:rFonts w:hint="eastAsia" w:hAnsi="仿宋_GB2312" w:eastAsia="仿宋_GB2312"/>
          <w:color w:val="auto"/>
          <w:sz w:val="32"/>
          <w:szCs w:val="32"/>
          <w:highlight w:val="none"/>
        </w:rPr>
        <w:t>各县（市</w:t>
      </w:r>
      <w:r>
        <w:rPr>
          <w:rFonts w:hint="eastAsia" w:hAnsi="仿宋_GB2312"/>
          <w:color w:val="auto"/>
          <w:sz w:val="32"/>
          <w:szCs w:val="32"/>
          <w:highlight w:val="none"/>
          <w:lang w:eastAsia="zh-CN"/>
        </w:rPr>
        <w:t>、</w:t>
      </w:r>
      <w:r>
        <w:rPr>
          <w:rFonts w:hint="eastAsia" w:hAnsi="仿宋_GB2312"/>
          <w:color w:val="auto"/>
          <w:sz w:val="32"/>
          <w:szCs w:val="32"/>
          <w:highlight w:val="none"/>
          <w:lang w:val="en-US" w:eastAsia="zh-CN"/>
        </w:rPr>
        <w:t>区</w:t>
      </w:r>
      <w:r>
        <w:rPr>
          <w:rFonts w:hint="eastAsia" w:hAnsi="仿宋_GB2312" w:eastAsia="仿宋_GB2312"/>
          <w:color w:val="auto"/>
          <w:sz w:val="32"/>
          <w:szCs w:val="32"/>
          <w:highlight w:val="none"/>
        </w:rPr>
        <w:t>）</w:t>
      </w:r>
      <w:r>
        <w:rPr>
          <w:rFonts w:hint="eastAsia" w:hAnsi="仿宋_GB2312"/>
          <w:color w:val="auto"/>
          <w:sz w:val="32"/>
          <w:szCs w:val="32"/>
          <w:highlight w:val="none"/>
          <w:lang w:val="en-US" w:eastAsia="zh-CN"/>
        </w:rPr>
        <w:t>配</w:t>
      </w:r>
      <w:r>
        <w:rPr>
          <w:rFonts w:hint="eastAsia" w:hAnsi="仿宋_GB2312" w:eastAsia="仿宋_GB2312"/>
          <w:color w:val="auto"/>
          <w:sz w:val="32"/>
          <w:szCs w:val="32"/>
          <w:highlight w:val="none"/>
        </w:rPr>
        <w:t>电网改造升级力度，</w:t>
      </w:r>
      <w:r>
        <w:rPr>
          <w:rFonts w:hint="eastAsia" w:hAnsi="仿宋_GB2312"/>
          <w:color w:val="auto"/>
          <w:sz w:val="32"/>
          <w:szCs w:val="32"/>
          <w:highlight w:val="none"/>
          <w:lang w:val="en-US" w:eastAsia="zh-CN"/>
        </w:rPr>
        <w:t>特别是</w:t>
      </w:r>
      <w:r>
        <w:rPr>
          <w:rFonts w:hint="default" w:ascii="Times New Roman" w:hAnsi="Times New Roman" w:cs="Times New Roman"/>
          <w:snapToGrid w:val="0"/>
          <w:color w:val="auto"/>
          <w:kern w:val="0"/>
          <w:highlight w:val="none"/>
          <w:lang w:val="en-US" w:eastAsia="zh-CN"/>
        </w:rPr>
        <w:t>加</w:t>
      </w:r>
      <w:r>
        <w:rPr>
          <w:rFonts w:hint="eastAsia" w:cs="Times New Roman"/>
          <w:snapToGrid w:val="0"/>
          <w:color w:val="auto"/>
          <w:kern w:val="0"/>
          <w:highlight w:val="none"/>
          <w:lang w:val="en-US" w:eastAsia="zh-CN"/>
        </w:rPr>
        <w:t>大崇左所属县域电网倾斜支持力度</w:t>
      </w:r>
      <w:r>
        <w:rPr>
          <w:rFonts w:hint="default" w:ascii="Times New Roman" w:hAnsi="Times New Roman" w:cs="Times New Roman"/>
          <w:snapToGrid w:val="0"/>
          <w:color w:val="auto"/>
          <w:kern w:val="0"/>
          <w:highlight w:val="none"/>
          <w:lang w:val="en-US" w:eastAsia="zh-CN"/>
        </w:rPr>
        <w:t>，尽快补齐电网短板，解决县域历史遗留的不平衡</w:t>
      </w:r>
      <w:r>
        <w:rPr>
          <w:rFonts w:hint="eastAsia" w:cs="Times New Roman"/>
          <w:snapToGrid w:val="0"/>
          <w:color w:val="auto"/>
          <w:kern w:val="0"/>
          <w:highlight w:val="none"/>
          <w:lang w:val="en-US" w:eastAsia="zh-CN"/>
        </w:rPr>
        <w:t>不充分</w:t>
      </w:r>
      <w:r>
        <w:rPr>
          <w:rFonts w:hint="default" w:ascii="Times New Roman" w:hAnsi="Times New Roman" w:cs="Times New Roman"/>
          <w:snapToGrid w:val="0"/>
          <w:color w:val="auto"/>
          <w:kern w:val="0"/>
          <w:highlight w:val="none"/>
          <w:lang w:val="en-US" w:eastAsia="zh-CN"/>
        </w:rPr>
        <w:t>问题</w:t>
      </w:r>
      <w:r>
        <w:rPr>
          <w:rFonts w:hint="eastAsia" w:ascii="Times New Roman" w:hAnsi="Times New Roman" w:cs="Times New Roman"/>
          <w:snapToGrid w:val="0"/>
          <w:color w:val="auto"/>
          <w:kern w:val="0"/>
          <w:highlight w:val="none"/>
          <w:lang w:val="en-US" w:eastAsia="zh-CN"/>
        </w:rPr>
        <w:t>。</w:t>
      </w:r>
      <w:r>
        <w:rPr>
          <w:rFonts w:hint="eastAsia" w:hAnsi="仿宋_GB2312" w:eastAsia="仿宋_GB2312"/>
          <w:color w:val="auto"/>
          <w:sz w:val="32"/>
          <w:szCs w:val="32"/>
          <w:highlight w:val="none"/>
        </w:rPr>
        <w:t>高标准建设城市及农村配电网，全面提升配网智能化水平，实现配电自动化及配网通信全覆盖</w:t>
      </w:r>
      <w:r>
        <w:rPr>
          <w:rFonts w:hint="eastAsia" w:hAnsi="仿宋_GB2312"/>
          <w:color w:val="auto"/>
          <w:sz w:val="32"/>
          <w:szCs w:val="32"/>
          <w:highlight w:val="none"/>
          <w:lang w:eastAsia="zh-CN"/>
        </w:rPr>
        <w:t>。</w:t>
      </w:r>
      <w:r>
        <w:rPr>
          <w:rFonts w:hint="eastAsia" w:hAnsi="仿宋_GB2312" w:eastAsia="仿宋_GB2312"/>
          <w:color w:val="auto"/>
          <w:sz w:val="32"/>
          <w:szCs w:val="32"/>
          <w:highlight w:val="none"/>
        </w:rPr>
        <w:t>到</w:t>
      </w:r>
      <w:r>
        <w:rPr>
          <w:rFonts w:hAnsi="仿宋_GB2312" w:eastAsia="仿宋_GB2312"/>
          <w:color w:val="auto"/>
          <w:sz w:val="32"/>
          <w:szCs w:val="32"/>
          <w:highlight w:val="none"/>
        </w:rPr>
        <w:t>20</w:t>
      </w:r>
      <w:r>
        <w:rPr>
          <w:rFonts w:hint="eastAsia" w:hAnsi="仿宋_GB2312" w:eastAsia="仿宋_GB2312"/>
          <w:color w:val="auto"/>
          <w:sz w:val="32"/>
          <w:szCs w:val="32"/>
          <w:highlight w:val="none"/>
          <w:lang w:val="en-US" w:eastAsia="zh-CN"/>
        </w:rPr>
        <w:t>30</w:t>
      </w:r>
      <w:r>
        <w:rPr>
          <w:rFonts w:hint="eastAsia" w:hAnsi="仿宋_GB2312" w:eastAsia="仿宋_GB2312"/>
          <w:color w:val="auto"/>
          <w:sz w:val="32"/>
          <w:szCs w:val="32"/>
          <w:highlight w:val="none"/>
        </w:rPr>
        <w:t>年</w:t>
      </w:r>
      <w:r>
        <w:rPr>
          <w:rFonts w:hint="eastAsia" w:hAnsi="仿宋_GB2312"/>
          <w:color w:val="auto"/>
          <w:sz w:val="32"/>
          <w:szCs w:val="32"/>
          <w:highlight w:val="none"/>
          <w:lang w:val="en-US" w:eastAsia="zh-CN"/>
        </w:rPr>
        <w:t>崇左</w:t>
      </w:r>
      <w:r>
        <w:rPr>
          <w:rFonts w:hint="eastAsia" w:hAnsi="仿宋_GB2312" w:eastAsia="仿宋_GB2312"/>
          <w:color w:val="auto"/>
          <w:sz w:val="32"/>
          <w:szCs w:val="32"/>
          <w:highlight w:val="none"/>
        </w:rPr>
        <w:t>市</w:t>
      </w:r>
      <w:r>
        <w:rPr>
          <w:rFonts w:hint="eastAsia" w:hAnsi="仿宋_GB2312"/>
          <w:color w:val="auto"/>
          <w:sz w:val="32"/>
          <w:szCs w:val="32"/>
          <w:highlight w:val="none"/>
          <w:lang w:val="en-US" w:eastAsia="zh-CN"/>
        </w:rPr>
        <w:t>配网</w:t>
      </w:r>
      <w:r>
        <w:rPr>
          <w:rFonts w:hint="eastAsia" w:hAnsi="仿宋_GB2312" w:eastAsia="仿宋_GB2312"/>
          <w:color w:val="auto"/>
          <w:sz w:val="32"/>
          <w:szCs w:val="32"/>
          <w:highlight w:val="none"/>
        </w:rPr>
        <w:t>供电可靠率达到</w:t>
      </w:r>
      <w:r>
        <w:rPr>
          <w:rFonts w:hint="eastAsia" w:hAnsi="仿宋_GB2312"/>
          <w:color w:val="auto"/>
          <w:sz w:val="32"/>
          <w:szCs w:val="32"/>
          <w:highlight w:val="none"/>
          <w:lang w:val="en-US" w:eastAsia="zh-CN"/>
        </w:rPr>
        <w:t>99.95</w:t>
      </w:r>
      <w:r>
        <w:rPr>
          <w:rFonts w:hAnsi="仿宋_GB2312" w:eastAsia="仿宋_GB2312"/>
          <w:color w:val="auto"/>
          <w:sz w:val="32"/>
          <w:szCs w:val="32"/>
          <w:highlight w:val="none"/>
        </w:rPr>
        <w:t>%(</w:t>
      </w:r>
      <w:r>
        <w:rPr>
          <w:rFonts w:hint="eastAsia" w:hAnsi="仿宋_GB2312" w:eastAsia="仿宋_GB2312"/>
          <w:color w:val="auto"/>
          <w:sz w:val="32"/>
          <w:szCs w:val="32"/>
          <w:highlight w:val="none"/>
        </w:rPr>
        <w:t>客户平均停电时间低于</w:t>
      </w:r>
      <w:r>
        <w:rPr>
          <w:rFonts w:hint="eastAsia" w:hAnsi="仿宋_GB2312"/>
          <w:color w:val="auto"/>
          <w:sz w:val="32"/>
          <w:szCs w:val="32"/>
          <w:highlight w:val="none"/>
          <w:lang w:val="en-US" w:eastAsia="zh-CN"/>
        </w:rPr>
        <w:t>4</w:t>
      </w:r>
      <w:r>
        <w:rPr>
          <w:rFonts w:hint="eastAsia" w:hAnsi="仿宋_GB2312" w:eastAsia="仿宋_GB2312"/>
          <w:color w:val="auto"/>
          <w:sz w:val="32"/>
          <w:szCs w:val="32"/>
          <w:highlight w:val="none"/>
        </w:rPr>
        <w:t>小时</w:t>
      </w:r>
      <w:r>
        <w:rPr>
          <w:rFonts w:hAnsi="仿宋_GB2312" w:eastAsia="仿宋_GB2312"/>
          <w:color w:val="auto"/>
          <w:sz w:val="32"/>
          <w:szCs w:val="32"/>
          <w:highlight w:val="none"/>
        </w:rPr>
        <w:t>)</w:t>
      </w:r>
      <w:r>
        <w:rPr>
          <w:rFonts w:hint="eastAsia" w:hAnsi="仿宋_GB2312"/>
          <w:color w:val="auto"/>
          <w:sz w:val="32"/>
          <w:szCs w:val="32"/>
          <w:highlight w:val="none"/>
          <w:lang w:eastAsia="zh-CN"/>
        </w:rPr>
        <w:t>，</w:t>
      </w:r>
      <w:r>
        <w:rPr>
          <w:rFonts w:hint="eastAsia" w:hAnsi="仿宋_GB2312"/>
          <w:color w:val="auto"/>
          <w:sz w:val="32"/>
          <w:szCs w:val="32"/>
          <w:highlight w:val="none"/>
          <w:lang w:val="en-US" w:eastAsia="zh-CN"/>
        </w:rPr>
        <w:t>综合电压合规率达到99.9%，户均配变容量不低于2.95千伏安</w:t>
      </w:r>
      <w:r>
        <w:rPr>
          <w:rFonts w:hint="eastAsia" w:ascii="仿宋_GB2312" w:hAnsi="仿宋_GB2312" w:eastAsia="仿宋_GB2312" w:cs="仿宋_GB2312"/>
          <w:color w:val="auto"/>
          <w:sz w:val="32"/>
          <w:szCs w:val="32"/>
          <w:highlight w:val="none"/>
        </w:rPr>
        <w:t>。</w:t>
      </w:r>
    </w:p>
    <w:p>
      <w:pPr>
        <w:keepNext w:val="0"/>
        <w:keepLines w:val="0"/>
        <w:pageBreakBefore w:val="0"/>
        <w:kinsoku/>
        <w:wordWrap/>
        <w:overflowPunct/>
        <w:topLinePunct w:val="0"/>
        <w:autoSpaceDE/>
        <w:autoSpaceDN/>
        <w:bidi w:val="0"/>
        <w:adjustRightInd w:val="0"/>
        <w:snapToGrid w:val="0"/>
        <w:spacing w:line="580" w:lineRule="exact"/>
        <w:ind w:firstLine="640" w:firstLineChars="200"/>
        <w:textAlignment w:val="auto"/>
        <w:outlineLvl w:val="0"/>
        <w:rPr>
          <w:rFonts w:hint="default" w:ascii="Times New Roman" w:hAnsi="Times New Roman" w:eastAsia="楷体_GB2312" w:cs="Times New Roman"/>
          <w:snapToGrid w:val="0"/>
          <w:color w:val="auto"/>
          <w:kern w:val="0"/>
          <w:highlight w:val="none"/>
          <w:lang w:eastAsia="zh-CN"/>
        </w:rPr>
      </w:pPr>
      <w:r>
        <w:rPr>
          <w:rFonts w:hint="default" w:ascii="Times New Roman" w:hAnsi="Times New Roman" w:eastAsia="楷体_GB2312" w:cs="Times New Roman"/>
          <w:snapToGrid w:val="0"/>
          <w:color w:val="auto"/>
          <w:kern w:val="0"/>
          <w:highlight w:val="none"/>
        </w:rPr>
        <w:t>（</w:t>
      </w:r>
      <w:r>
        <w:rPr>
          <w:rFonts w:hint="eastAsia" w:ascii="Times New Roman" w:hAnsi="Times New Roman" w:eastAsia="楷体_GB2312" w:cs="Times New Roman"/>
          <w:snapToGrid w:val="0"/>
          <w:color w:val="auto"/>
          <w:kern w:val="0"/>
          <w:highlight w:val="none"/>
          <w:lang w:val="en-US" w:eastAsia="zh-CN"/>
        </w:rPr>
        <w:t>四</w:t>
      </w:r>
      <w:r>
        <w:rPr>
          <w:rFonts w:hint="default" w:ascii="Times New Roman" w:hAnsi="Times New Roman" w:eastAsia="楷体_GB2312" w:cs="Times New Roman"/>
          <w:snapToGrid w:val="0"/>
          <w:color w:val="auto"/>
          <w:kern w:val="0"/>
          <w:highlight w:val="none"/>
        </w:rPr>
        <w:t>）</w:t>
      </w:r>
      <w:r>
        <w:rPr>
          <w:rFonts w:hint="eastAsia" w:ascii="Times New Roman" w:hAnsi="Times New Roman" w:eastAsia="楷体_GB2312" w:cs="Times New Roman"/>
          <w:snapToGrid w:val="0"/>
          <w:color w:val="auto"/>
          <w:kern w:val="0"/>
          <w:highlight w:val="none"/>
          <w:lang w:val="en-US" w:eastAsia="zh-CN"/>
        </w:rPr>
        <w:t>支持</w:t>
      </w:r>
      <w:r>
        <w:rPr>
          <w:rFonts w:hint="default" w:ascii="Times New Roman" w:hAnsi="Times New Roman" w:eastAsia="楷体_GB2312" w:cs="Times New Roman"/>
          <w:snapToGrid w:val="0"/>
          <w:color w:val="auto"/>
          <w:kern w:val="0"/>
          <w:highlight w:val="none"/>
          <w:lang w:eastAsia="zh-CN"/>
        </w:rPr>
        <w:t>源网荷储一体化</w:t>
      </w:r>
      <w:r>
        <w:rPr>
          <w:rFonts w:hint="eastAsia" w:ascii="Times New Roman" w:hAnsi="Times New Roman" w:eastAsia="楷体_GB2312" w:cs="Times New Roman"/>
          <w:snapToGrid w:val="0"/>
          <w:color w:val="auto"/>
          <w:kern w:val="0"/>
          <w:highlight w:val="none"/>
          <w:lang w:val="en-US" w:eastAsia="zh-CN"/>
        </w:rPr>
        <w:t>和绿电直连等</w:t>
      </w:r>
      <w:r>
        <w:rPr>
          <w:rFonts w:hint="default" w:ascii="Times New Roman" w:hAnsi="Times New Roman" w:eastAsia="楷体_GB2312" w:cs="Times New Roman"/>
          <w:snapToGrid w:val="0"/>
          <w:color w:val="auto"/>
          <w:kern w:val="0"/>
          <w:highlight w:val="none"/>
          <w:lang w:eastAsia="zh-CN"/>
        </w:rPr>
        <w:t>电网新业态协同发展</w:t>
      </w:r>
    </w:p>
    <w:p>
      <w:pPr>
        <w:pStyle w:val="2"/>
        <w:ind w:firstLine="640" w:firstLineChars="200"/>
        <w:rPr>
          <w:rFonts w:hint="default"/>
          <w:color w:val="auto"/>
          <w:highlight w:val="none"/>
          <w:lang w:eastAsia="zh-CN"/>
        </w:rPr>
      </w:pPr>
      <w:r>
        <w:rPr>
          <w:rFonts w:hint="default"/>
          <w:color w:val="auto"/>
          <w:highlight w:val="none"/>
          <w:lang w:eastAsia="zh-CN"/>
        </w:rPr>
        <w:t>甲方统筹加强电网统一规划建设，优化主配网与源网荷储一体化项目、绿电直连项目等新型经营主体协同发展格局，在地市相关电力发展规划中考虑新型经营主体与主干电网充分耦合，形成各电压等级、各市场主体界面清晰、功能互补的电网有机整体。</w:t>
      </w:r>
    </w:p>
    <w:p>
      <w:pPr>
        <w:pStyle w:val="2"/>
        <w:ind w:firstLine="640" w:firstLineChars="200"/>
        <w:rPr>
          <w:rFonts w:hint="default"/>
          <w:color w:val="auto"/>
          <w:highlight w:val="none"/>
          <w:lang w:eastAsia="zh-CN"/>
        </w:rPr>
      </w:pPr>
      <w:r>
        <w:rPr>
          <w:rFonts w:hint="default"/>
          <w:color w:val="auto"/>
          <w:highlight w:val="none"/>
          <w:lang w:eastAsia="zh-CN"/>
        </w:rPr>
        <w:t>乙方将严格落实国家电力领域公平开放监管办法要求，依法依规开展新型经营主体并网服务工作，保障并网主体公平享有平等接入权、自主选择权、信息知情权。并通过优化网架结构、合理布局电源、严格稳定校核等措施，有序化解新型经营主体低电压、弱联系并网等结构性风险，为源网荷储一体化和绿电直连试点等新型经营主体安全稳定运行提供坚实保障。</w:t>
      </w:r>
    </w:p>
    <w:p>
      <w:pPr>
        <w:keepNext w:val="0"/>
        <w:keepLines w:val="0"/>
        <w:pageBreakBefore w:val="0"/>
        <w:kinsoku/>
        <w:wordWrap/>
        <w:overflowPunct/>
        <w:topLinePunct w:val="0"/>
        <w:autoSpaceDE/>
        <w:autoSpaceDN/>
        <w:bidi w:val="0"/>
        <w:spacing w:line="580" w:lineRule="exact"/>
        <w:ind w:firstLine="640" w:firstLineChars="200"/>
        <w:textAlignment w:val="auto"/>
        <w:rPr>
          <w:rFonts w:hint="default" w:ascii="Times New Roman" w:hAnsi="Times New Roman" w:eastAsia="楷体_GB2312" w:cs="Times New Roman"/>
          <w:snapToGrid w:val="0"/>
          <w:color w:val="auto"/>
          <w:kern w:val="0"/>
          <w:highlight w:val="none"/>
        </w:rPr>
      </w:pPr>
      <w:r>
        <w:rPr>
          <w:rFonts w:hint="default" w:ascii="Times New Roman" w:hAnsi="Times New Roman" w:eastAsia="楷体_GB2312" w:cs="Times New Roman"/>
          <w:snapToGrid w:val="0"/>
          <w:color w:val="auto"/>
          <w:kern w:val="0"/>
          <w:highlight w:val="none"/>
        </w:rPr>
        <w:t>（</w:t>
      </w:r>
      <w:r>
        <w:rPr>
          <w:rFonts w:hint="eastAsia" w:eastAsia="楷体_GB2312" w:cs="Times New Roman"/>
          <w:snapToGrid w:val="0"/>
          <w:color w:val="auto"/>
          <w:kern w:val="0"/>
          <w:highlight w:val="none"/>
          <w:lang w:val="en-US" w:eastAsia="zh-CN"/>
        </w:rPr>
        <w:t>五</w:t>
      </w:r>
      <w:r>
        <w:rPr>
          <w:rFonts w:hint="default" w:ascii="Times New Roman" w:hAnsi="Times New Roman" w:eastAsia="楷体_GB2312" w:cs="Times New Roman"/>
          <w:snapToGrid w:val="0"/>
          <w:color w:val="auto"/>
          <w:kern w:val="0"/>
          <w:highlight w:val="none"/>
        </w:rPr>
        <w:t>）</w:t>
      </w:r>
      <w:r>
        <w:rPr>
          <w:rFonts w:hint="eastAsia" w:eastAsia="楷体_GB2312" w:cs="Times New Roman"/>
          <w:snapToGrid w:val="0"/>
          <w:color w:val="auto"/>
          <w:kern w:val="0"/>
          <w:highlight w:val="none"/>
          <w:lang w:val="en-US" w:eastAsia="zh-CN"/>
        </w:rPr>
        <w:t>共同</w:t>
      </w:r>
      <w:r>
        <w:rPr>
          <w:rFonts w:hint="default" w:ascii="Times New Roman" w:hAnsi="Times New Roman" w:eastAsia="楷体_GB2312" w:cs="Times New Roman"/>
          <w:snapToGrid w:val="0"/>
          <w:color w:val="auto"/>
          <w:kern w:val="0"/>
          <w:highlight w:val="none"/>
          <w:lang w:eastAsia="zh-CN"/>
        </w:rPr>
        <w:t>打造</w:t>
      </w:r>
      <w:r>
        <w:rPr>
          <w:rFonts w:hint="eastAsia" w:eastAsia="楷体_GB2312" w:cs="Times New Roman"/>
          <w:snapToGrid w:val="0"/>
          <w:color w:val="auto"/>
          <w:kern w:val="0"/>
          <w:highlight w:val="none"/>
          <w:lang w:val="en-US" w:eastAsia="zh-CN"/>
        </w:rPr>
        <w:t>一批新型电力系统</w:t>
      </w:r>
      <w:r>
        <w:rPr>
          <w:rFonts w:hint="default" w:ascii="Times New Roman" w:hAnsi="Times New Roman" w:eastAsia="楷体_GB2312" w:cs="Times New Roman"/>
          <w:snapToGrid w:val="0"/>
          <w:color w:val="auto"/>
          <w:kern w:val="0"/>
          <w:highlight w:val="none"/>
          <w:lang w:eastAsia="zh-CN"/>
        </w:rPr>
        <w:t>示范工程</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9"/>
        <w:rPr>
          <w:rFonts w:hint="eastAsia" w:ascii="Times New Roman" w:hAnsi="仿宋_GB2312" w:eastAsia="仿宋_GB2312" w:cs="Times New Roman"/>
          <w:color w:val="auto"/>
          <w:sz w:val="32"/>
          <w:szCs w:val="32"/>
          <w:highlight w:val="none"/>
          <w:lang w:val="en-US" w:eastAsia="zh-CN"/>
        </w:rPr>
      </w:pPr>
      <w:r>
        <w:rPr>
          <w:rFonts w:hint="eastAsia" w:ascii="Times New Roman" w:hAnsi="仿宋_GB2312" w:eastAsia="仿宋_GB2312" w:cs="Times New Roman"/>
          <w:color w:val="auto"/>
          <w:sz w:val="32"/>
          <w:szCs w:val="32"/>
          <w:highlight w:val="none"/>
          <w:lang w:val="en-US" w:eastAsia="zh-CN"/>
        </w:rPr>
        <w:t>甲方围绕规划建设新型能源体系、加快构建新型电力系统总目标，协同乙方开展新型电力系统示范项目、示范区建设。研究完善配套支持措施，统筹推进崇左市新型电力系统建设，及时组织乙方总结建设成果，形成可复制可推广可持续的工作推进模式。</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Times New Roman" w:hAnsi="仿宋_GB2312" w:eastAsia="仿宋_GB2312" w:cs="Times New Roman"/>
          <w:color w:val="auto"/>
          <w:sz w:val="32"/>
          <w:szCs w:val="32"/>
          <w:highlight w:val="none"/>
          <w:lang w:val="en-US" w:eastAsia="zh-CN"/>
        </w:rPr>
        <w:t>乙方聚焦新型电力系统建设亟待突破的关键领域，选取典型性、代表性且具有崇左特色的方向开展探索，以“小切口”解决“大问题”。持续优化加强电网网架建设，适应电力发展新形势需求，进一步完善安全可靠数字电网。开展分布式光伏专项规划和智慧能源规划，配合能源主管部门做好承载能力信息公开，引导社会合理、有序开发新能源，确保电网安全稳定的同时全力服务“双碳”目标</w:t>
      </w:r>
      <w:r>
        <w:rPr>
          <w:rFonts w:hint="eastAsia" w:hAnsi="仿宋_GB2312" w:cs="Times New Roman"/>
          <w:color w:val="auto"/>
          <w:sz w:val="32"/>
          <w:szCs w:val="32"/>
          <w:highlight w:val="none"/>
          <w:lang w:val="en-US" w:eastAsia="zh-CN"/>
        </w:rPr>
        <w:t>。</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spacing w:line="580" w:lineRule="exact"/>
        <w:ind w:firstLine="640" w:firstLineChars="200"/>
        <w:jc w:val="lef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w:t>
      </w:r>
      <w:r>
        <w:rPr>
          <w:rFonts w:hint="eastAsia" w:ascii="黑体" w:hAnsi="黑体" w:eastAsia="黑体" w:cs="黑体"/>
          <w:color w:val="auto"/>
          <w:sz w:val="32"/>
          <w:szCs w:val="32"/>
          <w:highlight w:val="none"/>
          <w:lang w:val="en-US" w:eastAsia="zh-CN"/>
        </w:rPr>
        <w:t>三</w:t>
      </w:r>
      <w:r>
        <w:rPr>
          <w:rFonts w:hint="eastAsia" w:ascii="黑体" w:hAnsi="黑体" w:eastAsia="黑体" w:cs="黑体"/>
          <w:color w:val="auto"/>
          <w:sz w:val="32"/>
          <w:szCs w:val="32"/>
          <w:highlight w:val="none"/>
        </w:rPr>
        <w:t>条 持续优化</w:t>
      </w:r>
      <w:r>
        <w:rPr>
          <w:rFonts w:hint="eastAsia" w:ascii="黑体" w:hAnsi="黑体" w:eastAsia="黑体" w:cs="黑体"/>
          <w:color w:val="auto"/>
          <w:sz w:val="32"/>
          <w:szCs w:val="32"/>
          <w:highlight w:val="none"/>
          <w:lang w:val="en-US" w:eastAsia="zh-CN"/>
        </w:rPr>
        <w:t>电力</w:t>
      </w:r>
      <w:r>
        <w:rPr>
          <w:rFonts w:hint="eastAsia" w:ascii="黑体" w:hAnsi="黑体" w:eastAsia="黑体" w:cs="黑体"/>
          <w:color w:val="auto"/>
          <w:sz w:val="32"/>
          <w:szCs w:val="32"/>
          <w:highlight w:val="none"/>
        </w:rPr>
        <w:t>营商环境，赋能实体经济发展</w:t>
      </w:r>
    </w:p>
    <w:p>
      <w:pPr>
        <w:keepNext w:val="0"/>
        <w:keepLines w:val="0"/>
        <w:pageBreakBefore w:val="0"/>
        <w:kinsoku/>
        <w:wordWrap/>
        <w:overflowPunct/>
        <w:topLinePunct w:val="0"/>
        <w:autoSpaceDE/>
        <w:autoSpaceDN/>
        <w:bidi w:val="0"/>
        <w:spacing w:line="580" w:lineRule="exact"/>
        <w:ind w:firstLine="640" w:firstLineChars="200"/>
        <w:textAlignment w:val="auto"/>
        <w:rPr>
          <w:rFonts w:hint="default" w:ascii="Times New Roman" w:hAnsi="Times New Roman" w:eastAsia="楷体_GB2312" w:cs="Times New Roman"/>
          <w:snapToGrid w:val="0"/>
          <w:color w:val="auto"/>
          <w:kern w:val="0"/>
          <w:highlight w:val="none"/>
          <w:lang w:val="en-US"/>
        </w:rPr>
      </w:pPr>
      <w:r>
        <w:rPr>
          <w:rFonts w:hint="default" w:ascii="Times New Roman" w:hAnsi="Times New Roman" w:eastAsia="楷体_GB2312" w:cs="Times New Roman"/>
          <w:snapToGrid w:val="0"/>
          <w:color w:val="auto"/>
          <w:kern w:val="0"/>
          <w:highlight w:val="none"/>
        </w:rPr>
        <w:t>（</w:t>
      </w:r>
      <w:r>
        <w:rPr>
          <w:rFonts w:hint="eastAsia" w:eastAsia="楷体_GB2312" w:cs="Times New Roman"/>
          <w:snapToGrid w:val="0"/>
          <w:color w:val="auto"/>
          <w:kern w:val="0"/>
          <w:highlight w:val="none"/>
          <w:lang w:val="en-US" w:eastAsia="zh-CN"/>
        </w:rPr>
        <w:t>一</w:t>
      </w:r>
      <w:r>
        <w:rPr>
          <w:rFonts w:hint="default" w:ascii="Times New Roman" w:hAnsi="Times New Roman" w:eastAsia="楷体_GB2312" w:cs="Times New Roman"/>
          <w:snapToGrid w:val="0"/>
          <w:color w:val="auto"/>
          <w:kern w:val="0"/>
          <w:highlight w:val="none"/>
        </w:rPr>
        <w:t>）</w:t>
      </w:r>
      <w:r>
        <w:rPr>
          <w:rFonts w:hint="eastAsia" w:ascii="Times New Roman" w:hAnsi="Times New Roman" w:eastAsia="楷体_GB2312" w:cs="Times New Roman"/>
          <w:snapToGrid w:val="0"/>
          <w:color w:val="auto"/>
          <w:kern w:val="0"/>
          <w:highlight w:val="none"/>
          <w:lang w:val="en-US" w:eastAsia="zh-CN"/>
        </w:rPr>
        <w:t>进一步加强政企协同，</w:t>
      </w:r>
      <w:r>
        <w:rPr>
          <w:rFonts w:hint="eastAsia" w:eastAsia="楷体_GB2312" w:cs="Times New Roman"/>
          <w:snapToGrid w:val="0"/>
          <w:color w:val="auto"/>
          <w:kern w:val="0"/>
          <w:highlight w:val="none"/>
          <w:lang w:val="en-US" w:eastAsia="zh-CN"/>
        </w:rPr>
        <w:t>优化电网建设营商环境</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9"/>
        <w:rPr>
          <w:rFonts w:hint="eastAsia" w:ascii="仿宋_GB2312" w:hAnsi="仿宋_GB2312" w:eastAsia="仿宋_GB2312" w:cs="仿宋_GB2312"/>
          <w:b w:val="0"/>
          <w:bCs w:val="0"/>
          <w:color w:val="auto"/>
          <w:sz w:val="32"/>
          <w:szCs w:val="32"/>
          <w:highlight w:val="none"/>
        </w:rPr>
      </w:pPr>
      <w:r>
        <w:rPr>
          <w:rFonts w:hint="eastAsia" w:ascii="Times New Roman" w:hAnsi="仿宋_GB2312" w:eastAsia="仿宋_GB2312" w:cs="Times New Roman"/>
          <w:color w:val="auto"/>
          <w:sz w:val="32"/>
          <w:szCs w:val="32"/>
          <w:highlight w:val="none"/>
        </w:rPr>
        <w:t>甲方优化提升</w:t>
      </w:r>
      <w:r>
        <w:rPr>
          <w:rFonts w:hint="eastAsia" w:hAnsi="仿宋_GB2312" w:cs="Times New Roman"/>
          <w:color w:val="auto"/>
          <w:sz w:val="32"/>
          <w:szCs w:val="32"/>
          <w:highlight w:val="none"/>
          <w:lang w:val="en-US" w:eastAsia="zh-CN"/>
        </w:rPr>
        <w:t>崇左</w:t>
      </w:r>
      <w:r>
        <w:rPr>
          <w:rFonts w:hint="eastAsia" w:ascii="Times New Roman" w:hAnsi="仿宋_GB2312" w:eastAsia="仿宋_GB2312" w:cs="Times New Roman"/>
          <w:color w:val="auto"/>
          <w:sz w:val="32"/>
          <w:szCs w:val="32"/>
          <w:highlight w:val="none"/>
        </w:rPr>
        <w:t>市电网规划建设领导小组层级与效能，建立定期会商机制，协调解决电网发展重大事项，督办难点</w:t>
      </w:r>
      <w:r>
        <w:rPr>
          <w:rFonts w:hint="eastAsia" w:ascii="Times New Roman" w:hAnsi="仿宋_GB2312" w:eastAsia="仿宋_GB2312" w:cs="Times New Roman"/>
          <w:color w:val="auto"/>
          <w:sz w:val="32"/>
          <w:szCs w:val="32"/>
          <w:highlight w:val="none"/>
          <w:lang w:eastAsia="zh-CN"/>
        </w:rPr>
        <w:t>重点</w:t>
      </w:r>
      <w:r>
        <w:rPr>
          <w:rFonts w:hint="eastAsia" w:ascii="Times New Roman" w:hAnsi="仿宋_GB2312" w:eastAsia="仿宋_GB2312" w:cs="Times New Roman"/>
          <w:color w:val="auto"/>
          <w:sz w:val="32"/>
          <w:szCs w:val="32"/>
          <w:highlight w:val="none"/>
        </w:rPr>
        <w:t>问题</w:t>
      </w:r>
      <w:r>
        <w:rPr>
          <w:rFonts w:hint="eastAsia" w:ascii="Times New Roman" w:hAnsi="仿宋_GB2312" w:cs="Times New Roman"/>
          <w:color w:val="auto"/>
          <w:sz w:val="32"/>
          <w:szCs w:val="32"/>
          <w:highlight w:val="none"/>
          <w:lang w:eastAsia="zh-CN"/>
        </w:rPr>
        <w:t>，</w:t>
      </w:r>
      <w:r>
        <w:rPr>
          <w:rFonts w:hint="eastAsia" w:ascii="Times New Roman" w:hAnsi="仿宋_GB2312" w:eastAsia="仿宋_GB2312" w:cs="Times New Roman"/>
          <w:color w:val="auto"/>
          <w:sz w:val="32"/>
          <w:szCs w:val="32"/>
          <w:highlight w:val="none"/>
        </w:rPr>
        <w:t>与乙方共同制定年度合作任务清单，明确责任主体与完成时限，将协议执行情况纳入督查考核体系。</w:t>
      </w:r>
      <w:r>
        <w:rPr>
          <w:rFonts w:hint="eastAsia" w:ascii="仿宋_GB2312" w:hAnsi="Times New Roman" w:eastAsia="仿宋_GB2312" w:cs="Times New Roman"/>
          <w:b w:val="0"/>
          <w:bCs w:val="0"/>
          <w:color w:val="auto"/>
          <w:sz w:val="32"/>
          <w:highlight w:val="none"/>
          <w:lang w:val="en-US" w:eastAsia="zh-CN"/>
        </w:rPr>
        <w:t>建立</w:t>
      </w:r>
      <w:r>
        <w:rPr>
          <w:rFonts w:hint="eastAsia" w:ascii="仿宋_GB2312" w:eastAsia="仿宋_GB2312" w:cs="Times New Roman"/>
          <w:b w:val="0"/>
          <w:bCs w:val="0"/>
          <w:color w:val="auto"/>
          <w:sz w:val="32"/>
          <w:highlight w:val="none"/>
          <w:lang w:val="en-US" w:eastAsia="zh-CN"/>
        </w:rPr>
        <w:t>审批</w:t>
      </w:r>
      <w:r>
        <w:rPr>
          <w:rFonts w:hint="eastAsia" w:ascii="仿宋_GB2312" w:hAnsi="Times New Roman" w:eastAsia="仿宋_GB2312" w:cs="Times New Roman"/>
          <w:b w:val="0"/>
          <w:bCs w:val="0"/>
          <w:color w:val="auto"/>
          <w:sz w:val="32"/>
          <w:highlight w:val="none"/>
          <w:lang w:val="en-US" w:eastAsia="zh-CN"/>
        </w:rPr>
        <w:t>绿色通道，</w:t>
      </w:r>
      <w:r>
        <w:rPr>
          <w:rFonts w:hint="eastAsia" w:ascii="仿宋_GB2312" w:hAnsi="仿宋_GB2312" w:cs="仿宋_GB2312"/>
          <w:b w:val="0"/>
          <w:bCs w:val="0"/>
          <w:color w:val="auto"/>
          <w:sz w:val="32"/>
          <w:szCs w:val="32"/>
          <w:highlight w:val="none"/>
          <w:lang w:val="en-US" w:eastAsia="zh-CN"/>
        </w:rPr>
        <w:t>优先在法定办理时限内办理电网</w:t>
      </w:r>
      <w:r>
        <w:rPr>
          <w:rFonts w:hint="eastAsia" w:ascii="仿宋_GB2312" w:hAnsi="仿宋_GB2312" w:eastAsia="仿宋_GB2312" w:cs="仿宋_GB2312"/>
          <w:b w:val="0"/>
          <w:bCs w:val="0"/>
          <w:color w:val="auto"/>
          <w:sz w:val="32"/>
          <w:szCs w:val="32"/>
          <w:highlight w:val="none"/>
          <w:lang w:eastAsia="zh-CN"/>
        </w:rPr>
        <w:t>项目</w:t>
      </w:r>
      <w:r>
        <w:rPr>
          <w:rFonts w:hint="eastAsia" w:ascii="仿宋_GB2312" w:hAnsi="仿宋_GB2312" w:cs="仿宋_GB2312"/>
          <w:b w:val="0"/>
          <w:bCs w:val="0"/>
          <w:color w:val="auto"/>
          <w:sz w:val="32"/>
          <w:szCs w:val="32"/>
          <w:highlight w:val="none"/>
          <w:lang w:val="en-US" w:eastAsia="zh-CN"/>
        </w:rPr>
        <w:t>用地预审</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cs="仿宋_GB2312"/>
          <w:b w:val="0"/>
          <w:bCs w:val="0"/>
          <w:color w:val="auto"/>
          <w:sz w:val="32"/>
          <w:szCs w:val="32"/>
          <w:highlight w:val="none"/>
          <w:lang w:val="en-US" w:eastAsia="zh-CN"/>
        </w:rPr>
        <w:t>节地专章、线路塔基占用零星基本农田、用地报批、</w:t>
      </w:r>
      <w:r>
        <w:rPr>
          <w:rFonts w:hint="eastAsia" w:ascii="仿宋_GB2312" w:hAnsi="Times New Roman" w:eastAsia="仿宋_GB2312" w:cs="Times New Roman"/>
          <w:b w:val="0"/>
          <w:bCs w:val="0"/>
          <w:color w:val="auto"/>
          <w:sz w:val="32"/>
          <w:highlight w:val="none"/>
          <w:lang w:val="en-US" w:eastAsia="zh-CN"/>
        </w:rPr>
        <w:t>环评、</w:t>
      </w:r>
      <w:r>
        <w:rPr>
          <w:rFonts w:hint="eastAsia" w:ascii="仿宋_GB2312" w:cs="Times New Roman"/>
          <w:b w:val="0"/>
          <w:bCs w:val="0"/>
          <w:color w:val="auto"/>
          <w:sz w:val="32"/>
          <w:highlight w:val="none"/>
          <w:lang w:val="en-US" w:eastAsia="zh-CN"/>
        </w:rPr>
        <w:t>水保、</w:t>
      </w:r>
      <w:r>
        <w:rPr>
          <w:rFonts w:hint="eastAsia" w:ascii="仿宋_GB2312" w:hAnsi="Times New Roman" w:eastAsia="仿宋_GB2312" w:cs="Times New Roman"/>
          <w:b w:val="0"/>
          <w:bCs w:val="0"/>
          <w:color w:val="auto"/>
          <w:sz w:val="32"/>
          <w:highlight w:val="none"/>
          <w:lang w:val="en-US" w:eastAsia="zh-CN"/>
        </w:rPr>
        <w:t>林地</w:t>
      </w:r>
      <w:r>
        <w:rPr>
          <w:rFonts w:hint="eastAsia" w:ascii="仿宋_GB2312" w:eastAsia="仿宋_GB2312" w:cs="Times New Roman"/>
          <w:b w:val="0"/>
          <w:bCs w:val="0"/>
          <w:color w:val="auto"/>
          <w:sz w:val="32"/>
          <w:highlight w:val="none"/>
          <w:lang w:val="en-US" w:eastAsia="zh-CN"/>
        </w:rPr>
        <w:t>、</w:t>
      </w:r>
      <w:r>
        <w:rPr>
          <w:rFonts w:hint="eastAsia" w:ascii="仿宋_GB2312" w:hAnsi="仿宋_GB2312" w:eastAsia="仿宋_GB2312" w:cs="仿宋_GB2312"/>
          <w:b w:val="0"/>
          <w:bCs w:val="0"/>
          <w:color w:val="auto"/>
          <w:sz w:val="32"/>
          <w:szCs w:val="32"/>
          <w:highlight w:val="none"/>
        </w:rPr>
        <w:t>施工许可证</w:t>
      </w:r>
      <w:r>
        <w:rPr>
          <w:rFonts w:hint="eastAsia" w:ascii="仿宋_GB2312" w:hAnsi="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竣工验收备案</w:t>
      </w:r>
      <w:r>
        <w:rPr>
          <w:rFonts w:hint="eastAsia" w:ascii="仿宋_GB2312" w:hAnsi="Times New Roman" w:eastAsia="仿宋_GB2312" w:cs="Times New Roman"/>
          <w:b w:val="0"/>
          <w:bCs w:val="0"/>
          <w:color w:val="auto"/>
          <w:sz w:val="32"/>
          <w:highlight w:val="none"/>
          <w:lang w:val="en-US" w:eastAsia="zh-CN"/>
        </w:rPr>
        <w:t>等</w:t>
      </w:r>
      <w:r>
        <w:rPr>
          <w:rFonts w:hint="eastAsia" w:ascii="仿宋_GB2312" w:cs="Times New Roman"/>
          <w:b w:val="0"/>
          <w:bCs w:val="0"/>
          <w:color w:val="auto"/>
          <w:sz w:val="32"/>
          <w:highlight w:val="none"/>
          <w:lang w:val="en-US" w:eastAsia="zh-CN"/>
        </w:rPr>
        <w:t>手续</w:t>
      </w:r>
      <w:r>
        <w:rPr>
          <w:rFonts w:hint="eastAsia" w:ascii="仿宋_GB2312" w:hAnsi="仿宋_GB2312" w:eastAsia="仿宋_GB2312" w:cs="仿宋_GB2312"/>
          <w:b w:val="0"/>
          <w:bCs w:val="0"/>
          <w:color w:val="auto"/>
          <w:sz w:val="32"/>
          <w:szCs w:val="32"/>
          <w:highlight w:val="none"/>
        </w:rPr>
        <w:t>，提升审批效率。</w:t>
      </w:r>
      <w:r>
        <w:rPr>
          <w:rFonts w:hint="eastAsia" w:ascii="仿宋_GB2312" w:hAnsi="仿宋_GB2312" w:cs="仿宋_GB2312"/>
          <w:b w:val="0"/>
          <w:bCs w:val="0"/>
          <w:color w:val="auto"/>
          <w:sz w:val="32"/>
          <w:szCs w:val="32"/>
          <w:highlight w:val="none"/>
          <w:lang w:val="en-US" w:eastAsia="zh-CN"/>
        </w:rPr>
        <w:t>积极向上级部门申请，加大资金筹措力度，推动城市及工业园区新建和改扩建道路配套电缆管沟建设，为电缆敷设创造条件。推广输电线路占地青赔政府协助、企业出资模式，乙方向</w:t>
      </w:r>
      <w:r>
        <w:rPr>
          <w:rFonts w:hint="default" w:ascii="仿宋_GB2312" w:hAnsi="仿宋_GB2312" w:cs="仿宋_GB2312"/>
          <w:b w:val="0"/>
          <w:bCs w:val="0"/>
          <w:color w:val="auto"/>
          <w:sz w:val="32"/>
          <w:szCs w:val="32"/>
          <w:highlight w:val="none"/>
          <w:lang w:val="en-US" w:eastAsia="zh-CN"/>
        </w:rPr>
        <w:t>属地人民政府、开发区管委会</w:t>
      </w:r>
      <w:r>
        <w:rPr>
          <w:rFonts w:hint="eastAsia" w:ascii="仿宋_GB2312" w:hAnsi="仿宋_GB2312" w:cs="仿宋_GB2312"/>
          <w:b w:val="0"/>
          <w:bCs w:val="0"/>
          <w:color w:val="auto"/>
          <w:sz w:val="32"/>
          <w:szCs w:val="32"/>
          <w:highlight w:val="none"/>
          <w:lang w:val="en-US" w:eastAsia="zh-CN"/>
        </w:rPr>
        <w:t>预付征地青赔资金，</w:t>
      </w:r>
      <w:r>
        <w:rPr>
          <w:rFonts w:hint="default" w:ascii="仿宋_GB2312" w:hAnsi="仿宋_GB2312" w:cs="仿宋_GB2312"/>
          <w:b w:val="0"/>
          <w:bCs w:val="0"/>
          <w:color w:val="auto"/>
          <w:sz w:val="32"/>
          <w:szCs w:val="32"/>
          <w:highlight w:val="none"/>
          <w:lang w:val="en-US" w:eastAsia="zh-CN"/>
        </w:rPr>
        <w:t>由属地人民政府、开发区管委会协助组织开展征地青赔工作， 代为支付项目占地征地青赔资金。</w:t>
      </w:r>
    </w:p>
    <w:p>
      <w:pPr>
        <w:keepNext w:val="0"/>
        <w:keepLines w:val="0"/>
        <w:pageBreakBefore w:val="0"/>
        <w:kinsoku/>
        <w:wordWrap/>
        <w:overflowPunct/>
        <w:topLinePunct w:val="0"/>
        <w:autoSpaceDE/>
        <w:autoSpaceDN/>
        <w:bidi w:val="0"/>
        <w:spacing w:line="580" w:lineRule="exact"/>
        <w:ind w:firstLine="640" w:firstLineChars="200"/>
        <w:textAlignment w:val="auto"/>
        <w:rPr>
          <w:rFonts w:hint="default" w:ascii="Times New Roman" w:hAnsi="Times New Roman" w:eastAsia="楷体_GB2312" w:cs="Times New Roman"/>
          <w:snapToGrid w:val="0"/>
          <w:color w:val="auto"/>
          <w:kern w:val="0"/>
          <w:highlight w:val="none"/>
          <w:lang w:eastAsia="zh-CN"/>
        </w:rPr>
      </w:pPr>
      <w:r>
        <w:rPr>
          <w:rFonts w:hint="default" w:ascii="Times New Roman" w:hAnsi="Times New Roman" w:eastAsia="楷体_GB2312" w:cs="Times New Roman"/>
          <w:snapToGrid w:val="0"/>
          <w:color w:val="auto"/>
          <w:kern w:val="0"/>
          <w:highlight w:val="none"/>
        </w:rPr>
        <w:t>（</w:t>
      </w:r>
      <w:r>
        <w:rPr>
          <w:rFonts w:hint="eastAsia" w:eastAsia="楷体_GB2312" w:cs="Times New Roman"/>
          <w:snapToGrid w:val="0"/>
          <w:color w:val="auto"/>
          <w:kern w:val="0"/>
          <w:highlight w:val="none"/>
          <w:lang w:val="en-US" w:eastAsia="zh-CN"/>
        </w:rPr>
        <w:t>二</w:t>
      </w:r>
      <w:r>
        <w:rPr>
          <w:rFonts w:hint="default" w:ascii="Times New Roman" w:hAnsi="Times New Roman" w:eastAsia="楷体_GB2312" w:cs="Times New Roman"/>
          <w:snapToGrid w:val="0"/>
          <w:color w:val="auto"/>
          <w:kern w:val="0"/>
          <w:highlight w:val="none"/>
        </w:rPr>
        <w:t>）</w:t>
      </w:r>
      <w:r>
        <w:rPr>
          <w:rFonts w:hint="eastAsia" w:ascii="Times New Roman" w:hAnsi="Times New Roman" w:eastAsia="楷体_GB2312" w:cs="Times New Roman"/>
          <w:snapToGrid w:val="0"/>
          <w:color w:val="auto"/>
          <w:kern w:val="0"/>
          <w:highlight w:val="none"/>
          <w:lang w:val="en-US" w:eastAsia="zh-CN"/>
        </w:rPr>
        <w:t>进一步优化电力规划建设协同服务</w:t>
      </w:r>
    </w:p>
    <w:p>
      <w:pPr>
        <w:keepNext w:val="0"/>
        <w:keepLines w:val="0"/>
        <w:pageBreakBefore w:val="0"/>
        <w:kinsoku/>
        <w:wordWrap/>
        <w:overflowPunct/>
        <w:topLinePunct w:val="0"/>
        <w:autoSpaceDE/>
        <w:autoSpaceDN/>
        <w:bidi w:val="0"/>
        <w:spacing w:line="580" w:lineRule="exact"/>
        <w:ind w:firstLine="640" w:firstLineChars="200"/>
        <w:textAlignment w:val="auto"/>
        <w:rPr>
          <w:rFonts w:hint="default" w:ascii="Times New Roman" w:hAnsi="Times New Roman" w:cs="Times New Roman"/>
          <w:snapToGrid w:val="0"/>
          <w:color w:val="auto"/>
          <w:kern w:val="0"/>
          <w:highlight w:val="none"/>
          <w:lang w:eastAsia="zh-CN"/>
        </w:rPr>
      </w:pPr>
      <w:r>
        <w:rPr>
          <w:rFonts w:hint="default" w:ascii="Times New Roman" w:hAnsi="Times New Roman" w:cs="Times New Roman"/>
          <w:snapToGrid w:val="0"/>
          <w:color w:val="auto"/>
          <w:kern w:val="0"/>
          <w:highlight w:val="none"/>
          <w:lang w:eastAsia="zh-CN"/>
        </w:rPr>
        <w:t>甲方</w:t>
      </w:r>
      <w:r>
        <w:rPr>
          <w:rFonts w:hint="eastAsia" w:cs="Times New Roman"/>
          <w:snapToGrid w:val="0"/>
          <w:color w:val="auto"/>
          <w:kern w:val="0"/>
          <w:highlight w:val="none"/>
          <w:lang w:val="en-US" w:eastAsia="zh-CN"/>
        </w:rPr>
        <w:t>向乙方共享</w:t>
      </w:r>
      <w:r>
        <w:rPr>
          <w:rFonts w:hint="default" w:ascii="Times New Roman" w:hAnsi="Times New Roman" w:cs="Times New Roman"/>
          <w:snapToGrid w:val="0"/>
          <w:color w:val="auto"/>
          <w:kern w:val="0"/>
          <w:highlight w:val="none"/>
          <w:lang w:eastAsia="zh-CN"/>
        </w:rPr>
        <w:t>招商引资、土地规划、立项审查（核准备案）、土地出让和报建审批全过程中涉及新增用能需求的信息。</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highlight w:val="none"/>
          <w:lang w:val="en-US" w:eastAsia="zh-CN"/>
        </w:rPr>
      </w:pPr>
      <w:r>
        <w:rPr>
          <w:rFonts w:hint="eastAsia" w:ascii="仿宋_GB2312" w:hAnsi="仿宋_GB2312" w:cs="仿宋_GB2312"/>
          <w:color w:val="auto"/>
          <w:sz w:val="32"/>
          <w:szCs w:val="32"/>
          <w:highlight w:val="none"/>
          <w:lang w:val="en-US" w:eastAsia="zh-CN"/>
        </w:rPr>
        <w:t>乙方</w:t>
      </w:r>
      <w:r>
        <w:rPr>
          <w:rFonts w:hint="eastAsia" w:ascii="仿宋_GB2312" w:hAnsi="仿宋_GB2312" w:eastAsia="仿宋_GB2312" w:cs="仿宋_GB2312"/>
          <w:b w:val="0"/>
          <w:bCs w:val="0"/>
          <w:color w:val="auto"/>
          <w:sz w:val="32"/>
          <w:szCs w:val="32"/>
          <w:highlight w:val="none"/>
          <w:lang w:val="en-US" w:eastAsia="zh-CN"/>
        </w:rPr>
        <w:t>主动</w:t>
      </w:r>
      <w:r>
        <w:rPr>
          <w:rFonts w:hint="eastAsia" w:ascii="仿宋_GB2312" w:hAnsi="仿宋_GB2312" w:eastAsia="仿宋_GB2312" w:cs="仿宋_GB2312"/>
          <w:color w:val="auto"/>
          <w:sz w:val="32"/>
          <w:szCs w:val="32"/>
          <w:highlight w:val="none"/>
          <w:lang w:eastAsia="zh-CN"/>
        </w:rPr>
        <w:t>对接</w:t>
      </w:r>
      <w:r>
        <w:rPr>
          <w:rFonts w:hint="eastAsia" w:ascii="仿宋_GB2312" w:hAnsi="仿宋_GB2312" w:cs="仿宋_GB2312"/>
          <w:color w:val="auto"/>
          <w:sz w:val="32"/>
          <w:szCs w:val="32"/>
          <w:highlight w:val="none"/>
          <w:lang w:val="en-US" w:eastAsia="zh-CN"/>
        </w:rPr>
        <w:t>甲方</w:t>
      </w:r>
      <w:r>
        <w:rPr>
          <w:rFonts w:hint="eastAsia" w:ascii="仿宋_GB2312" w:hAnsi="仿宋_GB2312" w:eastAsia="仿宋_GB2312" w:cs="仿宋_GB2312"/>
          <w:color w:val="auto"/>
          <w:sz w:val="32"/>
          <w:szCs w:val="32"/>
          <w:highlight w:val="none"/>
          <w:lang w:eastAsia="zh-CN"/>
        </w:rPr>
        <w:t>“四个平台”（投资在线项目审批监管平台、多规合一管理平台、工程建设项目联合审批平台、政务服务平台）</w:t>
      </w:r>
      <w:r>
        <w:rPr>
          <w:rFonts w:hint="eastAsia" w:ascii="仿宋_GB2312" w:hAnsi="仿宋_GB2312" w:eastAsia="仿宋_GB2312" w:cs="仿宋_GB2312"/>
          <w:color w:val="auto"/>
          <w:sz w:val="32"/>
          <w:szCs w:val="32"/>
          <w:highlight w:val="none"/>
          <w:lang w:val="en-US" w:eastAsia="zh-CN"/>
        </w:rPr>
        <w:t>信息共享</w:t>
      </w:r>
      <w:r>
        <w:rPr>
          <w:rFonts w:hint="eastAsia" w:ascii="仿宋_GB2312" w:hAnsi="仿宋_GB2312" w:eastAsia="仿宋_GB2312" w:cs="仿宋_GB2312"/>
          <w:color w:val="auto"/>
          <w:sz w:val="32"/>
          <w:szCs w:val="32"/>
          <w:highlight w:val="none"/>
          <w:lang w:eastAsia="zh-CN"/>
        </w:rPr>
        <w:t>，在符合国家数据安全及保密法律法规的前提下实时获取</w:t>
      </w:r>
      <w:r>
        <w:rPr>
          <w:rFonts w:hint="eastAsia" w:ascii="仿宋_GB2312" w:hAnsi="仿宋_GB2312" w:cs="仿宋_GB2312"/>
          <w:color w:val="auto"/>
          <w:sz w:val="32"/>
          <w:szCs w:val="32"/>
          <w:highlight w:val="none"/>
          <w:lang w:val="en-US" w:eastAsia="zh-CN"/>
        </w:rPr>
        <w:t>甲方</w:t>
      </w:r>
      <w:r>
        <w:rPr>
          <w:rFonts w:hint="eastAsia" w:ascii="仿宋_GB2312" w:hAnsi="仿宋_GB2312" w:eastAsia="仿宋_GB2312" w:cs="仿宋_GB2312"/>
          <w:color w:val="auto"/>
          <w:sz w:val="32"/>
          <w:szCs w:val="32"/>
          <w:highlight w:val="none"/>
          <w:lang w:eastAsia="zh-CN"/>
        </w:rPr>
        <w:t>招商、土地出让、规划许可、建设审批、施工许可、企业登记等政务信息，</w:t>
      </w:r>
      <w:r>
        <w:rPr>
          <w:rFonts w:hint="eastAsia" w:ascii="仿宋_GB2312" w:hAnsi="仿宋_GB2312" w:eastAsia="仿宋_GB2312" w:cs="仿宋_GB2312"/>
          <w:b w:val="0"/>
          <w:bCs w:val="0"/>
          <w:color w:val="auto"/>
          <w:sz w:val="32"/>
          <w:szCs w:val="32"/>
          <w:highlight w:val="none"/>
          <w:lang w:eastAsia="zh-CN"/>
        </w:rPr>
        <w:t>提前</w:t>
      </w:r>
      <w:r>
        <w:rPr>
          <w:rFonts w:hint="eastAsia" w:ascii="仿宋_GB2312" w:hAnsi="仿宋_GB2312" w:eastAsia="仿宋_GB2312" w:cs="仿宋_GB2312"/>
          <w:color w:val="auto"/>
          <w:sz w:val="32"/>
          <w:szCs w:val="32"/>
          <w:highlight w:val="none"/>
          <w:lang w:eastAsia="zh-CN"/>
        </w:rPr>
        <w:t>获取用电需求</w:t>
      </w:r>
      <w:r>
        <w:rPr>
          <w:rFonts w:hint="eastAsia" w:ascii="仿宋_GB2312" w:hAnsi="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CN"/>
        </w:rPr>
        <w:t>筹划电网接入准备，</w:t>
      </w:r>
      <w:r>
        <w:rPr>
          <w:rFonts w:hint="eastAsia" w:ascii="仿宋_GB2312" w:hAnsi="仿宋_GB2312" w:eastAsia="仿宋_GB2312" w:cs="仿宋_GB2312"/>
          <w:color w:val="auto"/>
          <w:sz w:val="32"/>
          <w:szCs w:val="32"/>
          <w:highlight w:val="none"/>
          <w:lang w:val="en-US" w:eastAsia="zh-CN"/>
        </w:rPr>
        <w:t>实现园区电力专项规划滚动修编完善</w:t>
      </w:r>
      <w:r>
        <w:rPr>
          <w:rFonts w:hint="eastAsia" w:ascii="仿宋_GB2312" w:hAnsi="仿宋_GB2312" w:cs="仿宋_GB2312"/>
          <w:color w:val="auto"/>
          <w:sz w:val="32"/>
          <w:szCs w:val="32"/>
          <w:highlight w:val="none"/>
          <w:lang w:val="en-US" w:eastAsia="zh-CN"/>
        </w:rPr>
        <w:t>。及时</w:t>
      </w:r>
      <w:r>
        <w:rPr>
          <w:rFonts w:hint="eastAsia" w:ascii="仿宋_GB2312" w:hAnsi="仿宋_GB2312" w:eastAsia="仿宋_GB2312" w:cs="仿宋_GB2312"/>
          <w:color w:val="auto"/>
          <w:sz w:val="32"/>
          <w:szCs w:val="32"/>
          <w:highlight w:val="none"/>
          <w:lang w:eastAsia="zh-CN"/>
        </w:rPr>
        <w:t>启动电网配套接入工程建设，推行“标准化、模块化、预制式”建设模式，提速配套工程建设。</w:t>
      </w:r>
      <w:r>
        <w:rPr>
          <w:rFonts w:hint="eastAsia" w:ascii="仿宋_GB2312" w:hAnsi="仿宋_GB2312" w:eastAsia="仿宋_GB2312" w:cs="仿宋_GB2312"/>
          <w:color w:val="auto"/>
          <w:sz w:val="32"/>
          <w:szCs w:val="32"/>
          <w:highlight w:val="none"/>
        </w:rPr>
        <w:t>围绕“一区两地一园一通道”战略任务，</w:t>
      </w:r>
      <w:r>
        <w:rPr>
          <w:rFonts w:eastAsia="仿宋_GB2312"/>
          <w:snapToGrid w:val="0"/>
          <w:color w:val="auto"/>
          <w:kern w:val="0"/>
          <w:sz w:val="32"/>
          <w:szCs w:val="32"/>
          <w:highlight w:val="none"/>
        </w:rPr>
        <w:t>持续优化</w:t>
      </w:r>
      <w:r>
        <w:rPr>
          <w:rFonts w:hint="eastAsia" w:eastAsia="仿宋_GB2312"/>
          <w:snapToGrid w:val="0"/>
          <w:color w:val="auto"/>
          <w:kern w:val="0"/>
          <w:sz w:val="32"/>
          <w:szCs w:val="32"/>
          <w:highlight w:val="none"/>
          <w:lang w:eastAsia="zh-CN"/>
        </w:rPr>
        <w:t>用电营商环境</w:t>
      </w:r>
      <w:r>
        <w:rPr>
          <w:rFonts w:eastAsia="仿宋_GB2312"/>
          <w:snapToGrid w:val="0"/>
          <w:color w:val="auto"/>
          <w:kern w:val="0"/>
          <w:sz w:val="32"/>
          <w:szCs w:val="32"/>
          <w:highlight w:val="none"/>
        </w:rPr>
        <w:t>，</w:t>
      </w:r>
      <w:r>
        <w:rPr>
          <w:rFonts w:hint="eastAsia" w:ascii="仿宋_GB2312" w:hAnsi="仿宋_GB2312" w:eastAsia="仿宋_GB2312" w:cs="仿宋_GB2312"/>
          <w:color w:val="auto"/>
          <w:sz w:val="32"/>
          <w:szCs w:val="32"/>
          <w:highlight w:val="none"/>
        </w:rPr>
        <w:t>为</w:t>
      </w:r>
      <w:r>
        <w:rPr>
          <w:rFonts w:hint="eastAsia" w:ascii="仿宋_GB2312" w:hAnsi="仿宋_GB2312" w:cs="仿宋_GB2312"/>
          <w:color w:val="auto"/>
          <w:sz w:val="32"/>
          <w:szCs w:val="32"/>
          <w:highlight w:val="none"/>
          <w:lang w:val="en-US" w:eastAsia="zh-CN"/>
        </w:rPr>
        <w:t>广西凭祥</w:t>
      </w:r>
      <w:r>
        <w:rPr>
          <w:rFonts w:hint="eastAsia" w:ascii="仿宋_GB2312" w:hAnsi="仿宋_GB2312" w:eastAsia="仿宋_GB2312" w:cs="仿宋_GB2312"/>
          <w:color w:val="auto"/>
          <w:sz w:val="32"/>
          <w:szCs w:val="32"/>
          <w:highlight w:val="none"/>
        </w:rPr>
        <w:t>产业园</w:t>
      </w:r>
      <w:r>
        <w:rPr>
          <w:rFonts w:hint="eastAsia" w:ascii="仿宋_GB2312" w:hAnsi="仿宋_GB2312" w:cs="仿宋_GB2312"/>
          <w:color w:val="auto"/>
          <w:sz w:val="32"/>
          <w:szCs w:val="32"/>
          <w:highlight w:val="none"/>
          <w:lang w:eastAsia="zh-CN"/>
        </w:rPr>
        <w:t>、崇左临空经济协同区、崇左高新技术开发区</w:t>
      </w:r>
      <w:r>
        <w:rPr>
          <w:rFonts w:hint="eastAsia" w:ascii="仿宋_GB2312" w:hAnsi="仿宋_GB2312" w:cs="仿宋_GB2312"/>
          <w:color w:val="auto"/>
          <w:sz w:val="32"/>
          <w:szCs w:val="32"/>
          <w:highlight w:val="none"/>
          <w:lang w:val="en-US" w:eastAsia="zh-CN"/>
        </w:rPr>
        <w:t>等重点园区及经济开发区</w:t>
      </w:r>
      <w:r>
        <w:rPr>
          <w:rFonts w:hint="eastAsia" w:ascii="仿宋_GB2312" w:hAnsi="仿宋_GB2312" w:eastAsia="仿宋_GB2312" w:cs="仿宋_GB2312"/>
          <w:color w:val="auto"/>
          <w:sz w:val="32"/>
          <w:szCs w:val="32"/>
          <w:highlight w:val="none"/>
          <w:lang w:val="en-US" w:eastAsia="zh-CN"/>
        </w:rPr>
        <w:t>做好供电</w:t>
      </w:r>
      <w:r>
        <w:rPr>
          <w:rFonts w:hint="eastAsia" w:ascii="仿宋_GB2312" w:hAnsi="仿宋_GB2312" w:eastAsia="仿宋_GB2312" w:cs="仿宋_GB2312"/>
          <w:color w:val="auto"/>
          <w:sz w:val="32"/>
          <w:szCs w:val="32"/>
          <w:highlight w:val="none"/>
        </w:rPr>
        <w:t>服务，建立</w:t>
      </w:r>
      <w:r>
        <w:rPr>
          <w:rFonts w:hint="eastAsia" w:ascii="仿宋_GB2312" w:hAnsi="仿宋_GB2312" w:eastAsia="仿宋_GB2312" w:cs="仿宋_GB2312"/>
          <w:color w:val="auto"/>
          <w:sz w:val="32"/>
          <w:szCs w:val="32"/>
          <w:highlight w:val="none"/>
          <w:lang w:val="en-US" w:eastAsia="zh-CN"/>
        </w:rPr>
        <w:t>产业</w:t>
      </w:r>
      <w:r>
        <w:rPr>
          <w:rFonts w:hint="eastAsia" w:ascii="仿宋_GB2312" w:hAnsi="仿宋_GB2312" w:eastAsia="仿宋_GB2312" w:cs="仿宋_GB2312"/>
          <w:color w:val="auto"/>
          <w:sz w:val="32"/>
          <w:szCs w:val="32"/>
          <w:highlight w:val="none"/>
        </w:rPr>
        <w:t>园区</w:t>
      </w:r>
      <w:r>
        <w:rPr>
          <w:rFonts w:hint="eastAsia" w:ascii="仿宋_GB2312" w:hAnsi="仿宋_GB2312" w:cs="仿宋_GB2312"/>
          <w:color w:val="auto"/>
          <w:sz w:val="32"/>
          <w:szCs w:val="32"/>
          <w:highlight w:val="none"/>
          <w:lang w:eastAsia="zh-CN"/>
        </w:rPr>
        <w:t>、经济开发区</w:t>
      </w:r>
      <w:r>
        <w:rPr>
          <w:rFonts w:hint="eastAsia" w:ascii="仿宋_GB2312" w:hAnsi="仿宋_GB2312" w:eastAsia="仿宋_GB2312" w:cs="仿宋_GB2312"/>
          <w:color w:val="auto"/>
          <w:sz w:val="32"/>
          <w:szCs w:val="32"/>
          <w:highlight w:val="none"/>
          <w:lang w:val="en-US" w:eastAsia="zh-CN"/>
        </w:rPr>
        <w:t>供电</w:t>
      </w:r>
      <w:r>
        <w:rPr>
          <w:rFonts w:hint="eastAsia" w:ascii="仿宋_GB2312" w:hAnsi="仿宋_GB2312" w:eastAsia="仿宋_GB2312" w:cs="仿宋_GB2312"/>
          <w:color w:val="auto"/>
          <w:sz w:val="32"/>
          <w:szCs w:val="32"/>
          <w:highlight w:val="none"/>
        </w:rPr>
        <w:t>服务常态化</w:t>
      </w:r>
      <w:r>
        <w:rPr>
          <w:rFonts w:hint="eastAsia" w:ascii="仿宋_GB2312" w:hAnsi="仿宋_GB2312" w:eastAsia="仿宋_GB2312" w:cs="仿宋_GB2312"/>
          <w:color w:val="auto"/>
          <w:sz w:val="32"/>
          <w:szCs w:val="32"/>
          <w:highlight w:val="none"/>
          <w:lang w:val="en-US" w:eastAsia="zh-CN"/>
        </w:rPr>
        <w:t>沟通协同</w:t>
      </w:r>
      <w:r>
        <w:rPr>
          <w:rFonts w:hint="eastAsia" w:ascii="仿宋_GB2312" w:hAnsi="仿宋_GB2312" w:eastAsia="仿宋_GB2312" w:cs="仿宋_GB2312"/>
          <w:color w:val="auto"/>
          <w:sz w:val="32"/>
          <w:szCs w:val="32"/>
          <w:highlight w:val="none"/>
        </w:rPr>
        <w:t>机制，</w:t>
      </w:r>
      <w:r>
        <w:rPr>
          <w:rFonts w:hint="eastAsia" w:ascii="仿宋_GB2312" w:hAnsi="仿宋_GB2312" w:eastAsia="仿宋_GB2312" w:cs="仿宋_GB2312"/>
          <w:color w:val="auto"/>
          <w:sz w:val="32"/>
          <w:szCs w:val="32"/>
          <w:highlight w:val="none"/>
          <w:lang w:val="en-US" w:eastAsia="zh-CN"/>
        </w:rPr>
        <w:t>持续优化用电服务举措</w:t>
      </w:r>
      <w:r>
        <w:rPr>
          <w:rFonts w:hint="eastAsia" w:ascii="仿宋_GB2312" w:hAnsi="仿宋_GB2312" w:eastAsia="仿宋_GB2312" w:cs="仿宋_GB2312"/>
          <w:color w:val="auto"/>
          <w:sz w:val="32"/>
          <w:szCs w:val="32"/>
          <w:highlight w:val="none"/>
        </w:rPr>
        <w:t>，建成办电便捷化、供电高质化、用电绿色化、服务普惠化、生态多元化、体验数智化的现代化用电营商环境</w:t>
      </w:r>
      <w:r>
        <w:rPr>
          <w:rFonts w:hint="eastAsia" w:ascii="仿宋_GB2312" w:hAnsi="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color w:val="auto"/>
          <w:highlight w:val="none"/>
          <w:lang w:eastAsia="zh-CN"/>
        </w:rPr>
      </w:pPr>
      <w:r>
        <w:rPr>
          <w:rFonts w:hint="default" w:ascii="Times New Roman" w:hAnsi="Times New Roman" w:eastAsia="黑体" w:cs="Times New Roman"/>
          <w:color w:val="auto"/>
          <w:highlight w:val="none"/>
          <w:lang w:eastAsia="zh-CN"/>
        </w:rPr>
        <w:t>第</w:t>
      </w:r>
      <w:r>
        <w:rPr>
          <w:rFonts w:hint="eastAsia" w:eastAsia="黑体" w:cs="Times New Roman"/>
          <w:color w:val="auto"/>
          <w:highlight w:val="none"/>
          <w:lang w:val="en-US" w:eastAsia="zh-CN"/>
        </w:rPr>
        <w:t>四</w:t>
      </w:r>
      <w:r>
        <w:rPr>
          <w:rFonts w:hint="default" w:ascii="Times New Roman" w:hAnsi="Times New Roman" w:eastAsia="黑体" w:cs="Times New Roman"/>
          <w:color w:val="auto"/>
          <w:highlight w:val="none"/>
          <w:lang w:eastAsia="zh-CN"/>
        </w:rPr>
        <w:t>条</w:t>
      </w:r>
      <w:r>
        <w:rPr>
          <w:rFonts w:hint="default" w:ascii="Times New Roman" w:hAnsi="Times New Roman" w:eastAsia="黑体" w:cs="Times New Roman"/>
          <w:color w:val="auto"/>
          <w:highlight w:val="none"/>
          <w:lang w:val="en-US" w:eastAsia="zh-CN"/>
        </w:rPr>
        <w:t xml:space="preserve"> </w:t>
      </w:r>
      <w:r>
        <w:rPr>
          <w:rFonts w:hint="default" w:ascii="Times New Roman" w:hAnsi="Times New Roman" w:eastAsia="黑体" w:cs="Times New Roman"/>
          <w:color w:val="auto"/>
          <w:highlight w:val="none"/>
          <w:lang w:eastAsia="zh-CN"/>
        </w:rPr>
        <w:t>深化</w:t>
      </w:r>
      <w:r>
        <w:rPr>
          <w:rFonts w:hint="default" w:ascii="Times New Roman" w:hAnsi="Times New Roman" w:eastAsia="黑体" w:cs="Times New Roman"/>
          <w:color w:val="auto"/>
          <w:highlight w:val="none"/>
          <w:lang w:val="en-US" w:eastAsia="zh-CN"/>
        </w:rPr>
        <w:t>战略性新兴产业</w:t>
      </w:r>
      <w:r>
        <w:rPr>
          <w:rFonts w:hint="default" w:ascii="Times New Roman" w:hAnsi="Times New Roman" w:eastAsia="黑体" w:cs="Times New Roman"/>
          <w:color w:val="auto"/>
          <w:highlight w:val="none"/>
          <w:lang w:eastAsia="zh-CN"/>
        </w:rPr>
        <w:t>领域合作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_GB2312" w:cs="Times New Roman"/>
          <w:snapToGrid w:val="0"/>
          <w:color w:val="auto"/>
          <w:kern w:val="0"/>
          <w:highlight w:val="none"/>
          <w:lang w:eastAsia="zh-CN"/>
        </w:rPr>
      </w:pPr>
      <w:r>
        <w:rPr>
          <w:rFonts w:hint="default" w:ascii="Times New Roman" w:hAnsi="Times New Roman" w:eastAsia="楷体_GB2312" w:cs="Times New Roman"/>
          <w:snapToGrid w:val="0"/>
          <w:color w:val="auto"/>
          <w:kern w:val="0"/>
          <w:highlight w:val="none"/>
          <w:lang w:eastAsia="zh-CN"/>
        </w:rPr>
        <w:t>（</w:t>
      </w:r>
      <w:r>
        <w:rPr>
          <w:rFonts w:hint="eastAsia" w:eastAsia="楷体_GB2312" w:cs="Times New Roman"/>
          <w:snapToGrid w:val="0"/>
          <w:color w:val="auto"/>
          <w:kern w:val="0"/>
          <w:highlight w:val="none"/>
          <w:lang w:val="en-US" w:eastAsia="zh-CN"/>
        </w:rPr>
        <w:t>一</w:t>
      </w:r>
      <w:r>
        <w:rPr>
          <w:rFonts w:hint="default" w:ascii="Times New Roman" w:hAnsi="Times New Roman" w:eastAsia="楷体_GB2312" w:cs="Times New Roman"/>
          <w:snapToGrid w:val="0"/>
          <w:color w:val="auto"/>
          <w:kern w:val="0"/>
          <w:highlight w:val="none"/>
          <w:lang w:eastAsia="zh-CN"/>
        </w:rPr>
        <w:t>）</w:t>
      </w:r>
      <w:r>
        <w:rPr>
          <w:rFonts w:hint="default" w:ascii="Times New Roman" w:hAnsi="Times New Roman" w:eastAsia="楷体_GB2312" w:cs="Times New Roman"/>
          <w:snapToGrid w:val="0"/>
          <w:color w:val="auto"/>
          <w:kern w:val="0"/>
          <w:highlight w:val="none"/>
        </w:rPr>
        <w:t>加强汽车充电桩基础设施与车桩网建设的合作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甲方支持乙方规模化开展充电网络的建设与运营，并做好</w:t>
      </w:r>
      <w:r>
        <w:rPr>
          <w:rFonts w:hint="eastAsia" w:cs="Times New Roman"/>
          <w:color w:val="auto"/>
          <w:sz w:val="32"/>
          <w:szCs w:val="32"/>
          <w:highlight w:val="none"/>
          <w:lang w:val="en-US" w:eastAsia="zh-CN"/>
        </w:rPr>
        <w:t>崇左</w:t>
      </w:r>
      <w:r>
        <w:rPr>
          <w:rFonts w:hint="default" w:ascii="Times New Roman" w:hAnsi="Times New Roman" w:cs="Times New Roman"/>
          <w:color w:val="auto"/>
          <w:sz w:val="32"/>
          <w:szCs w:val="32"/>
          <w:highlight w:val="none"/>
          <w:lang w:val="en-US" w:eastAsia="zh-CN"/>
        </w:rPr>
        <w:t>市充电桩数据传递用以支持供电设施规划配置升级。</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乙方充分发挥在投资、建设、运营等方面的优势以及先行先试的经验，建设一批具有南方电网鲜明特色的多元融合充换电站。根据</w:t>
      </w:r>
      <w:r>
        <w:rPr>
          <w:rFonts w:hint="eastAsia" w:cs="Times New Roman"/>
          <w:color w:val="auto"/>
          <w:sz w:val="32"/>
          <w:szCs w:val="32"/>
          <w:highlight w:val="none"/>
          <w:lang w:val="en-US" w:eastAsia="zh-CN"/>
        </w:rPr>
        <w:t>崇左</w:t>
      </w:r>
      <w:r>
        <w:rPr>
          <w:rFonts w:hint="default" w:ascii="Times New Roman" w:hAnsi="Times New Roman" w:cs="Times New Roman"/>
          <w:color w:val="auto"/>
          <w:sz w:val="32"/>
          <w:szCs w:val="32"/>
          <w:highlight w:val="none"/>
          <w:lang w:val="en-US" w:eastAsia="zh-CN"/>
        </w:rPr>
        <w:t>市电动车充电基础设施用电需求，加大对配套电网和变配电设施的改造力度，持续做好</w:t>
      </w:r>
      <w:r>
        <w:rPr>
          <w:rFonts w:hint="eastAsia" w:cs="Times New Roman"/>
          <w:color w:val="auto"/>
          <w:sz w:val="32"/>
          <w:szCs w:val="32"/>
          <w:highlight w:val="none"/>
          <w:lang w:val="en-US" w:eastAsia="zh-CN"/>
        </w:rPr>
        <w:t>崇左</w:t>
      </w:r>
      <w:r>
        <w:rPr>
          <w:rFonts w:hint="default" w:ascii="Times New Roman" w:hAnsi="Times New Roman" w:cs="Times New Roman"/>
          <w:color w:val="auto"/>
          <w:sz w:val="32"/>
          <w:szCs w:val="32"/>
          <w:highlight w:val="none"/>
          <w:lang w:val="en-US" w:eastAsia="zh-CN"/>
        </w:rPr>
        <w:t>市</w:t>
      </w:r>
      <w:r>
        <w:rPr>
          <w:rFonts w:hint="default" w:ascii="Times New Roman" w:hAnsi="Times New Roman" w:cs="Times New Roman"/>
          <w:color w:val="auto"/>
          <w:highlight w:val="none"/>
          <w:lang w:val="en-US" w:eastAsia="zh-CN"/>
        </w:rPr>
        <w:t>电动汽车充电基础设施的电网网架支撑</w:t>
      </w:r>
      <w:r>
        <w:rPr>
          <w:rFonts w:hint="default" w:ascii="Times New Roman" w:hAnsi="Times New Roman"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_GB2312" w:cs="Times New Roman"/>
          <w:snapToGrid w:val="0"/>
          <w:color w:val="auto"/>
          <w:kern w:val="0"/>
          <w:highlight w:val="none"/>
          <w:lang w:eastAsia="zh-CN"/>
        </w:rPr>
      </w:pPr>
      <w:r>
        <w:rPr>
          <w:rFonts w:hint="default" w:ascii="Times New Roman" w:hAnsi="Times New Roman" w:eastAsia="楷体_GB2312" w:cs="Times New Roman"/>
          <w:snapToGrid w:val="0"/>
          <w:color w:val="auto"/>
          <w:kern w:val="0"/>
          <w:highlight w:val="none"/>
          <w:lang w:eastAsia="zh-CN"/>
        </w:rPr>
        <w:t>（</w:t>
      </w:r>
      <w:r>
        <w:rPr>
          <w:rFonts w:hint="eastAsia" w:ascii="Times New Roman" w:hAnsi="Times New Roman" w:eastAsia="楷体_GB2312" w:cs="Times New Roman"/>
          <w:snapToGrid w:val="0"/>
          <w:color w:val="auto"/>
          <w:kern w:val="0"/>
          <w:highlight w:val="none"/>
          <w:lang w:val="en-US" w:eastAsia="zh-CN"/>
        </w:rPr>
        <w:t>二</w:t>
      </w:r>
      <w:r>
        <w:rPr>
          <w:rFonts w:hint="default" w:ascii="Times New Roman" w:hAnsi="Times New Roman" w:eastAsia="楷体_GB2312" w:cs="Times New Roman"/>
          <w:snapToGrid w:val="0"/>
          <w:color w:val="auto"/>
          <w:kern w:val="0"/>
          <w:highlight w:val="none"/>
          <w:lang w:eastAsia="zh-CN"/>
        </w:rPr>
        <w:t>）加强在碳排放领域的合作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甲方组织建立“电力+经济、能耗、碳排、环保”机制，依法依规与乙方合作开展电力辅助政府决策的模式创新，推动用电企业开展节能改造，实施电能替代项目</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支持乙方依法依规采集</w:t>
      </w:r>
      <w:r>
        <w:rPr>
          <w:rFonts w:hint="eastAsia" w:cs="Times New Roman"/>
          <w:color w:val="auto"/>
          <w:sz w:val="32"/>
          <w:szCs w:val="32"/>
          <w:highlight w:val="none"/>
          <w:lang w:val="en-US" w:eastAsia="zh-CN"/>
        </w:rPr>
        <w:t>崇左</w:t>
      </w:r>
      <w:r>
        <w:rPr>
          <w:rFonts w:hint="default" w:ascii="Times New Roman" w:hAnsi="Times New Roman" w:cs="Times New Roman"/>
          <w:color w:val="auto"/>
          <w:sz w:val="32"/>
          <w:szCs w:val="32"/>
          <w:highlight w:val="none"/>
          <w:lang w:val="en-US" w:eastAsia="zh-CN"/>
        </w:rPr>
        <w:t>市能耗数据、碳排放数据、能源数据和环保数据等，服务社会经济发展、企业能效提升、社会民生改善。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_GB2312" w:cs="Times New Roman"/>
          <w:snapToGrid w:val="0"/>
          <w:color w:val="auto"/>
          <w:kern w:val="0"/>
          <w:highlight w:val="none"/>
          <w:lang w:val="en-US" w:eastAsia="zh-CN"/>
        </w:rPr>
      </w:pPr>
      <w:r>
        <w:rPr>
          <w:rFonts w:hint="default" w:ascii="Times New Roman" w:hAnsi="Times New Roman" w:cs="Times New Roman"/>
          <w:color w:val="auto"/>
          <w:sz w:val="32"/>
          <w:szCs w:val="32"/>
          <w:highlight w:val="none"/>
          <w:lang w:val="en-US" w:eastAsia="zh-CN"/>
        </w:rPr>
        <w:t>乙方配合开展有关机制建设，与甲方合作提供用于服务生态文明、能耗、碳排放总量和强度“双控”为核心的数据产品、分析报告，辅助甲方开展碳排放管理。</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spacing w:line="580" w:lineRule="exact"/>
        <w:ind w:firstLine="640" w:firstLineChars="200"/>
        <w:jc w:val="lef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w:t>
      </w:r>
      <w:r>
        <w:rPr>
          <w:rFonts w:hint="eastAsia" w:ascii="黑体" w:hAnsi="黑体" w:eastAsia="黑体" w:cs="黑体"/>
          <w:color w:val="auto"/>
          <w:sz w:val="32"/>
          <w:szCs w:val="32"/>
          <w:highlight w:val="none"/>
          <w:lang w:val="en-US" w:eastAsia="zh-CN"/>
        </w:rPr>
        <w:t>五</w:t>
      </w:r>
      <w:r>
        <w:rPr>
          <w:rFonts w:hint="eastAsia" w:ascii="黑体" w:hAnsi="黑体" w:eastAsia="黑体" w:cs="黑体"/>
          <w:color w:val="auto"/>
          <w:sz w:val="32"/>
          <w:szCs w:val="32"/>
          <w:highlight w:val="none"/>
        </w:rPr>
        <w:t>条 筑牢能源安全防线，提升应急保供能力</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spacing w:line="580" w:lineRule="exact"/>
        <w:ind w:firstLine="640" w:firstLineChars="200"/>
        <w:jc w:val="left"/>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（一）强化电力设施保护</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spacing w:line="580" w:lineRule="exact"/>
        <w:ind w:firstLine="640" w:firstLineChars="200"/>
        <w:jc w:val="both"/>
        <w:textAlignment w:val="auto"/>
        <w:rPr>
          <w:rFonts w:hint="eastAsia" w:ascii="Times New Roman" w:hAnsi="仿宋_GB2312" w:eastAsia="仿宋_GB2312" w:cs="Times New Roman"/>
          <w:color w:val="auto"/>
          <w:sz w:val="32"/>
          <w:szCs w:val="32"/>
          <w:highlight w:val="none"/>
        </w:rPr>
      </w:pPr>
      <w:r>
        <w:rPr>
          <w:rFonts w:hint="eastAsia" w:ascii="Times New Roman" w:hAnsi="仿宋_GB2312" w:eastAsia="仿宋_GB2312" w:cs="Times New Roman"/>
          <w:color w:val="auto"/>
          <w:sz w:val="32"/>
          <w:szCs w:val="32"/>
          <w:highlight w:val="none"/>
        </w:rPr>
        <w:t>甲方</w:t>
      </w:r>
      <w:r>
        <w:rPr>
          <w:rFonts w:hint="eastAsia" w:ascii="Times New Roman" w:hAnsi="仿宋_GB2312" w:eastAsia="仿宋_GB2312" w:cs="Times New Roman"/>
          <w:color w:val="auto"/>
          <w:sz w:val="32"/>
          <w:szCs w:val="32"/>
          <w:highlight w:val="none"/>
          <w:lang w:val="en-US" w:eastAsia="zh-CN"/>
        </w:rPr>
        <w:t>统筹</w:t>
      </w:r>
      <w:r>
        <w:rPr>
          <w:rFonts w:hint="eastAsia" w:ascii="Times New Roman" w:hAnsi="仿宋_GB2312" w:eastAsia="仿宋_GB2312" w:cs="Times New Roman"/>
          <w:color w:val="auto"/>
          <w:sz w:val="32"/>
          <w:szCs w:val="32"/>
          <w:highlight w:val="none"/>
        </w:rPr>
        <w:t>健全电力行政执法机制，加大涉电安全及外力破坏隐患排查整治力度，严厉打击盗窃、破坏电力设施等违法行为。</w:t>
      </w:r>
      <w:r>
        <w:rPr>
          <w:rFonts w:hint="eastAsia" w:hAnsi="仿宋_GB2312" w:cs="Times New Roman"/>
          <w:color w:val="auto"/>
          <w:sz w:val="32"/>
          <w:szCs w:val="32"/>
          <w:highlight w:val="none"/>
          <w:lang w:val="en-US" w:eastAsia="zh-CN"/>
        </w:rPr>
        <w:t>优化</w:t>
      </w:r>
      <w:r>
        <w:rPr>
          <w:rFonts w:hint="eastAsia" w:ascii="Times New Roman" w:hAnsi="仿宋_GB2312" w:eastAsia="仿宋_GB2312" w:cs="Times New Roman"/>
          <w:color w:val="auto"/>
          <w:sz w:val="32"/>
          <w:szCs w:val="32"/>
          <w:highlight w:val="none"/>
        </w:rPr>
        <w:t>电力设施树障隐患处置林木采伐证办理绿色</w:t>
      </w:r>
      <w:r>
        <w:rPr>
          <w:rFonts w:hint="eastAsia" w:hAnsi="仿宋_GB2312" w:cs="Times New Roman"/>
          <w:color w:val="auto"/>
          <w:sz w:val="32"/>
          <w:szCs w:val="32"/>
          <w:highlight w:val="none"/>
          <w:lang w:val="en-US" w:eastAsia="zh-CN"/>
        </w:rPr>
        <w:t>流程</w:t>
      </w:r>
      <w:r>
        <w:rPr>
          <w:rFonts w:hint="eastAsia" w:ascii="Times New Roman" w:hAnsi="仿宋_GB2312" w:eastAsia="仿宋_GB2312" w:cs="Times New Roman"/>
          <w:color w:val="auto"/>
          <w:sz w:val="32"/>
          <w:szCs w:val="32"/>
          <w:highlight w:val="none"/>
        </w:rPr>
        <w:t>，强化电力线路沿线野外用火审批监管和违规用火查处力度</w:t>
      </w:r>
      <w:r>
        <w:rPr>
          <w:rFonts w:hint="eastAsia" w:ascii="Times New Roman" w:hAnsi="仿宋_GB2312" w:eastAsia="仿宋_GB2312" w:cs="Times New Roman"/>
          <w:color w:val="auto"/>
          <w:sz w:val="32"/>
          <w:szCs w:val="32"/>
          <w:highlight w:val="none"/>
          <w:lang w:eastAsia="zh-CN"/>
        </w:rPr>
        <w:t>，</w:t>
      </w:r>
      <w:r>
        <w:rPr>
          <w:rFonts w:hint="eastAsia" w:ascii="Times New Roman" w:hAnsi="仿宋_GB2312" w:eastAsia="仿宋_GB2312" w:cs="Times New Roman"/>
          <w:color w:val="auto"/>
          <w:sz w:val="32"/>
          <w:szCs w:val="32"/>
          <w:highlight w:val="none"/>
          <w:lang w:val="en-US" w:eastAsia="zh-CN"/>
        </w:rPr>
        <w:t>持续强化</w:t>
      </w:r>
      <w:r>
        <w:rPr>
          <w:rFonts w:hint="eastAsia" w:ascii="Times New Roman" w:hAnsi="仿宋_GB2312" w:eastAsia="仿宋_GB2312" w:cs="Times New Roman"/>
          <w:color w:val="auto"/>
          <w:sz w:val="32"/>
          <w:szCs w:val="32"/>
          <w:highlight w:val="none"/>
          <w:lang w:eastAsia="zh-CN"/>
        </w:rPr>
        <w:t>电力线路走廊树线矛盾协调处置。</w:t>
      </w:r>
      <w:r>
        <w:rPr>
          <w:rFonts w:hint="eastAsia" w:ascii="Times New Roman" w:hAnsi="仿宋_GB2312" w:eastAsia="仿宋_GB2312" w:cs="Times New Roman"/>
          <w:color w:val="auto"/>
          <w:sz w:val="32"/>
          <w:szCs w:val="32"/>
          <w:highlight w:val="none"/>
        </w:rPr>
        <w:t>将电力设施保护纳入社会治安综合治理体系，组织开展电力设施保护宣传教育，提高公众保护意识。</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spacing w:line="580" w:lineRule="exact"/>
        <w:ind w:firstLine="640" w:firstLineChars="200"/>
        <w:jc w:val="both"/>
        <w:textAlignment w:val="auto"/>
        <w:rPr>
          <w:rFonts w:hint="eastAsia" w:ascii="Times New Roman" w:hAnsi="仿宋_GB2312" w:eastAsia="仿宋_GB2312" w:cs="Times New Roman"/>
          <w:color w:val="auto"/>
          <w:sz w:val="32"/>
          <w:szCs w:val="32"/>
          <w:highlight w:val="none"/>
        </w:rPr>
      </w:pPr>
      <w:r>
        <w:rPr>
          <w:rFonts w:hint="eastAsia" w:ascii="Times New Roman" w:hAnsi="仿宋_GB2312" w:eastAsia="仿宋_GB2312" w:cs="Times New Roman"/>
          <w:color w:val="auto"/>
          <w:sz w:val="32"/>
          <w:szCs w:val="32"/>
          <w:highlight w:val="none"/>
        </w:rPr>
        <w:t>乙方加强电力设施运维管理，</w:t>
      </w:r>
      <w:r>
        <w:rPr>
          <w:rFonts w:hint="eastAsia" w:ascii="Times New Roman" w:hAnsi="仿宋_GB2312" w:eastAsia="仿宋_GB2312" w:cs="Times New Roman"/>
          <w:color w:val="auto"/>
          <w:sz w:val="32"/>
          <w:szCs w:val="32"/>
          <w:highlight w:val="none"/>
          <w:lang w:val="en-US" w:eastAsia="zh-CN"/>
        </w:rPr>
        <w:t>积极</w:t>
      </w:r>
      <w:r>
        <w:rPr>
          <w:rFonts w:hint="eastAsia" w:ascii="Times New Roman" w:hAnsi="仿宋_GB2312" w:eastAsia="仿宋_GB2312" w:cs="Times New Roman"/>
          <w:color w:val="auto"/>
          <w:sz w:val="32"/>
          <w:szCs w:val="32"/>
          <w:highlight w:val="none"/>
        </w:rPr>
        <w:t>推广智能监测、无人机巡检等技术手段，提高</w:t>
      </w:r>
      <w:r>
        <w:rPr>
          <w:rFonts w:hint="eastAsia" w:ascii="Times New Roman" w:hAnsi="仿宋_GB2312" w:eastAsia="仿宋_GB2312" w:cs="Times New Roman"/>
          <w:color w:val="auto"/>
          <w:sz w:val="32"/>
          <w:szCs w:val="32"/>
          <w:highlight w:val="none"/>
          <w:lang w:val="en-US" w:eastAsia="zh-CN"/>
        </w:rPr>
        <w:t>电力</w:t>
      </w:r>
      <w:r>
        <w:rPr>
          <w:rFonts w:hint="eastAsia" w:ascii="Times New Roman" w:hAnsi="仿宋_GB2312" w:eastAsia="仿宋_GB2312" w:cs="Times New Roman"/>
          <w:color w:val="auto"/>
          <w:sz w:val="32"/>
          <w:szCs w:val="32"/>
          <w:highlight w:val="none"/>
        </w:rPr>
        <w:t>设施防护水平。</w:t>
      </w:r>
      <w:r>
        <w:rPr>
          <w:rFonts w:hint="eastAsia" w:ascii="Times New Roman" w:hAnsi="仿宋_GB2312" w:eastAsia="仿宋_GB2312" w:cs="Times New Roman"/>
          <w:color w:val="auto"/>
          <w:sz w:val="32"/>
          <w:szCs w:val="32"/>
          <w:highlight w:val="none"/>
          <w:lang w:val="en-US" w:eastAsia="zh-CN"/>
        </w:rPr>
        <w:t>配合甲方出台电力线路沿线禁火管理有关办法，</w:t>
      </w:r>
      <w:r>
        <w:rPr>
          <w:rFonts w:hint="eastAsia" w:ascii="Times New Roman" w:hAnsi="仿宋_GB2312" w:eastAsia="仿宋_GB2312" w:cs="Times New Roman"/>
          <w:color w:val="auto"/>
          <w:sz w:val="32"/>
          <w:szCs w:val="32"/>
          <w:highlight w:val="none"/>
        </w:rPr>
        <w:t>主动对接甲方协调处理电力线路走廊树线矛盾</w:t>
      </w:r>
      <w:r>
        <w:rPr>
          <w:rFonts w:hint="eastAsia" w:ascii="Times New Roman" w:hAnsi="仿宋_GB2312" w:eastAsia="仿宋_GB2312" w:cs="Times New Roman"/>
          <w:color w:val="auto"/>
          <w:sz w:val="32"/>
          <w:szCs w:val="32"/>
          <w:highlight w:val="none"/>
          <w:lang w:eastAsia="zh-CN"/>
        </w:rPr>
        <w:t>。</w:t>
      </w:r>
      <w:r>
        <w:rPr>
          <w:rFonts w:hint="eastAsia" w:ascii="Times New Roman" w:hAnsi="仿宋_GB2312" w:eastAsia="仿宋_GB2312" w:cs="Times New Roman"/>
          <w:color w:val="auto"/>
          <w:sz w:val="32"/>
          <w:szCs w:val="32"/>
          <w:highlight w:val="none"/>
        </w:rPr>
        <w:t>定期组织开展电力设施保护知识培训，配合甲方做好行政执法相关工作。</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spacing w:line="580" w:lineRule="exact"/>
        <w:ind w:firstLine="640" w:firstLineChars="200"/>
        <w:jc w:val="left"/>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（二）完善应急联动机制</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spacing w:line="580" w:lineRule="exact"/>
        <w:ind w:firstLine="640" w:firstLineChars="200"/>
        <w:jc w:val="both"/>
        <w:textAlignment w:val="auto"/>
        <w:rPr>
          <w:rFonts w:hint="eastAsia" w:ascii="Times New Roman" w:hAnsi="仿宋_GB2312" w:eastAsia="仿宋_GB2312" w:cs="Times New Roman"/>
          <w:color w:val="auto"/>
          <w:sz w:val="32"/>
          <w:szCs w:val="32"/>
          <w:highlight w:val="none"/>
        </w:rPr>
      </w:pPr>
      <w:r>
        <w:rPr>
          <w:rFonts w:hint="eastAsia" w:ascii="Times New Roman" w:hAnsi="仿宋_GB2312" w:eastAsia="仿宋_GB2312" w:cs="Times New Roman"/>
          <w:color w:val="auto"/>
          <w:sz w:val="32"/>
          <w:szCs w:val="32"/>
          <w:highlight w:val="none"/>
        </w:rPr>
        <w:t>甲乙双方共享应急指挥相关信息，包括重要场所监控画面、应急资源布局等，为保供电数字化建设提供支撑，构建韧性更强的电力应急保障体系。</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spacing w:line="580" w:lineRule="exact"/>
        <w:ind w:firstLine="640" w:firstLineChars="200"/>
        <w:jc w:val="both"/>
        <w:textAlignment w:val="auto"/>
        <w:rPr>
          <w:rFonts w:hint="eastAsia" w:ascii="Times New Roman" w:hAnsi="仿宋_GB2312" w:eastAsia="仿宋_GB2312" w:cs="Times New Roman"/>
          <w:color w:val="auto"/>
          <w:sz w:val="32"/>
          <w:szCs w:val="32"/>
          <w:highlight w:val="none"/>
        </w:rPr>
      </w:pPr>
      <w:r>
        <w:rPr>
          <w:rFonts w:hint="eastAsia" w:ascii="仿宋_GB2312" w:hAnsi="仿宋_GB2312" w:eastAsia="仿宋_GB2312" w:cs="仿宋_GB2312"/>
          <w:color w:val="auto"/>
          <w:sz w:val="32"/>
          <w:szCs w:val="32"/>
          <w:highlight w:val="none"/>
          <w:lang w:val="en-US" w:eastAsia="zh-CN"/>
        </w:rPr>
        <w:t>甲方牵头健全跨部门电力应急联动机制，加强应急保障能力建设，推动市、县两级常态化开展应急演练</w:t>
      </w:r>
      <w:r>
        <w:rPr>
          <w:rFonts w:hint="eastAsia" w:ascii="Times New Roman" w:hAnsi="仿宋_GB2312" w:eastAsia="仿宋_GB2312" w:cs="Times New Roman"/>
          <w:color w:val="auto"/>
          <w:sz w:val="32"/>
          <w:szCs w:val="32"/>
          <w:highlight w:val="none"/>
        </w:rPr>
        <w:t>，提高突发停电事故处置能力。在应急状态下，为乙方提供应急抢修车辆绿色通道、交通疏导等支持。</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spacing w:line="580" w:lineRule="exact"/>
        <w:ind w:firstLine="640" w:firstLineChars="200"/>
        <w:jc w:val="left"/>
        <w:textAlignment w:val="auto"/>
        <w:rPr>
          <w:rFonts w:hint="eastAsia" w:ascii="Times New Roman" w:hAnsi="仿宋_GB2312" w:eastAsia="仿宋_GB2312" w:cs="Times New Roman"/>
          <w:color w:val="auto"/>
          <w:sz w:val="32"/>
          <w:szCs w:val="32"/>
          <w:highlight w:val="none"/>
        </w:rPr>
      </w:pPr>
      <w:r>
        <w:rPr>
          <w:rFonts w:hint="eastAsia" w:ascii="Times New Roman" w:hAnsi="仿宋_GB2312" w:eastAsia="仿宋_GB2312" w:cs="Times New Roman"/>
          <w:color w:val="auto"/>
          <w:sz w:val="32"/>
          <w:szCs w:val="32"/>
          <w:highlight w:val="none"/>
        </w:rPr>
        <w:t>乙方完善</w:t>
      </w:r>
      <w:r>
        <w:rPr>
          <w:rFonts w:hint="eastAsia" w:ascii="Times New Roman" w:hAnsi="仿宋_GB2312" w:eastAsia="仿宋_GB2312" w:cs="Times New Roman"/>
          <w:color w:val="auto"/>
          <w:sz w:val="32"/>
          <w:szCs w:val="32"/>
          <w:highlight w:val="none"/>
          <w:lang w:val="en-US" w:eastAsia="zh-CN"/>
        </w:rPr>
        <w:t>电力</w:t>
      </w:r>
      <w:r>
        <w:rPr>
          <w:rFonts w:hint="eastAsia" w:ascii="Times New Roman" w:hAnsi="仿宋_GB2312" w:eastAsia="仿宋_GB2312" w:cs="Times New Roman"/>
          <w:color w:val="auto"/>
          <w:sz w:val="32"/>
          <w:szCs w:val="32"/>
          <w:highlight w:val="none"/>
        </w:rPr>
        <w:t>应急预案，储备应急物资和移动电源，提高应急响应速度。配合甲方开展应急演练，做好重要用户、重大活动保供电工作，确保电网安全稳定运行。</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spacing w:line="580" w:lineRule="exact"/>
        <w:ind w:firstLine="640" w:firstLineChars="200"/>
        <w:jc w:val="left"/>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（三）提高重要用户供电安全保障</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spacing w:line="58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Times New Roman" w:hAnsi="仿宋_GB2312" w:eastAsia="仿宋_GB2312" w:cs="Times New Roman"/>
          <w:color w:val="auto"/>
          <w:sz w:val="32"/>
          <w:szCs w:val="32"/>
          <w:highlight w:val="none"/>
        </w:rPr>
        <w:t>甲</w:t>
      </w:r>
      <w:r>
        <w:rPr>
          <w:rFonts w:hint="eastAsia" w:ascii="Times New Roman" w:hAnsi="仿宋_GB2312" w:eastAsia="仿宋_GB2312" w:cs="Times New Roman"/>
          <w:color w:val="auto"/>
          <w:sz w:val="32"/>
          <w:szCs w:val="32"/>
          <w:highlight w:val="none"/>
          <w:lang w:val="en-US" w:eastAsia="zh-CN"/>
        </w:rPr>
        <w:t>方</w:t>
      </w:r>
      <w:r>
        <w:rPr>
          <w:rFonts w:hint="eastAsia" w:ascii="Times New Roman" w:hAnsi="仿宋_GB2312" w:eastAsia="仿宋_GB2312" w:cs="Times New Roman"/>
          <w:color w:val="auto"/>
          <w:sz w:val="32"/>
          <w:szCs w:val="32"/>
          <w:highlight w:val="none"/>
        </w:rPr>
        <w:t>明确重要用户</w:t>
      </w:r>
      <w:r>
        <w:rPr>
          <w:rFonts w:hint="eastAsia" w:hAnsi="仿宋_GB2312" w:cs="Times New Roman"/>
          <w:color w:val="auto"/>
          <w:sz w:val="32"/>
          <w:szCs w:val="32"/>
          <w:highlight w:val="none"/>
          <w:lang w:eastAsia="zh-CN"/>
        </w:rPr>
        <w:t>安全管理</w:t>
      </w:r>
      <w:r>
        <w:rPr>
          <w:rFonts w:hint="eastAsia" w:ascii="Times New Roman" w:hAnsi="仿宋_GB2312" w:eastAsia="仿宋_GB2312" w:cs="Times New Roman"/>
          <w:color w:val="auto"/>
          <w:sz w:val="32"/>
          <w:szCs w:val="32"/>
          <w:highlight w:val="none"/>
        </w:rPr>
        <w:t>责任分工及监管要求</w:t>
      </w:r>
      <w:r>
        <w:rPr>
          <w:rFonts w:hint="eastAsia" w:ascii="Times New Roman" w:hAnsi="仿宋_GB2312" w:eastAsia="仿宋_GB2312" w:cs="Times New Roman"/>
          <w:color w:val="auto"/>
          <w:sz w:val="32"/>
          <w:szCs w:val="32"/>
          <w:highlight w:val="none"/>
          <w:lang w:eastAsia="zh-CN"/>
        </w:rPr>
        <w:t>，</w:t>
      </w:r>
      <w:r>
        <w:rPr>
          <w:rFonts w:hint="eastAsia" w:hAnsi="仿宋_GB2312" w:cs="Times New Roman"/>
          <w:color w:val="auto"/>
          <w:sz w:val="32"/>
          <w:szCs w:val="32"/>
          <w:highlight w:val="none"/>
          <w:lang w:eastAsia="zh-CN"/>
        </w:rPr>
        <w:t>强化用户侧涉网安全源头管控及安全运行管理</w:t>
      </w:r>
      <w:r>
        <w:rPr>
          <w:rFonts w:hint="eastAsia" w:ascii="Times New Roman" w:hAnsi="仿宋_GB2312" w:eastAsia="仿宋_GB2312" w:cs="Times New Roman"/>
          <w:color w:val="auto"/>
          <w:sz w:val="32"/>
          <w:szCs w:val="32"/>
          <w:highlight w:val="none"/>
        </w:rPr>
        <w:t>，</w:t>
      </w:r>
      <w:r>
        <w:rPr>
          <w:rFonts w:hint="eastAsia" w:hAnsi="仿宋_GB2312" w:cs="Times New Roman"/>
          <w:color w:val="auto"/>
          <w:sz w:val="32"/>
          <w:szCs w:val="32"/>
          <w:highlight w:val="none"/>
          <w:lang w:eastAsia="zh-CN"/>
        </w:rPr>
        <w:t>根据《国家能源局关于加强用户侧涉网安全管理的通知》</w:t>
      </w:r>
      <w:r>
        <w:rPr>
          <w:rFonts w:hint="eastAsia" w:hAnsi="仿宋_GB2312" w:cs="Times New Roman"/>
          <w:color w:val="auto"/>
          <w:sz w:val="32"/>
          <w:szCs w:val="32"/>
          <w:highlight w:val="none"/>
          <w:lang w:val="en-US" w:eastAsia="zh-CN"/>
        </w:rPr>
        <w:t>文件要求</w:t>
      </w:r>
      <w:r>
        <w:rPr>
          <w:rFonts w:hint="eastAsia" w:ascii="仿宋_GB2312" w:hAnsi="仿宋_GB2312" w:eastAsia="仿宋_GB2312" w:cs="仿宋_GB2312"/>
          <w:color w:val="auto"/>
          <w:sz w:val="32"/>
          <w:szCs w:val="32"/>
          <w:highlight w:val="none"/>
          <w:lang w:val="en-US" w:eastAsia="zh-CN"/>
        </w:rPr>
        <w:t>，推动重要用户尽快落实双电源改造及UPS系统配置更换等资源保障措施。</w:t>
      </w:r>
    </w:p>
    <w:p>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spacing w:line="580" w:lineRule="exact"/>
        <w:ind w:firstLine="640" w:firstLineChars="200"/>
        <w:jc w:val="both"/>
        <w:textAlignment w:val="auto"/>
        <w:rPr>
          <w:rFonts w:hint="eastAsia" w:ascii="Times New Roman" w:hAnsi="仿宋_GB2312" w:eastAsia="仿宋_GB2312" w:cs="Times New Roman"/>
          <w:color w:val="auto"/>
          <w:sz w:val="32"/>
          <w:szCs w:val="32"/>
          <w:highlight w:val="none"/>
        </w:rPr>
      </w:pPr>
      <w:r>
        <w:rPr>
          <w:rFonts w:hint="eastAsia" w:ascii="Times New Roman" w:hAnsi="仿宋_GB2312" w:eastAsia="仿宋_GB2312" w:cs="Times New Roman"/>
          <w:color w:val="auto"/>
          <w:sz w:val="32"/>
          <w:szCs w:val="32"/>
          <w:highlight w:val="none"/>
          <w:lang w:val="en-US" w:eastAsia="zh-CN"/>
        </w:rPr>
        <w:t>乙方</w:t>
      </w:r>
      <w:r>
        <w:rPr>
          <w:rFonts w:hint="eastAsia" w:ascii="Times New Roman" w:hAnsi="仿宋_GB2312" w:eastAsia="仿宋_GB2312" w:cs="Times New Roman"/>
          <w:color w:val="auto"/>
          <w:sz w:val="32"/>
          <w:szCs w:val="32"/>
          <w:highlight w:val="none"/>
        </w:rPr>
        <w:t>建立重要用户全流程管理台账，配合甲方开展联合检查，对电能质量不达标、应急电源配置不到位等问题提出整改建议</w:t>
      </w:r>
      <w:r>
        <w:rPr>
          <w:rFonts w:hint="eastAsia" w:ascii="Times New Roman" w:hAnsi="仿宋_GB2312" w:eastAsia="仿宋_GB2312" w:cs="Times New Roman"/>
          <w:color w:val="auto"/>
          <w:sz w:val="32"/>
          <w:szCs w:val="32"/>
          <w:highlight w:val="none"/>
          <w:lang w:eastAsia="zh-CN"/>
        </w:rPr>
        <w:t>。</w:t>
      </w:r>
      <w:r>
        <w:rPr>
          <w:rFonts w:hint="eastAsia" w:ascii="Times New Roman" w:hAnsi="仿宋_GB2312" w:eastAsia="仿宋_GB2312" w:cs="Times New Roman"/>
          <w:color w:val="auto"/>
          <w:sz w:val="32"/>
          <w:szCs w:val="32"/>
          <w:highlight w:val="none"/>
        </w:rPr>
        <w:t>在工业园区规划阶段提供电网结构、雷暴防护等技术支撑，参与制定电能质量地方标准</w:t>
      </w:r>
      <w:r>
        <w:rPr>
          <w:rFonts w:hint="eastAsia" w:ascii="Times New Roman" w:hAnsi="仿宋_GB2312" w:eastAsia="仿宋_GB2312" w:cs="Times New Roman"/>
          <w:color w:val="auto"/>
          <w:sz w:val="32"/>
          <w:szCs w:val="32"/>
          <w:highlight w:val="none"/>
          <w:lang w:eastAsia="zh-CN"/>
        </w:rPr>
        <w:t>，</w:t>
      </w:r>
      <w:r>
        <w:rPr>
          <w:rFonts w:hint="eastAsia" w:ascii="Times New Roman" w:hAnsi="仿宋_GB2312" w:eastAsia="仿宋_GB2312" w:cs="Times New Roman"/>
          <w:color w:val="auto"/>
          <w:sz w:val="32"/>
          <w:szCs w:val="32"/>
          <w:highlight w:val="none"/>
        </w:rPr>
        <w:t>优化重要用户应急电源接入流程，推广快速接入箱等新技术应用，缩短应急电源接入周期。</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9"/>
        <w:rPr>
          <w:rFonts w:hint="default" w:ascii="Times New Roman" w:hAnsi="Times New Roman" w:eastAsia="黑体" w:cs="Times New Roman"/>
          <w:color w:val="auto"/>
          <w:sz w:val="32"/>
          <w:szCs w:val="32"/>
          <w:highlight w:val="none"/>
          <w:lang w:eastAsia="zh-CN"/>
        </w:rPr>
      </w:pPr>
      <w:r>
        <w:rPr>
          <w:rFonts w:hint="default" w:ascii="Times New Roman" w:hAnsi="Times New Roman" w:eastAsia="黑体" w:cs="Times New Roman"/>
          <w:bCs/>
          <w:color w:val="auto"/>
          <w:sz w:val="32"/>
          <w:szCs w:val="32"/>
          <w:highlight w:val="none"/>
        </w:rPr>
        <w:t>第</w:t>
      </w:r>
      <w:r>
        <w:rPr>
          <w:rFonts w:hint="default" w:ascii="Times New Roman" w:hAnsi="Times New Roman" w:eastAsia="黑体" w:cs="Times New Roman"/>
          <w:bCs/>
          <w:color w:val="auto"/>
          <w:sz w:val="32"/>
          <w:szCs w:val="32"/>
          <w:highlight w:val="none"/>
          <w:lang w:eastAsia="zh-CN"/>
        </w:rPr>
        <w:t>六</w:t>
      </w:r>
      <w:r>
        <w:rPr>
          <w:rFonts w:hint="default" w:ascii="Times New Roman" w:hAnsi="Times New Roman" w:eastAsia="黑体" w:cs="Times New Roman"/>
          <w:bCs/>
          <w:color w:val="auto"/>
          <w:sz w:val="32"/>
          <w:szCs w:val="32"/>
          <w:highlight w:val="none"/>
        </w:rPr>
        <w:t xml:space="preserve">条 </w:t>
      </w:r>
      <w:r>
        <w:rPr>
          <w:rFonts w:hint="default" w:ascii="Times New Roman" w:hAnsi="Times New Roman" w:eastAsia="黑体" w:cs="Times New Roman"/>
          <w:color w:val="auto"/>
          <w:sz w:val="32"/>
          <w:szCs w:val="32"/>
          <w:highlight w:val="none"/>
          <w:lang w:eastAsia="zh-CN"/>
        </w:rPr>
        <w:t>合作机制</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9"/>
        <w:rPr>
          <w:rStyle w:val="11"/>
          <w:rFonts w:hint="default" w:ascii="Times New Roman" w:hAnsi="Times New Roman" w:eastAsia="仿宋_GB2312" w:cs="Times New Roman"/>
          <w:bCs/>
          <w:color w:val="auto"/>
          <w:sz w:val="32"/>
          <w:szCs w:val="32"/>
          <w:highlight w:val="none"/>
        </w:rPr>
      </w:pPr>
      <w:r>
        <w:rPr>
          <w:rStyle w:val="11"/>
          <w:rFonts w:hint="default" w:ascii="Times New Roman" w:hAnsi="Times New Roman" w:eastAsia="仿宋_GB2312" w:cs="Times New Roman"/>
          <w:bCs/>
          <w:color w:val="auto"/>
          <w:sz w:val="32"/>
          <w:szCs w:val="32"/>
          <w:highlight w:val="none"/>
        </w:rPr>
        <w:t>甲乙</w:t>
      </w:r>
      <w:r>
        <w:rPr>
          <w:rStyle w:val="11"/>
          <w:rFonts w:hint="default" w:ascii="Times New Roman" w:hAnsi="Times New Roman" w:eastAsia="仿宋_GB2312" w:cs="Times New Roman"/>
          <w:bCs/>
          <w:color w:val="auto"/>
          <w:sz w:val="32"/>
          <w:szCs w:val="32"/>
          <w:highlight w:val="none"/>
          <w:lang w:eastAsia="zh-CN"/>
        </w:rPr>
        <w:t>双</w:t>
      </w:r>
      <w:r>
        <w:rPr>
          <w:rStyle w:val="11"/>
          <w:rFonts w:hint="default" w:ascii="Times New Roman" w:hAnsi="Times New Roman" w:eastAsia="仿宋_GB2312" w:cs="Times New Roman"/>
          <w:bCs/>
          <w:color w:val="auto"/>
          <w:sz w:val="32"/>
          <w:szCs w:val="32"/>
          <w:highlight w:val="none"/>
        </w:rPr>
        <w:t>方加强沟通协调，建立长期、稳定、高效的合作机制，负责研究落实合作相关领域具体事项，</w:t>
      </w:r>
      <w:r>
        <w:rPr>
          <w:rFonts w:hint="default" w:ascii="Times New Roman" w:hAnsi="Times New Roman" w:eastAsia="仿宋_GB2312" w:cs="Times New Roman"/>
          <w:bCs/>
          <w:color w:val="auto"/>
          <w:sz w:val="32"/>
          <w:szCs w:val="32"/>
          <w:highlight w:val="none"/>
        </w:rPr>
        <w:t>制定任务分解表，明确时间节点，确保责任落实</w:t>
      </w:r>
      <w:r>
        <w:rPr>
          <w:rFonts w:hint="default" w:ascii="Times New Roman" w:hAnsi="Times New Roman" w:eastAsia="仿宋_GB2312" w:cs="Times New Roman"/>
          <w:bCs/>
          <w:color w:val="auto"/>
          <w:sz w:val="32"/>
          <w:szCs w:val="32"/>
          <w:highlight w:val="none"/>
          <w:lang w:eastAsia="zh-CN"/>
        </w:rPr>
        <w:t>。</w:t>
      </w:r>
      <w:r>
        <w:rPr>
          <w:rFonts w:hint="eastAsia" w:ascii="Times New Roman" w:hAnsi="Times New Roman" w:eastAsia="仿宋_GB2312" w:cs="Times New Roman"/>
          <w:bCs/>
          <w:color w:val="auto"/>
          <w:sz w:val="32"/>
          <w:szCs w:val="32"/>
          <w:highlight w:val="none"/>
          <w:lang w:eastAsia="zh-CN"/>
        </w:rPr>
        <w:t>共同</w:t>
      </w:r>
      <w:r>
        <w:rPr>
          <w:rStyle w:val="11"/>
          <w:rFonts w:hint="default" w:ascii="Times New Roman" w:hAnsi="Times New Roman" w:eastAsia="仿宋_GB2312" w:cs="Times New Roman"/>
          <w:bCs/>
          <w:color w:val="auto"/>
          <w:sz w:val="32"/>
          <w:szCs w:val="32"/>
          <w:highlight w:val="none"/>
        </w:rPr>
        <w:t>解决项目推进遇到的问题，提高工作效率，加快</w:t>
      </w:r>
      <w:r>
        <w:rPr>
          <w:rStyle w:val="11"/>
          <w:rFonts w:hint="default" w:ascii="Times New Roman" w:hAnsi="Times New Roman" w:eastAsia="仿宋_GB2312" w:cs="Times New Roman"/>
          <w:bCs/>
          <w:color w:val="auto"/>
          <w:sz w:val="32"/>
          <w:szCs w:val="32"/>
          <w:highlight w:val="none"/>
          <w:lang w:eastAsia="zh-CN"/>
        </w:rPr>
        <w:t>各</w:t>
      </w:r>
      <w:r>
        <w:rPr>
          <w:rStyle w:val="11"/>
          <w:rFonts w:hint="default" w:ascii="Times New Roman" w:hAnsi="Times New Roman" w:eastAsia="仿宋_GB2312" w:cs="Times New Roman"/>
          <w:bCs/>
          <w:color w:val="auto"/>
          <w:sz w:val="32"/>
          <w:szCs w:val="32"/>
          <w:highlight w:val="none"/>
        </w:rPr>
        <w:t>项目落地开工建成发挥效益。</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9"/>
        <w:rPr>
          <w:rStyle w:val="11"/>
          <w:rFonts w:hint="default" w:ascii="Times New Roman" w:hAnsi="Times New Roman" w:eastAsia="黑体" w:cs="Times New Roman"/>
          <w:bCs/>
          <w:color w:val="auto"/>
          <w:sz w:val="32"/>
          <w:szCs w:val="32"/>
          <w:highlight w:val="none"/>
          <w:lang w:eastAsia="zh-CN"/>
        </w:rPr>
      </w:pPr>
      <w:r>
        <w:rPr>
          <w:rFonts w:hint="default" w:ascii="Times New Roman" w:hAnsi="Times New Roman" w:eastAsia="黑体" w:cs="Times New Roman"/>
          <w:bCs/>
          <w:color w:val="auto"/>
          <w:sz w:val="32"/>
          <w:szCs w:val="32"/>
          <w:highlight w:val="none"/>
        </w:rPr>
        <w:t>第</w:t>
      </w:r>
      <w:r>
        <w:rPr>
          <w:rFonts w:hint="default" w:ascii="Times New Roman" w:hAnsi="Times New Roman" w:eastAsia="黑体" w:cs="Times New Roman"/>
          <w:bCs/>
          <w:color w:val="auto"/>
          <w:sz w:val="32"/>
          <w:szCs w:val="32"/>
          <w:highlight w:val="none"/>
          <w:lang w:eastAsia="zh-CN"/>
        </w:rPr>
        <w:t>七</w:t>
      </w:r>
      <w:r>
        <w:rPr>
          <w:rFonts w:hint="default" w:ascii="Times New Roman" w:hAnsi="Times New Roman" w:eastAsia="黑体" w:cs="Times New Roman"/>
          <w:bCs/>
          <w:color w:val="auto"/>
          <w:sz w:val="32"/>
          <w:szCs w:val="32"/>
          <w:highlight w:val="none"/>
        </w:rPr>
        <w:t>条</w:t>
      </w:r>
      <w:r>
        <w:rPr>
          <w:rFonts w:hint="default" w:ascii="Times New Roman" w:hAnsi="Times New Roman" w:eastAsia="黑体" w:cs="Times New Roman"/>
          <w:bCs/>
          <w:color w:val="auto"/>
          <w:sz w:val="32"/>
          <w:szCs w:val="32"/>
          <w:highlight w:val="none"/>
          <w:lang w:val="en-US" w:eastAsia="zh-CN"/>
        </w:rPr>
        <w:t xml:space="preserve"> </w:t>
      </w:r>
      <w:r>
        <w:rPr>
          <w:rStyle w:val="11"/>
          <w:rFonts w:hint="default" w:ascii="Times New Roman" w:hAnsi="Times New Roman" w:eastAsia="黑体" w:cs="Times New Roman"/>
          <w:bCs/>
          <w:color w:val="auto"/>
          <w:sz w:val="32"/>
          <w:szCs w:val="32"/>
          <w:highlight w:val="none"/>
          <w:lang w:eastAsia="zh-CN"/>
        </w:rPr>
        <w:t>保密条款</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9"/>
        <w:rPr>
          <w:rStyle w:val="11"/>
          <w:rFonts w:hint="default" w:ascii="Times New Roman" w:hAnsi="Times New Roman" w:eastAsia="仿宋_GB2312" w:cs="Times New Roman"/>
          <w:bCs/>
          <w:color w:val="auto"/>
          <w:sz w:val="32"/>
          <w:szCs w:val="32"/>
          <w:highlight w:val="none"/>
          <w:lang w:eastAsia="zh-CN"/>
        </w:rPr>
      </w:pPr>
      <w:r>
        <w:rPr>
          <w:rStyle w:val="11"/>
          <w:rFonts w:hint="default" w:ascii="Times New Roman" w:hAnsi="Times New Roman" w:eastAsia="仿宋_GB2312" w:cs="Times New Roman"/>
          <w:bCs/>
          <w:color w:val="auto"/>
          <w:sz w:val="32"/>
          <w:szCs w:val="32"/>
          <w:highlight w:val="none"/>
          <w:lang w:eastAsia="zh-CN"/>
        </w:rPr>
        <w:t>未经任意一方书面同意，另外一方不得向任何第三人披露本协议，以及在后续合作过程中所获取和知悉的对方的商业秘密等信息，但依据我国法律法规或应司法、行政机关和上市监管机构要求对外披露以及需向各自所聘请的审计、法律等外部专业顾问提供的除外。如需要对外披露，双方应共同协商，统一步骤和口径。</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9"/>
        <w:rPr>
          <w:rFonts w:hint="eastAsia" w:ascii="Times New Roman" w:hAnsi="Times New Roman" w:eastAsia="黑体" w:cs="Times New Roman"/>
          <w:bCs/>
          <w:color w:val="auto"/>
          <w:sz w:val="32"/>
          <w:szCs w:val="32"/>
          <w:highlight w:val="none"/>
          <w:lang w:val="en-US" w:eastAsia="zh-CN"/>
        </w:rPr>
      </w:pPr>
      <w:r>
        <w:rPr>
          <w:rFonts w:hint="default" w:ascii="Times New Roman" w:hAnsi="Times New Roman" w:eastAsia="黑体" w:cs="Times New Roman"/>
          <w:bCs/>
          <w:color w:val="auto"/>
          <w:sz w:val="32"/>
          <w:szCs w:val="32"/>
          <w:highlight w:val="none"/>
        </w:rPr>
        <w:t>第</w:t>
      </w:r>
      <w:r>
        <w:rPr>
          <w:rFonts w:hint="eastAsia" w:eastAsia="黑体" w:cs="Times New Roman"/>
          <w:bCs/>
          <w:color w:val="auto"/>
          <w:sz w:val="32"/>
          <w:szCs w:val="32"/>
          <w:highlight w:val="none"/>
          <w:lang w:val="en-US" w:eastAsia="zh-CN"/>
        </w:rPr>
        <w:t xml:space="preserve">八条 </w:t>
      </w:r>
      <w:r>
        <w:rPr>
          <w:rFonts w:hint="eastAsia" w:ascii="Times New Roman" w:hAnsi="Times New Roman" w:eastAsia="黑体" w:cs="Times New Roman"/>
          <w:bCs/>
          <w:color w:val="auto"/>
          <w:sz w:val="32"/>
          <w:szCs w:val="32"/>
          <w:highlight w:val="none"/>
          <w:lang w:val="en-US" w:eastAsia="zh-CN"/>
        </w:rPr>
        <w:t>争议解决条款</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9"/>
        <w:rPr>
          <w:rStyle w:val="11"/>
          <w:rFonts w:hint="default" w:ascii="Times New Roman" w:hAnsi="Times New Roman" w:eastAsia="仿宋_GB2312" w:cs="Times New Roman"/>
          <w:bCs/>
          <w:color w:val="auto"/>
          <w:sz w:val="32"/>
          <w:szCs w:val="32"/>
          <w:highlight w:val="none"/>
          <w:lang w:val="en-US" w:eastAsia="zh-CN"/>
        </w:rPr>
      </w:pPr>
      <w:r>
        <w:rPr>
          <w:rStyle w:val="11"/>
          <w:rFonts w:hint="default" w:ascii="Times New Roman" w:hAnsi="Times New Roman" w:eastAsia="仿宋_GB2312" w:cs="Times New Roman"/>
          <w:bCs/>
          <w:color w:val="auto"/>
          <w:sz w:val="32"/>
          <w:szCs w:val="32"/>
          <w:highlight w:val="none"/>
          <w:lang w:val="en-US" w:eastAsia="zh-CN"/>
        </w:rPr>
        <w:t>凡因本协议引起的或与本协议有关的任何争议，双方应友好协商解决；协商不成的，由甲方所在地有管辖权的人民法院管辖。</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9"/>
        <w:rPr>
          <w:rFonts w:hint="default" w:ascii="Times New Roman" w:hAnsi="Times New Roman" w:eastAsia="仿宋_GB2312" w:cs="Times New Roman"/>
          <w:b/>
          <w:bCs/>
          <w:color w:val="auto"/>
          <w:kern w:val="44"/>
          <w:sz w:val="32"/>
          <w:szCs w:val="32"/>
          <w:highlight w:val="none"/>
        </w:rPr>
      </w:pPr>
      <w:r>
        <w:rPr>
          <w:rFonts w:hint="default" w:ascii="Times New Roman" w:hAnsi="Times New Roman" w:eastAsia="黑体" w:cs="Times New Roman"/>
          <w:bCs/>
          <w:color w:val="auto"/>
          <w:sz w:val="32"/>
          <w:szCs w:val="32"/>
          <w:highlight w:val="none"/>
        </w:rPr>
        <w:t>第</w:t>
      </w:r>
      <w:r>
        <w:rPr>
          <w:rFonts w:hint="eastAsia" w:eastAsia="黑体" w:cs="Times New Roman"/>
          <w:bCs/>
          <w:color w:val="auto"/>
          <w:sz w:val="32"/>
          <w:szCs w:val="32"/>
          <w:highlight w:val="none"/>
          <w:lang w:val="en-US" w:eastAsia="zh-CN"/>
        </w:rPr>
        <w:t>九</w:t>
      </w:r>
      <w:r>
        <w:rPr>
          <w:rFonts w:hint="default" w:ascii="Times New Roman" w:hAnsi="Times New Roman" w:eastAsia="黑体" w:cs="Times New Roman"/>
          <w:bCs/>
          <w:color w:val="auto"/>
          <w:sz w:val="32"/>
          <w:szCs w:val="32"/>
          <w:highlight w:val="none"/>
        </w:rPr>
        <w:t>条 其他事项</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9"/>
        <w:rPr>
          <w:rFonts w:hint="eastAsia" w:ascii="仿宋_GB2312" w:hAnsi="仿宋_GB2312" w:eastAsia="仿宋_GB2312" w:cs="仿宋_GB2312"/>
          <w:bCs/>
          <w:color w:val="auto"/>
          <w:sz w:val="32"/>
          <w:szCs w:val="32"/>
          <w:highlight w:val="none"/>
          <w:lang w:eastAsia="zh-CN"/>
        </w:rPr>
      </w:pPr>
      <w:r>
        <w:rPr>
          <w:rFonts w:hint="eastAsia" w:ascii="仿宋_GB2312" w:hAnsi="仿宋_GB2312" w:eastAsia="仿宋_GB2312" w:cs="仿宋_GB2312"/>
          <w:bCs/>
          <w:color w:val="auto"/>
          <w:sz w:val="32"/>
          <w:szCs w:val="32"/>
          <w:highlight w:val="none"/>
        </w:rPr>
        <w:t>（一）</w:t>
      </w:r>
      <w:r>
        <w:rPr>
          <w:rFonts w:hint="eastAsia" w:ascii="仿宋_GB2312" w:hAnsi="仿宋_GB2312" w:eastAsia="仿宋_GB2312" w:cs="仿宋_GB2312"/>
          <w:color w:val="auto"/>
          <w:sz w:val="32"/>
          <w:szCs w:val="32"/>
          <w:highlight w:val="none"/>
        </w:rPr>
        <w:t>本协议涉及的所有事项应在符合法律法规和相关政策规定，以及在甲方职权范围内且符合业务审批条件和办理程序的前提下进行。</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Cs/>
          <w:color w:val="auto"/>
          <w:sz w:val="32"/>
          <w:szCs w:val="32"/>
          <w:highlight w:val="none"/>
          <w:lang w:eastAsia="zh-CN"/>
        </w:rPr>
        <w:t>（二）</w:t>
      </w:r>
      <w:r>
        <w:rPr>
          <w:rFonts w:hint="eastAsia" w:ascii="仿宋_GB2312" w:hAnsi="仿宋_GB2312" w:eastAsia="仿宋_GB2312" w:cs="仿宋_GB2312"/>
          <w:color w:val="auto"/>
          <w:sz w:val="32"/>
          <w:szCs w:val="32"/>
          <w:highlight w:val="none"/>
        </w:rPr>
        <w:t>根据本协议确定的合作内容开展具体项目合作时，若有关具体项目属于《中华人民共和国招标投标法》《中华人民共和国政府采购法》《基础设施和公共事业特许经营管理办法》等法律、法规、规章和相关政策明确需要履行政府采购、招标投标或特许经营授予等程序的，按照有关规定办理。</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三</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本协议履行过程中，如有未尽事宜，或遇有关法律法规或政策调整等不可抗力，经双方同意，可以进行书面补充或修改，本协议的任何补充或修改均构成本协议不可分割的组成部分，与本协议具有同等法律效力。</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四</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本协议的终止、解除或无效，不影响合作期内双方签订的各项具体合作项目合同的法律效力。</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五</w:t>
      </w:r>
      <w:r>
        <w:rPr>
          <w:rFonts w:hint="eastAsia" w:ascii="仿宋_GB2312" w:hAnsi="仿宋_GB2312" w:eastAsia="仿宋_GB2312" w:cs="仿宋_GB2312"/>
          <w:color w:val="auto"/>
          <w:sz w:val="32"/>
          <w:szCs w:val="32"/>
          <w:highlight w:val="none"/>
        </w:rPr>
        <w:t>）本协议一式肆份，双方各执贰份</w:t>
      </w:r>
      <w:r>
        <w:rPr>
          <w:rFonts w:hint="eastAsia" w:ascii="仿宋_GB2312" w:hAnsi="仿宋_GB2312" w:eastAsia="仿宋_GB2312" w:cs="仿宋_GB2312"/>
          <w:color w:val="auto"/>
          <w:sz w:val="32"/>
          <w:szCs w:val="32"/>
          <w:highlight w:val="none"/>
          <w:lang w:eastAsia="zh-CN"/>
        </w:rPr>
        <w:t>，自双方法定代表人或授权代表签字并加盖公章之日起生效，有效期至</w:t>
      </w:r>
      <w:r>
        <w:rPr>
          <w:rFonts w:hint="eastAsia" w:ascii="仿宋_GB2312" w:hAnsi="仿宋_GB2312" w:eastAsia="仿宋_GB2312" w:cs="仿宋_GB2312"/>
          <w:color w:val="auto"/>
          <w:sz w:val="32"/>
          <w:szCs w:val="32"/>
          <w:highlight w:val="none"/>
          <w:lang w:val="en-US" w:eastAsia="zh-CN"/>
        </w:rPr>
        <w:t>20</w:t>
      </w:r>
      <w:r>
        <w:rPr>
          <w:rFonts w:hint="eastAsia" w:ascii="仿宋_GB2312" w:hAnsi="仿宋_GB2312" w:cs="仿宋_GB2312"/>
          <w:color w:val="auto"/>
          <w:sz w:val="32"/>
          <w:szCs w:val="32"/>
          <w:highlight w:val="none"/>
          <w:lang w:val="en-US" w:eastAsia="zh-CN"/>
        </w:rPr>
        <w:t>30</w:t>
      </w:r>
      <w:r>
        <w:rPr>
          <w:rFonts w:hint="eastAsia" w:ascii="仿宋_GB2312" w:hAnsi="仿宋_GB2312" w:eastAsia="仿宋_GB2312" w:cs="仿宋_GB2312"/>
          <w:color w:val="auto"/>
          <w:sz w:val="32"/>
          <w:szCs w:val="32"/>
          <w:highlight w:val="none"/>
          <w:lang w:val="en-US" w:eastAsia="zh-CN"/>
        </w:rPr>
        <w:t>年12月31日</w:t>
      </w:r>
      <w:r>
        <w:rPr>
          <w:rFonts w:hint="eastAsia" w:ascii="仿宋_GB2312" w:hAnsi="仿宋_GB2312" w:cs="仿宋_GB2312"/>
          <w:color w:val="auto"/>
          <w:sz w:val="32"/>
          <w:szCs w:val="32"/>
          <w:highlight w:val="none"/>
          <w:lang w:eastAsia="zh-CN"/>
        </w:rPr>
        <w:t>，</w:t>
      </w:r>
      <w:r>
        <w:rPr>
          <w:rFonts w:hint="eastAsia" w:ascii="仿宋_GB2312" w:hAnsi="仿宋_GB2312" w:cs="仿宋_GB2312"/>
          <w:color w:val="auto"/>
          <w:sz w:val="32"/>
          <w:szCs w:val="32"/>
          <w:highlight w:val="none"/>
          <w:lang w:val="en-US" w:eastAsia="zh-CN"/>
        </w:rPr>
        <w:t>期间可</w:t>
      </w:r>
      <w:r>
        <w:rPr>
          <w:rFonts w:hint="eastAsia" w:ascii="仿宋_GB2312" w:hAnsi="仿宋_GB2312" w:eastAsia="仿宋_GB2312" w:cs="仿宋_GB2312"/>
          <w:color w:val="auto"/>
          <w:sz w:val="32"/>
          <w:szCs w:val="32"/>
          <w:highlight w:val="none"/>
          <w:lang w:eastAsia="zh-CN"/>
        </w:rPr>
        <w:t>根据情况另行商定，经双方协商同意，可修正或重新签订。</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（以下无正文）</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lang w:eastAsia="zh-CN"/>
        </w:rPr>
        <w:br w:type="page"/>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9"/>
        <w:rPr>
          <w:rFonts w:hint="default" w:ascii="Times New Roman" w:hAnsi="Times New Roman" w:eastAsia="仿宋_GB2312"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9"/>
        <w:rPr>
          <w:rFonts w:hint="default" w:ascii="Times New Roman" w:hAnsi="Times New Roman" w:eastAsia="仿宋_GB2312"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9"/>
        <w:rPr>
          <w:rFonts w:hint="default" w:ascii="Times New Roman" w:hAnsi="Times New Roman" w:eastAsia="仿宋_GB2312"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baseline"/>
        <w:rPr>
          <w:rFonts w:hint="default" w:ascii="Times New Roman" w:hAnsi="Times New Roman" w:eastAsia="仿宋_GB2312" w:cs="Times New Roman"/>
          <w:b/>
          <w:color w:val="auto"/>
          <w:sz w:val="32"/>
          <w:szCs w:val="32"/>
          <w:highlight w:val="none"/>
        </w:rPr>
      </w:pPr>
      <w:r>
        <w:rPr>
          <w:rFonts w:hint="default" w:ascii="Times New Roman" w:hAnsi="Times New Roman" w:eastAsia="仿宋_GB2312" w:cs="Times New Roman"/>
          <w:b/>
          <w:color w:val="auto"/>
          <w:sz w:val="32"/>
          <w:szCs w:val="32"/>
          <w:highlight w:val="none"/>
        </w:rPr>
        <w:t>甲方（盖章）：</w:t>
      </w:r>
      <w:r>
        <w:rPr>
          <w:rFonts w:hint="eastAsia" w:cs="Times New Roman"/>
          <w:b/>
          <w:bCs/>
          <w:color w:val="auto"/>
          <w:w w:val="100"/>
          <w:sz w:val="32"/>
          <w:szCs w:val="32"/>
          <w:highlight w:val="none"/>
          <w:lang w:val="en-US" w:eastAsia="zh-CN"/>
        </w:rPr>
        <w:t>崇左</w:t>
      </w:r>
      <w:r>
        <w:rPr>
          <w:rFonts w:hint="default" w:ascii="Times New Roman" w:hAnsi="Times New Roman" w:eastAsia="仿宋_GB2312" w:cs="Times New Roman"/>
          <w:b/>
          <w:bCs/>
          <w:color w:val="auto"/>
          <w:w w:val="100"/>
          <w:sz w:val="32"/>
          <w:szCs w:val="32"/>
          <w:highlight w:val="none"/>
          <w:lang w:val="en-US" w:eastAsia="zh-CN"/>
        </w:rPr>
        <w:t>市人民政府</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baseline"/>
        <w:rPr>
          <w:rFonts w:hint="default" w:ascii="Times New Roman" w:hAnsi="Times New Roman" w:eastAsia="仿宋_GB2312" w:cs="Times New Roman"/>
          <w:b/>
          <w:color w:val="auto"/>
          <w:sz w:val="32"/>
          <w:szCs w:val="32"/>
          <w:highlight w:val="none"/>
        </w:rPr>
      </w:pPr>
      <w:r>
        <w:rPr>
          <w:rFonts w:hint="default" w:ascii="Times New Roman" w:hAnsi="Times New Roman" w:eastAsia="仿宋_GB2312" w:cs="Times New Roman"/>
          <w:b/>
          <w:color w:val="auto"/>
          <w:sz w:val="32"/>
          <w:szCs w:val="32"/>
          <w:highlight w:val="none"/>
        </w:rPr>
        <w:t>日期：</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baseline"/>
        <w:rPr>
          <w:rFonts w:hint="default" w:ascii="Times New Roman" w:hAnsi="Times New Roman" w:eastAsia="仿宋_GB2312" w:cs="Times New Roman"/>
          <w:b w:val="0"/>
          <w:bCs/>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baseline"/>
        <w:rPr>
          <w:rFonts w:hint="default" w:ascii="Times New Roman" w:hAnsi="Times New Roman" w:eastAsia="仿宋_GB2312" w:cs="Times New Roman"/>
          <w:b w:val="0"/>
          <w:bCs/>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baseline"/>
        <w:rPr>
          <w:rFonts w:hint="default" w:ascii="Times New Roman" w:hAnsi="Times New Roman" w:eastAsia="仿宋_GB2312" w:cs="Times New Roman"/>
          <w:b w:val="0"/>
          <w:bCs/>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baseline"/>
        <w:rPr>
          <w:rFonts w:hint="default" w:ascii="Times New Roman" w:hAnsi="Times New Roman" w:eastAsia="仿宋_GB2312" w:cs="Times New Roman"/>
          <w:b/>
          <w:color w:val="auto"/>
          <w:sz w:val="32"/>
          <w:szCs w:val="32"/>
          <w:highlight w:val="none"/>
          <w:lang w:eastAsia="zh-CN"/>
        </w:rPr>
      </w:pPr>
      <w:r>
        <w:rPr>
          <w:rFonts w:hint="default" w:ascii="Times New Roman" w:hAnsi="Times New Roman" w:eastAsia="仿宋_GB2312" w:cs="Times New Roman"/>
          <w:b/>
          <w:color w:val="auto"/>
          <w:sz w:val="32"/>
          <w:szCs w:val="32"/>
          <w:highlight w:val="none"/>
        </w:rPr>
        <w:t>乙方（盖章）：</w:t>
      </w:r>
      <w:r>
        <w:rPr>
          <w:rFonts w:hint="default" w:ascii="Times New Roman" w:hAnsi="Times New Roman" w:eastAsia="仿宋_GB2312" w:cs="Times New Roman"/>
          <w:b/>
          <w:color w:val="auto"/>
          <w:sz w:val="32"/>
          <w:szCs w:val="32"/>
          <w:highlight w:val="none"/>
          <w:lang w:eastAsia="zh-CN"/>
        </w:rPr>
        <w:t>广西电网有限责任公司</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jc w:val="left"/>
        <w:textAlignment w:val="baseline"/>
        <w:rPr>
          <w:rFonts w:hint="default" w:ascii="Times New Roman" w:hAnsi="Times New Roman" w:eastAsia="仿宋_GB2312" w:cs="Times New Roman"/>
          <w:b/>
          <w:color w:val="auto"/>
          <w:sz w:val="32"/>
          <w:szCs w:val="32"/>
          <w:highlight w:val="none"/>
          <w:lang w:eastAsia="zh-CN"/>
        </w:rPr>
      </w:pPr>
      <w:r>
        <w:rPr>
          <w:rFonts w:hint="default" w:ascii="Times New Roman" w:hAnsi="Times New Roman" w:eastAsia="仿宋_GB2312" w:cs="Times New Roman"/>
          <w:b/>
          <w:color w:val="auto"/>
          <w:sz w:val="32"/>
          <w:szCs w:val="32"/>
          <w:highlight w:val="none"/>
        </w:rPr>
        <w:t>日期：</w:t>
      </w:r>
    </w:p>
    <w:p>
      <w:pPr>
        <w:keepNext w:val="0"/>
        <w:keepLines w:val="0"/>
        <w:pageBreakBefore w:val="0"/>
        <w:kinsoku/>
        <w:wordWrap/>
        <w:overflowPunct/>
        <w:topLinePunct w:val="0"/>
        <w:autoSpaceDE/>
        <w:autoSpaceDN/>
        <w:bidi w:val="0"/>
        <w:spacing w:line="580" w:lineRule="exact"/>
        <w:textAlignment w:val="auto"/>
        <w:rPr>
          <w:color w:val="auto"/>
          <w:highlight w:val="none"/>
        </w:rPr>
      </w:pPr>
    </w:p>
    <w:p>
      <w:pPr>
        <w:pStyle w:val="2"/>
        <w:keepNext w:val="0"/>
        <w:keepLines w:val="0"/>
        <w:pageBreakBefore w:val="0"/>
        <w:kinsoku/>
        <w:wordWrap/>
        <w:overflowPunct/>
        <w:topLinePunct w:val="0"/>
        <w:autoSpaceDE/>
        <w:autoSpaceDN/>
        <w:bidi w:val="0"/>
        <w:spacing w:after="0" w:line="580" w:lineRule="exact"/>
        <w:textAlignment w:val="auto"/>
        <w:rPr>
          <w:color w:val="auto"/>
          <w:highlight w:val="none"/>
        </w:rPr>
      </w:pPr>
    </w:p>
    <w:p>
      <w:pPr>
        <w:pStyle w:val="3"/>
        <w:keepNext w:val="0"/>
        <w:keepLines w:val="0"/>
        <w:pageBreakBefore w:val="0"/>
        <w:kinsoku/>
        <w:wordWrap/>
        <w:overflowPunct/>
        <w:topLinePunct w:val="0"/>
        <w:autoSpaceDE/>
        <w:autoSpaceDN/>
        <w:bidi w:val="0"/>
        <w:spacing w:before="0" w:after="0" w:line="580" w:lineRule="exact"/>
        <w:textAlignment w:val="auto"/>
        <w:rPr>
          <w:color w:val="auto"/>
          <w:highlight w:val="none"/>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方正仿宋简体">
    <w:altName w:val="方正仿宋_GBK"/>
    <w:panose1 w:val="02000000000000000000"/>
    <w:charset w:val="86"/>
    <w:family w:val="auto"/>
    <w:pitch w:val="default"/>
    <w:sig w:usb0="00000000" w:usb1="00000000" w:usb2="00000012" w:usb3="00000000" w:csb0="00040001" w:csb1="00000000"/>
  </w:font>
  <w:font w:name="方正仿宋_GBK">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true"/>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266AD5"/>
    <w:rsid w:val="004E647D"/>
    <w:rsid w:val="00DF187C"/>
    <w:rsid w:val="00DF6F95"/>
    <w:rsid w:val="00EC5A5C"/>
    <w:rsid w:val="01632C7D"/>
    <w:rsid w:val="01C2189C"/>
    <w:rsid w:val="02826A55"/>
    <w:rsid w:val="029A7D90"/>
    <w:rsid w:val="02BB2D3E"/>
    <w:rsid w:val="033030F2"/>
    <w:rsid w:val="0378370C"/>
    <w:rsid w:val="038C13BB"/>
    <w:rsid w:val="039779CE"/>
    <w:rsid w:val="04276CC7"/>
    <w:rsid w:val="04471ABC"/>
    <w:rsid w:val="0450568E"/>
    <w:rsid w:val="04BB2818"/>
    <w:rsid w:val="054D1946"/>
    <w:rsid w:val="05E33007"/>
    <w:rsid w:val="060A6758"/>
    <w:rsid w:val="060C5BE4"/>
    <w:rsid w:val="076F6E3E"/>
    <w:rsid w:val="07717415"/>
    <w:rsid w:val="078946F7"/>
    <w:rsid w:val="07BD2B45"/>
    <w:rsid w:val="07FF2C05"/>
    <w:rsid w:val="0821323A"/>
    <w:rsid w:val="08FB1E87"/>
    <w:rsid w:val="09772BD9"/>
    <w:rsid w:val="098C37FE"/>
    <w:rsid w:val="0A034C41"/>
    <w:rsid w:val="0A1A22FB"/>
    <w:rsid w:val="0A2B1492"/>
    <w:rsid w:val="0A555808"/>
    <w:rsid w:val="0A9E6B69"/>
    <w:rsid w:val="0ACC2130"/>
    <w:rsid w:val="0AF66B06"/>
    <w:rsid w:val="0B252338"/>
    <w:rsid w:val="0B597E56"/>
    <w:rsid w:val="0BCB5D17"/>
    <w:rsid w:val="0C0A2467"/>
    <w:rsid w:val="0C4538B7"/>
    <w:rsid w:val="0C4F5028"/>
    <w:rsid w:val="0C770B08"/>
    <w:rsid w:val="0C9C67CA"/>
    <w:rsid w:val="0D3A712B"/>
    <w:rsid w:val="0D4A6D5B"/>
    <w:rsid w:val="0DC84FB5"/>
    <w:rsid w:val="0DCB47D6"/>
    <w:rsid w:val="0DCE2D37"/>
    <w:rsid w:val="0E791CFE"/>
    <w:rsid w:val="0E9015BA"/>
    <w:rsid w:val="0E922D32"/>
    <w:rsid w:val="0EEC67B6"/>
    <w:rsid w:val="0F144F99"/>
    <w:rsid w:val="0F1A576B"/>
    <w:rsid w:val="0F2A5310"/>
    <w:rsid w:val="0F5A3F92"/>
    <w:rsid w:val="0F7765B0"/>
    <w:rsid w:val="0FD10FEC"/>
    <w:rsid w:val="10A74C74"/>
    <w:rsid w:val="10AF532D"/>
    <w:rsid w:val="118D0613"/>
    <w:rsid w:val="11A643D8"/>
    <w:rsid w:val="11B0521C"/>
    <w:rsid w:val="12034421"/>
    <w:rsid w:val="120E10A6"/>
    <w:rsid w:val="1210749A"/>
    <w:rsid w:val="121760A0"/>
    <w:rsid w:val="12321948"/>
    <w:rsid w:val="12605A80"/>
    <w:rsid w:val="128C7870"/>
    <w:rsid w:val="12FE5716"/>
    <w:rsid w:val="130638D2"/>
    <w:rsid w:val="13281E2D"/>
    <w:rsid w:val="132F2A08"/>
    <w:rsid w:val="14261A1D"/>
    <w:rsid w:val="14491341"/>
    <w:rsid w:val="14B117EF"/>
    <w:rsid w:val="14DF13D3"/>
    <w:rsid w:val="14F04217"/>
    <w:rsid w:val="15015728"/>
    <w:rsid w:val="15114C7F"/>
    <w:rsid w:val="156871FD"/>
    <w:rsid w:val="15A50DA1"/>
    <w:rsid w:val="15D0630A"/>
    <w:rsid w:val="16096D4D"/>
    <w:rsid w:val="160D3F7D"/>
    <w:rsid w:val="162B3E2B"/>
    <w:rsid w:val="162C6AEB"/>
    <w:rsid w:val="179678A6"/>
    <w:rsid w:val="17C353C4"/>
    <w:rsid w:val="17D02A02"/>
    <w:rsid w:val="18447F80"/>
    <w:rsid w:val="1854781B"/>
    <w:rsid w:val="185C73E5"/>
    <w:rsid w:val="19AE4B1E"/>
    <w:rsid w:val="19D060CD"/>
    <w:rsid w:val="1A4C420C"/>
    <w:rsid w:val="1A7F4050"/>
    <w:rsid w:val="1AC50DD6"/>
    <w:rsid w:val="1AD52CD2"/>
    <w:rsid w:val="1AE277DE"/>
    <w:rsid w:val="1AF15292"/>
    <w:rsid w:val="1BA15F3F"/>
    <w:rsid w:val="1BB5357C"/>
    <w:rsid w:val="1C011D6E"/>
    <w:rsid w:val="1C2E0776"/>
    <w:rsid w:val="1C8E3CBE"/>
    <w:rsid w:val="1D610312"/>
    <w:rsid w:val="1D694A98"/>
    <w:rsid w:val="1D9B2B93"/>
    <w:rsid w:val="1DA061CE"/>
    <w:rsid w:val="1DF9404D"/>
    <w:rsid w:val="1EA0237B"/>
    <w:rsid w:val="1F0961A3"/>
    <w:rsid w:val="1F7A3730"/>
    <w:rsid w:val="1F92520F"/>
    <w:rsid w:val="1FA840CA"/>
    <w:rsid w:val="1FAF3EEB"/>
    <w:rsid w:val="1FF97CC7"/>
    <w:rsid w:val="208F6CBB"/>
    <w:rsid w:val="21A330F8"/>
    <w:rsid w:val="21AC206A"/>
    <w:rsid w:val="22523E49"/>
    <w:rsid w:val="22987933"/>
    <w:rsid w:val="22DC642C"/>
    <w:rsid w:val="22E745A9"/>
    <w:rsid w:val="23114D67"/>
    <w:rsid w:val="233553FB"/>
    <w:rsid w:val="23982BF2"/>
    <w:rsid w:val="23AA4C15"/>
    <w:rsid w:val="24FC3A00"/>
    <w:rsid w:val="253C390B"/>
    <w:rsid w:val="254816C7"/>
    <w:rsid w:val="258F4166"/>
    <w:rsid w:val="25E229EB"/>
    <w:rsid w:val="25F55F35"/>
    <w:rsid w:val="25FD7310"/>
    <w:rsid w:val="260D4456"/>
    <w:rsid w:val="26636B15"/>
    <w:rsid w:val="269C5503"/>
    <w:rsid w:val="26D168B4"/>
    <w:rsid w:val="26DC3AE6"/>
    <w:rsid w:val="26F17923"/>
    <w:rsid w:val="270A30B6"/>
    <w:rsid w:val="275143DB"/>
    <w:rsid w:val="27D96FA9"/>
    <w:rsid w:val="288B5152"/>
    <w:rsid w:val="28AA1358"/>
    <w:rsid w:val="295D7BCF"/>
    <w:rsid w:val="29F25EFE"/>
    <w:rsid w:val="2A526B57"/>
    <w:rsid w:val="2B420A8D"/>
    <w:rsid w:val="2B6F3AB7"/>
    <w:rsid w:val="2B865679"/>
    <w:rsid w:val="2B921FCC"/>
    <w:rsid w:val="2BBE06B2"/>
    <w:rsid w:val="2C075FDC"/>
    <w:rsid w:val="2C28285A"/>
    <w:rsid w:val="2C3706A0"/>
    <w:rsid w:val="2C843F20"/>
    <w:rsid w:val="2CFD6C0E"/>
    <w:rsid w:val="2D2C279D"/>
    <w:rsid w:val="2D505DB1"/>
    <w:rsid w:val="2DDB519A"/>
    <w:rsid w:val="2DE46385"/>
    <w:rsid w:val="2DF36D53"/>
    <w:rsid w:val="2DFE3F49"/>
    <w:rsid w:val="2E92615A"/>
    <w:rsid w:val="2EF71E59"/>
    <w:rsid w:val="2F012479"/>
    <w:rsid w:val="2F0F1826"/>
    <w:rsid w:val="2F8A01BF"/>
    <w:rsid w:val="2F9462FD"/>
    <w:rsid w:val="2FCA25EA"/>
    <w:rsid w:val="30170B08"/>
    <w:rsid w:val="30411EEA"/>
    <w:rsid w:val="306E543A"/>
    <w:rsid w:val="30F02078"/>
    <w:rsid w:val="3150199C"/>
    <w:rsid w:val="31BB4C54"/>
    <w:rsid w:val="31EE69B8"/>
    <w:rsid w:val="32045131"/>
    <w:rsid w:val="322F29F4"/>
    <w:rsid w:val="327219B8"/>
    <w:rsid w:val="32C13947"/>
    <w:rsid w:val="32F6251F"/>
    <w:rsid w:val="33375A4A"/>
    <w:rsid w:val="346F11F4"/>
    <w:rsid w:val="34D647A7"/>
    <w:rsid w:val="34FD1A43"/>
    <w:rsid w:val="358C21DE"/>
    <w:rsid w:val="35A74CAA"/>
    <w:rsid w:val="35F07128"/>
    <w:rsid w:val="36162D4F"/>
    <w:rsid w:val="362E31CC"/>
    <w:rsid w:val="36770B6B"/>
    <w:rsid w:val="36A92682"/>
    <w:rsid w:val="36C12CC8"/>
    <w:rsid w:val="36EE06FF"/>
    <w:rsid w:val="36FB6281"/>
    <w:rsid w:val="371A0416"/>
    <w:rsid w:val="373F73F9"/>
    <w:rsid w:val="3803021B"/>
    <w:rsid w:val="3844650A"/>
    <w:rsid w:val="386D0AC2"/>
    <w:rsid w:val="38857D61"/>
    <w:rsid w:val="3915422E"/>
    <w:rsid w:val="395D0704"/>
    <w:rsid w:val="39765F9B"/>
    <w:rsid w:val="39E614EF"/>
    <w:rsid w:val="39FC0A6C"/>
    <w:rsid w:val="3A9E56E0"/>
    <w:rsid w:val="3AD44BA9"/>
    <w:rsid w:val="3B2B3266"/>
    <w:rsid w:val="3B377735"/>
    <w:rsid w:val="3B5E4261"/>
    <w:rsid w:val="3B7D2B94"/>
    <w:rsid w:val="3B965944"/>
    <w:rsid w:val="3B9E079D"/>
    <w:rsid w:val="3BA678BA"/>
    <w:rsid w:val="3C083EB7"/>
    <w:rsid w:val="3C5261C4"/>
    <w:rsid w:val="3D2C40BA"/>
    <w:rsid w:val="3E290462"/>
    <w:rsid w:val="3E872E91"/>
    <w:rsid w:val="3F5E477E"/>
    <w:rsid w:val="3FACA4D2"/>
    <w:rsid w:val="3FE56636"/>
    <w:rsid w:val="40032DB0"/>
    <w:rsid w:val="402346E4"/>
    <w:rsid w:val="402F0761"/>
    <w:rsid w:val="40483682"/>
    <w:rsid w:val="409A1245"/>
    <w:rsid w:val="410B61A8"/>
    <w:rsid w:val="414505EB"/>
    <w:rsid w:val="417C4B01"/>
    <w:rsid w:val="418D1305"/>
    <w:rsid w:val="41E528A4"/>
    <w:rsid w:val="42066B6B"/>
    <w:rsid w:val="423639E1"/>
    <w:rsid w:val="427E57DE"/>
    <w:rsid w:val="431B3BBA"/>
    <w:rsid w:val="436B1740"/>
    <w:rsid w:val="43973818"/>
    <w:rsid w:val="43B14C16"/>
    <w:rsid w:val="43B83A9D"/>
    <w:rsid w:val="4436762D"/>
    <w:rsid w:val="446811A0"/>
    <w:rsid w:val="44A87E2D"/>
    <w:rsid w:val="44B609C8"/>
    <w:rsid w:val="45AA34FF"/>
    <w:rsid w:val="467F3F9E"/>
    <w:rsid w:val="4697455C"/>
    <w:rsid w:val="46BB3DD3"/>
    <w:rsid w:val="46F5331B"/>
    <w:rsid w:val="47291D55"/>
    <w:rsid w:val="47CE1081"/>
    <w:rsid w:val="48006D9B"/>
    <w:rsid w:val="484B1383"/>
    <w:rsid w:val="48AD0EB6"/>
    <w:rsid w:val="49067831"/>
    <w:rsid w:val="490E526A"/>
    <w:rsid w:val="49261CAD"/>
    <w:rsid w:val="49646226"/>
    <w:rsid w:val="49FB2E52"/>
    <w:rsid w:val="4A4E3747"/>
    <w:rsid w:val="4AB36576"/>
    <w:rsid w:val="4AB77322"/>
    <w:rsid w:val="4B217D42"/>
    <w:rsid w:val="4B2D6D08"/>
    <w:rsid w:val="4BC62CD7"/>
    <w:rsid w:val="4D3F5311"/>
    <w:rsid w:val="4D807351"/>
    <w:rsid w:val="4D99408C"/>
    <w:rsid w:val="4D9E54D2"/>
    <w:rsid w:val="4E030110"/>
    <w:rsid w:val="4E0E1C26"/>
    <w:rsid w:val="4E1A167D"/>
    <w:rsid w:val="4E7C0019"/>
    <w:rsid w:val="4F476A9E"/>
    <w:rsid w:val="4F7E6F4D"/>
    <w:rsid w:val="4FA46BF2"/>
    <w:rsid w:val="50266AD5"/>
    <w:rsid w:val="509B2080"/>
    <w:rsid w:val="50F9524E"/>
    <w:rsid w:val="51494F6D"/>
    <w:rsid w:val="51661484"/>
    <w:rsid w:val="517544AB"/>
    <w:rsid w:val="51AA4DA4"/>
    <w:rsid w:val="51CE502E"/>
    <w:rsid w:val="52011465"/>
    <w:rsid w:val="52210B4A"/>
    <w:rsid w:val="52A136FC"/>
    <w:rsid w:val="52A468AD"/>
    <w:rsid w:val="52B065C6"/>
    <w:rsid w:val="53071E8F"/>
    <w:rsid w:val="5338205E"/>
    <w:rsid w:val="538C5FBC"/>
    <w:rsid w:val="53A30DAB"/>
    <w:rsid w:val="53EB0D1A"/>
    <w:rsid w:val="54082728"/>
    <w:rsid w:val="54BE7680"/>
    <w:rsid w:val="54D815C9"/>
    <w:rsid w:val="54DC6E23"/>
    <w:rsid w:val="5624369B"/>
    <w:rsid w:val="564442BD"/>
    <w:rsid w:val="56493627"/>
    <w:rsid w:val="56691BCB"/>
    <w:rsid w:val="567952D5"/>
    <w:rsid w:val="56E52D5E"/>
    <w:rsid w:val="57006B20"/>
    <w:rsid w:val="572C4B13"/>
    <w:rsid w:val="57B23BE0"/>
    <w:rsid w:val="5812368A"/>
    <w:rsid w:val="58174077"/>
    <w:rsid w:val="586C133F"/>
    <w:rsid w:val="590A2F95"/>
    <w:rsid w:val="591A7573"/>
    <w:rsid w:val="59B155A4"/>
    <w:rsid w:val="5A1D1EED"/>
    <w:rsid w:val="5A3A6071"/>
    <w:rsid w:val="5A790138"/>
    <w:rsid w:val="5AAC27C7"/>
    <w:rsid w:val="5AAF3D32"/>
    <w:rsid w:val="5B0A01BE"/>
    <w:rsid w:val="5B117B37"/>
    <w:rsid w:val="5B194C1D"/>
    <w:rsid w:val="5B6A5599"/>
    <w:rsid w:val="5BC96AEA"/>
    <w:rsid w:val="5BF849AE"/>
    <w:rsid w:val="5C460AC8"/>
    <w:rsid w:val="5C691118"/>
    <w:rsid w:val="5D2569DF"/>
    <w:rsid w:val="5D360C67"/>
    <w:rsid w:val="5D3947F4"/>
    <w:rsid w:val="5E195B06"/>
    <w:rsid w:val="5E692E0F"/>
    <w:rsid w:val="5E9A2C26"/>
    <w:rsid w:val="5EE80C2F"/>
    <w:rsid w:val="5FE57D89"/>
    <w:rsid w:val="5FEC6AAF"/>
    <w:rsid w:val="60965744"/>
    <w:rsid w:val="60F302E0"/>
    <w:rsid w:val="61007F92"/>
    <w:rsid w:val="61760EB9"/>
    <w:rsid w:val="617E37AD"/>
    <w:rsid w:val="61C135E9"/>
    <w:rsid w:val="61C77014"/>
    <w:rsid w:val="61F479E2"/>
    <w:rsid w:val="62220E66"/>
    <w:rsid w:val="623509F0"/>
    <w:rsid w:val="62507A33"/>
    <w:rsid w:val="625D2D49"/>
    <w:rsid w:val="629A2B59"/>
    <w:rsid w:val="62F66A3A"/>
    <w:rsid w:val="638F7336"/>
    <w:rsid w:val="63D645BE"/>
    <w:rsid w:val="63E67937"/>
    <w:rsid w:val="63E94A4F"/>
    <w:rsid w:val="640D2FA9"/>
    <w:rsid w:val="645536AB"/>
    <w:rsid w:val="648F60DF"/>
    <w:rsid w:val="64A4110B"/>
    <w:rsid w:val="64BC0CF5"/>
    <w:rsid w:val="64BD585C"/>
    <w:rsid w:val="652A67EC"/>
    <w:rsid w:val="652F599F"/>
    <w:rsid w:val="65890E59"/>
    <w:rsid w:val="663058BC"/>
    <w:rsid w:val="663C7EEB"/>
    <w:rsid w:val="66827373"/>
    <w:rsid w:val="669E249D"/>
    <w:rsid w:val="66B36641"/>
    <w:rsid w:val="67110EA9"/>
    <w:rsid w:val="678B491E"/>
    <w:rsid w:val="67DF614F"/>
    <w:rsid w:val="68A22FE8"/>
    <w:rsid w:val="68F67027"/>
    <w:rsid w:val="69200C09"/>
    <w:rsid w:val="69DB6C27"/>
    <w:rsid w:val="6A134348"/>
    <w:rsid w:val="6A6B1BDC"/>
    <w:rsid w:val="6ABE0DBA"/>
    <w:rsid w:val="6AFC3F34"/>
    <w:rsid w:val="6B086182"/>
    <w:rsid w:val="6C0B2CB4"/>
    <w:rsid w:val="6C601955"/>
    <w:rsid w:val="6C6D6D79"/>
    <w:rsid w:val="6CD9374A"/>
    <w:rsid w:val="6D2C3CE3"/>
    <w:rsid w:val="6D946E47"/>
    <w:rsid w:val="6DE84B9D"/>
    <w:rsid w:val="6F716A51"/>
    <w:rsid w:val="6F8B2C88"/>
    <w:rsid w:val="6FDE267D"/>
    <w:rsid w:val="6FDF62BA"/>
    <w:rsid w:val="70714208"/>
    <w:rsid w:val="70AE4F68"/>
    <w:rsid w:val="714208D4"/>
    <w:rsid w:val="718F11F3"/>
    <w:rsid w:val="71EE6541"/>
    <w:rsid w:val="72370724"/>
    <w:rsid w:val="723F1FFB"/>
    <w:rsid w:val="72451614"/>
    <w:rsid w:val="72657726"/>
    <w:rsid w:val="72796837"/>
    <w:rsid w:val="72C56381"/>
    <w:rsid w:val="734D1E37"/>
    <w:rsid w:val="734F6BC2"/>
    <w:rsid w:val="74174E45"/>
    <w:rsid w:val="75047B9A"/>
    <w:rsid w:val="750632A3"/>
    <w:rsid w:val="75140475"/>
    <w:rsid w:val="751A393C"/>
    <w:rsid w:val="75C757B9"/>
    <w:rsid w:val="75CD1B8E"/>
    <w:rsid w:val="75DA2D3B"/>
    <w:rsid w:val="76435D5A"/>
    <w:rsid w:val="764A75F7"/>
    <w:rsid w:val="76A976A6"/>
    <w:rsid w:val="76FD65DF"/>
    <w:rsid w:val="77656AB4"/>
    <w:rsid w:val="77855B3A"/>
    <w:rsid w:val="77CA68A6"/>
    <w:rsid w:val="77E128CC"/>
    <w:rsid w:val="78864D6B"/>
    <w:rsid w:val="78C335F7"/>
    <w:rsid w:val="79203EB0"/>
    <w:rsid w:val="7934094F"/>
    <w:rsid w:val="795D620C"/>
    <w:rsid w:val="79DA39C6"/>
    <w:rsid w:val="7A490647"/>
    <w:rsid w:val="7A8F377D"/>
    <w:rsid w:val="7A9858DD"/>
    <w:rsid w:val="7AA476B6"/>
    <w:rsid w:val="7B0B386B"/>
    <w:rsid w:val="7C484A74"/>
    <w:rsid w:val="7C7C0B6B"/>
    <w:rsid w:val="7C806FDB"/>
    <w:rsid w:val="7D0C5CFF"/>
    <w:rsid w:val="7D29372C"/>
    <w:rsid w:val="7D3A3D0D"/>
    <w:rsid w:val="7D513B99"/>
    <w:rsid w:val="7D9807B6"/>
    <w:rsid w:val="7DB241F9"/>
    <w:rsid w:val="7E1F128F"/>
    <w:rsid w:val="7E4770E8"/>
    <w:rsid w:val="7E48461B"/>
    <w:rsid w:val="7F6826F0"/>
    <w:rsid w:val="7FDD3B1B"/>
    <w:rsid w:val="BFFB5CCE"/>
    <w:rsid w:val="DD6329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itle"/>
    <w:basedOn w:val="1"/>
    <w:next w:val="1"/>
    <w:qFormat/>
    <w:uiPriority w:val="0"/>
    <w:pPr>
      <w:widowControl/>
      <w:spacing w:before="240" w:after="60" w:line="560" w:lineRule="exact"/>
      <w:jc w:val="center"/>
      <w:outlineLvl w:val="0"/>
    </w:pPr>
    <w:rPr>
      <w:rFonts w:ascii="Arial" w:hAnsi="Arial" w:eastAsia="华文中宋" w:cs="Arial"/>
      <w:b/>
      <w:bCs/>
      <w:color w:val="FF0000"/>
      <w:kern w:val="0"/>
      <w:sz w:val="84"/>
      <w:szCs w:val="32"/>
    </w:r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2"/>
    <w:basedOn w:val="1"/>
    <w:next w:val="1"/>
    <w:unhideWhenUsed/>
    <w:qFormat/>
    <w:uiPriority w:val="39"/>
    <w:pPr>
      <w:widowControl/>
      <w:spacing w:after="100" w:line="276" w:lineRule="auto"/>
      <w:ind w:left="220"/>
      <w:jc w:val="left"/>
    </w:pPr>
    <w:rPr>
      <w:rFonts w:ascii="Calibri" w:hAnsi="Calibri" w:eastAsia="宋体"/>
      <w:kern w:val="0"/>
      <w:sz w:val="22"/>
      <w:szCs w:val="22"/>
    </w:rPr>
  </w:style>
  <w:style w:type="paragraph" w:styleId="8">
    <w:name w:val="Body Text First Indent"/>
    <w:basedOn w:val="2"/>
    <w:qFormat/>
    <w:uiPriority w:val="0"/>
    <w:pPr>
      <w:ind w:firstLine="420" w:firstLineChars="100"/>
    </w:pPr>
    <w:rPr>
      <w:rFonts w:eastAsia="仿宋"/>
      <w:sz w:val="24"/>
    </w:rPr>
  </w:style>
  <w:style w:type="character" w:customStyle="1" w:styleId="11">
    <w:name w:val="NormalCharacter"/>
    <w:basedOn w:val="10"/>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5190</Words>
  <Characters>5230</Characters>
  <Lines>0</Lines>
  <Paragraphs>0</Paragraphs>
  <TotalTime>22</TotalTime>
  <ScaleCrop>false</ScaleCrop>
  <LinksUpToDate>false</LinksUpToDate>
  <CharactersWithSpaces>5271</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2025-12-02T01:50:00Z</dcterms:created>
  <dc:creator>李镕耀</dc:creator>
  <cp:lastModifiedBy>王宇洋</cp:lastModifiedBy>
  <cp:lastPrinted>2025-12-19T09:24:00Z</cp:lastPrinted>
  <dcterms:modified xsi:type="dcterms:W3CDTF">2026-02-28T15:56:55Z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65DEB33502294CC0991841DE46112DB4</vt:lpwstr>
  </property>
  <property fmtid="{D5CDD505-2E9C-101B-9397-08002B2CF9AE}" pid="4" name="KSOTemplateDocerSaveRecord">
    <vt:lpwstr>eyJoZGlkIjoiNzgxNWQ5NTczYzVlNjI0YzNjYWUxMzU2NDY2YTg0YWMiLCJ1c2VySWQiOiIzMzIwMjAxMDMifQ==</vt:lpwstr>
  </property>
</Properties>
</file>