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09461">
      <w:pPr>
        <w:pStyle w:val="19"/>
        <w:keepNext w:val="0"/>
        <w:keepLines w:val="0"/>
        <w:pageBreakBefore w:val="0"/>
        <w:widowControl/>
        <w:kinsoku/>
        <w:wordWrap/>
        <w:overflowPunct/>
        <w:topLinePunct w:val="0"/>
        <w:autoSpaceDE/>
        <w:autoSpaceDN/>
        <w:bidi w:val="0"/>
        <w:adjustRightInd/>
        <w:snapToGrid/>
        <w:spacing w:line="600" w:lineRule="exact"/>
        <w:textAlignment w:val="auto"/>
        <w:rPr>
          <w:rFonts w:ascii="方正小标宋简体" w:hAnsi="方正小标宋简体" w:eastAsia="方正小标宋简体" w:cs="方正小标宋简体"/>
          <w:b w:val="0"/>
          <w:bCs w:val="0"/>
          <w:vanish w:val="0"/>
          <w:sz w:val="44"/>
          <w:szCs w:val="44"/>
          <w:u w:val="none" w:color="auto"/>
        </w:rPr>
      </w:pPr>
      <w:bookmarkStart w:id="0" w:name="_GoBack"/>
      <w:bookmarkEnd w:id="0"/>
      <w:r>
        <w:rPr>
          <w:rFonts w:ascii="方正小标宋简体" w:hAnsi="方正小标宋简体" w:eastAsia="方正小标宋简体" w:cs="方正小标宋简体"/>
          <w:b w:val="0"/>
          <w:bCs w:val="0"/>
          <w:vanish w:val="0"/>
          <w:sz w:val="44"/>
          <w:szCs w:val="44"/>
          <w:u w:val="none" w:color="auto"/>
        </w:rPr>
        <w:t>揭阳市传统产业焕新工程实施方案</w:t>
      </w:r>
    </w:p>
    <w:p w14:paraId="1D8FA174">
      <w:pPr>
        <w:pStyle w:val="19"/>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Times New Roman" w:hAnsi="Times New Roman" w:eastAsia="仿宋_GB2312" w:cs="仿宋gb2312"/>
          <w:b w:val="0"/>
          <w:i w:val="0"/>
          <w:caps w:val="0"/>
          <w:smallCaps w:val="0"/>
          <w:strike w:val="0"/>
          <w:dstrike w:val="0"/>
          <w:snapToGrid/>
          <w:vanish w:val="0"/>
          <w:color w:val="auto"/>
          <w:spacing w:val="0"/>
          <w:w w:val="100"/>
          <w:kern w:val="0"/>
          <w:position w:val="0"/>
          <w:sz w:val="36"/>
          <w:szCs w:val="36"/>
          <w:u w:val="none" w:color="auto"/>
        </w:rPr>
      </w:pPr>
      <w:r>
        <w:rPr>
          <w:rFonts w:hint="eastAsia" w:ascii="楷体_GB2312" w:hAnsi="楷体_GB2312" w:eastAsia="楷体_GB2312" w:cs="楷体_GB2312"/>
          <w:b w:val="0"/>
          <w:bCs w:val="0"/>
          <w:sz w:val="36"/>
          <w:szCs w:val="36"/>
          <w:u w:val="none" w:color="auto"/>
        </w:rPr>
        <w:t>（</w:t>
      </w:r>
      <w:r>
        <w:rPr>
          <w:rFonts w:hint="eastAsia" w:ascii="楷体_GB2312" w:hAnsi="楷体_GB2312" w:eastAsia="楷体_GB2312" w:cs="楷体_GB2312"/>
          <w:b w:val="0"/>
          <w:bCs w:val="0"/>
          <w:sz w:val="36"/>
          <w:szCs w:val="36"/>
          <w:u w:val="none" w:color="auto"/>
          <w:lang w:val="en-US" w:eastAsia="zh-CN"/>
        </w:rPr>
        <w:t>征求意见</w:t>
      </w:r>
      <w:r>
        <w:rPr>
          <w:rFonts w:hint="eastAsia" w:ascii="楷体_GB2312" w:hAnsi="楷体_GB2312" w:eastAsia="楷体_GB2312" w:cs="楷体_GB2312"/>
          <w:b w:val="0"/>
          <w:bCs w:val="0"/>
          <w:sz w:val="36"/>
          <w:szCs w:val="36"/>
          <w:u w:val="none" w:color="auto"/>
        </w:rPr>
        <w:t>稿）</w:t>
      </w:r>
    </w:p>
    <w:p w14:paraId="6043DC56">
      <w:pPr>
        <w:pStyle w:val="13"/>
        <w:rPr>
          <w:rFonts w:ascii="Times New Roman" w:hAnsi="Times New Roman" w:eastAsia="仿宋_GB2312" w:cs="仿宋_GB2312"/>
          <w:b w:val="0"/>
          <w:bCs w:val="0"/>
          <w:i w:val="0"/>
          <w:strike w:val="0"/>
          <w:dstrike w:val="0"/>
          <w:vanish w:val="0"/>
          <w:color w:val="auto"/>
          <w:sz w:val="32"/>
          <w:szCs w:val="32"/>
          <w:u w:val="none" w:color="auto"/>
        </w:rPr>
      </w:pPr>
    </w:p>
    <w:p w14:paraId="2C150443">
      <w:pPr>
        <w:pStyle w:val="13"/>
        <w:pageBreakBefore w:val="0"/>
        <w:widowControl/>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color w:val="auto"/>
          <w:sz w:val="32"/>
          <w:szCs w:val="32"/>
          <w:u w:val="none" w:color="auto"/>
        </w:rPr>
      </w:pPr>
      <w:r>
        <w:rPr>
          <w:rFonts w:ascii="Times New Roman" w:hAnsi="Times New Roman" w:eastAsia="仿宋_GB2312" w:cs="仿宋_GB2312"/>
          <w:b w:val="0"/>
          <w:bCs w:val="0"/>
          <w:i w:val="0"/>
          <w:strike w:val="0"/>
          <w:dstrike w:val="0"/>
          <w:vanish w:val="0"/>
          <w:color w:val="auto"/>
          <w:sz w:val="32"/>
          <w:szCs w:val="32"/>
          <w:u w:val="none" w:color="auto"/>
        </w:rPr>
        <w:t>为深入贯彻落实省委“1310”具体部署及省委主要领导来信精神，立足揭阳市“一化一海五优特”产业集群发展实际，紧扣新质生产力培育要求，全面实施传统产业焕新工程，着力破解产业发展堵点难点，促进传统优势产业焕新升级，特提出以下方案。</w:t>
      </w:r>
    </w:p>
    <w:p w14:paraId="56695118">
      <w:pPr>
        <w:pStyle w:val="13"/>
        <w:pageBreakBefore w:val="0"/>
        <w:widowControl/>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i w:val="0"/>
          <w:strike w:val="0"/>
          <w:dstrike w:val="0"/>
          <w:vanish w:val="0"/>
          <w:color w:val="auto"/>
          <w:sz w:val="32"/>
          <w:szCs w:val="32"/>
          <w:u w:val="none" w:color="auto"/>
        </w:rPr>
      </w:pPr>
      <w:r>
        <w:rPr>
          <w:rFonts w:ascii="Times New Roman" w:hAnsi="Times New Roman" w:eastAsia="仿宋_GB2312" w:cs="仿宋_GB2312"/>
          <w:b w:val="0"/>
          <w:bCs w:val="0"/>
          <w:color w:val="auto"/>
          <w:sz w:val="32"/>
          <w:szCs w:val="32"/>
          <w:u w:val="none" w:color="auto"/>
        </w:rPr>
        <w:t>总体目标：坚持有效市场与有为政府双向协同，遵循产业链协同配套、创新研发突破、品牌增值、数字AI赋能、金融服务精准滴灌、公共服务平台集聚赋能、多元要素降本增效的产业升级路径促进传统产业焕新升级，</w:t>
      </w:r>
      <w:r>
        <w:rPr>
          <w:rFonts w:ascii="Times New Roman" w:hAnsi="Times New Roman" w:eastAsia="仿宋_GB2312" w:cs="仿宋_GB2312"/>
          <w:b w:val="0"/>
          <w:bCs w:val="0"/>
          <w:color w:val="auto"/>
          <w:sz w:val="32"/>
          <w:szCs w:val="32"/>
          <w:highlight w:val="none"/>
          <w:u w:val="none" w:color="auto"/>
        </w:rPr>
        <w:t>至2030年，推荐申报2个以上省级中小企业特色产业集群，1个以上国家级中小企业特色产业集群，产业链供应链韧性显著增强，企业梯度培育逐步成型，创新载体能级进一步提升，品牌价值持续放大</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color w:val="auto"/>
          <w:sz w:val="32"/>
          <w:szCs w:val="32"/>
          <w:highlight w:val="none"/>
          <w:u w:val="none" w:color="auto"/>
        </w:rPr>
        <w:t>数字化转型规上企业全面覆盖，传统制造业提质增效明显，产品竞争力显著增强。</w:t>
      </w:r>
    </w:p>
    <w:p w14:paraId="6029BC96">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sz w:val="32"/>
          <w:szCs w:val="32"/>
          <w:u w:val="none" w:color="auto"/>
        </w:rPr>
      </w:pPr>
      <w:r>
        <w:rPr>
          <w:rFonts w:hint="eastAsia" w:cs="黑体"/>
          <w:b w:val="0"/>
          <w:bCs w:val="0"/>
          <w:sz w:val="32"/>
          <w:szCs w:val="32"/>
          <w:u w:val="none" w:color="auto"/>
          <w:lang w:eastAsia="zh-CN"/>
        </w:rPr>
        <w:t>一、</w:t>
      </w:r>
      <w:r>
        <w:rPr>
          <w:rFonts w:ascii="黑体" w:hAnsi="黑体" w:eastAsia="黑体" w:cs="黑体"/>
          <w:b w:val="0"/>
          <w:bCs w:val="0"/>
          <w:sz w:val="32"/>
          <w:szCs w:val="32"/>
          <w:u w:val="none" w:color="auto"/>
        </w:rPr>
        <w:t>加快产业延链补链强链，提升传统产业集群优势</w:t>
      </w:r>
    </w:p>
    <w:p w14:paraId="284DF869">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（一）</w:t>
      </w:r>
      <w:r>
        <w:rPr>
          <w:rStyle w:val="26"/>
        </w:rPr>
        <w:t>围绕关键断点精准补链</w:t>
      </w:r>
      <w:r>
        <w:rPr>
          <w:rFonts w:ascii="Times New Roman" w:hAnsi="Times New Roman" w:eastAsia="仿宋_GB2312" w:cs="仿宋_GB2312"/>
          <w:b w:val="0"/>
          <w:bCs w:val="0"/>
          <w:color w:val="auto"/>
          <w:sz w:val="32"/>
          <w:szCs w:val="32"/>
          <w:u w:val="none" w:color="auto"/>
        </w:rPr>
        <w:t>。立足传统优势产业，系统梳理产业链缺失环节与核心断点，编制“两图两库”，实施靶向招商。重点补齐纺织服装产业PTA、PET环节，以及塑料鞋产业PVC、EVA、功能性塑料等关键原料短板，同步引入配套项目。</w:t>
      </w:r>
      <w:r>
        <w:rPr>
          <w:rFonts w:hint="eastAsia" w:ascii="楷体_GB2312" w:hAnsi="楷体_GB2312" w:eastAsia="楷体_GB2312" w:cs="楷体_GB2312"/>
          <w:b w:val="0"/>
          <w:bCs w:val="0"/>
          <w:color w:val="auto"/>
          <w:sz w:val="32"/>
          <w:szCs w:val="32"/>
          <w:u w:val="none" w:color="auto"/>
        </w:rPr>
        <w:t>（牵头单位：市招商办、各县（市、区）人民政府（管委会），以下均需各县（市、区）人民政府（管委会）负责，不再一一列出）</w:t>
      </w:r>
    </w:p>
    <w:p w14:paraId="4432086F">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ascii="Times New Roman" w:hAnsi="Times New Roman" w:eastAsia="仿宋_GB2312" w:cs="仿宋_GB2312"/>
          <w:b w:val="0"/>
          <w:bCs w:val="0"/>
          <w:color w:val="auto"/>
          <w:sz w:val="32"/>
          <w:szCs w:val="32"/>
          <w:u w:val="none" w:color="auto"/>
        </w:rPr>
      </w:pPr>
      <w:r>
        <w:rPr>
          <w:rStyle w:val="26"/>
          <w:rFonts w:hint="eastAsia" w:eastAsia="楷体_GB2312"/>
          <w:lang w:eastAsia="zh-CN"/>
        </w:rPr>
        <w:t>（二）</w:t>
      </w:r>
      <w:r>
        <w:rPr>
          <w:rStyle w:val="26"/>
        </w:rPr>
        <w:t>实行重点项目审批绿色通道</w:t>
      </w:r>
      <w:r>
        <w:rPr>
          <w:rFonts w:ascii="Times New Roman" w:hAnsi="Times New Roman" w:eastAsia="仿宋_GB2312" w:cs="仿宋_GB2312"/>
          <w:b w:val="0"/>
          <w:bCs w:val="0"/>
          <w:color w:val="auto"/>
          <w:sz w:val="32"/>
          <w:szCs w:val="32"/>
          <w:u w:val="none" w:color="auto"/>
        </w:rPr>
        <w:t>。将投资额5000万元以上</w:t>
      </w:r>
    </w:p>
    <w:p w14:paraId="4AE87DB4">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eastAsia="楷体_GB2312"/>
          <w:b w:val="0"/>
          <w:bCs w:val="0"/>
          <w:color w:val="auto"/>
          <w:sz w:val="32"/>
          <w:szCs w:val="32"/>
          <w:u w:val="none" w:color="auto"/>
        </w:rPr>
      </w:pPr>
      <w:r>
        <w:rPr>
          <w:rFonts w:ascii="Times New Roman" w:hAnsi="Times New Roman" w:eastAsia="仿宋_GB2312" w:cs="仿宋_GB2312"/>
          <w:b w:val="0"/>
          <w:bCs w:val="0"/>
          <w:color w:val="auto"/>
          <w:sz w:val="32"/>
          <w:szCs w:val="32"/>
          <w:u w:val="none" w:color="auto"/>
        </w:rPr>
        <w:t>项目（含现有企业新增投资项目）纳入市级重点产业项目审批绿色通道，在实现土地带建筑工程设计方案出让的前提下，自然资源和住建部门实行三天四证审批服务。落实建设项目联合验收7个工作日办结、水电气网联合报装5个工作日办结，设立服务窗口提供政策一次性告知、业务预审辅导等服务。</w:t>
      </w:r>
      <w:r>
        <w:rPr>
          <w:rFonts w:hint="eastAsia" w:ascii="楷体_GB2312" w:hAnsi="楷体_GB2312" w:eastAsia="楷体_GB2312" w:cs="楷体_GB2312"/>
          <w:b w:val="0"/>
          <w:bCs w:val="0"/>
          <w:color w:val="auto"/>
          <w:sz w:val="32"/>
          <w:szCs w:val="32"/>
          <w:u w:val="none" w:color="auto"/>
        </w:rPr>
        <w:t>（牵头单位：市发展改革局、市自然资源局、市住房城乡建设局、市政务和数据局、市招商办）</w:t>
      </w:r>
    </w:p>
    <w:p w14:paraId="1EBB24C5">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（三）</w:t>
      </w:r>
      <w:r>
        <w:rPr>
          <w:rStyle w:val="26"/>
        </w:rPr>
        <w:t>加快产业集聚发展</w:t>
      </w:r>
      <w:r>
        <w:rPr>
          <w:rFonts w:ascii="Times New Roman" w:hAnsi="Times New Roman" w:eastAsia="仿宋_GB2312" w:cs="仿宋_GB2312"/>
          <w:b w:val="0"/>
          <w:bCs w:val="0"/>
          <w:color w:val="auto"/>
          <w:sz w:val="32"/>
          <w:szCs w:val="32"/>
          <w:u w:val="none" w:color="auto"/>
        </w:rPr>
        <w:t>。充分发挥各区域资源禀赋与产业基础优势，分类培育特色化产业集群，2028年底前推荐申报榕城制鞋省级中小企业特色产业集群，2030年底前推荐申报普宁衬衫T恤及内衣、榕城制鞋国家级中小企业特色产业集群。</w:t>
      </w:r>
      <w:r>
        <w:rPr>
          <w:rFonts w:hint="eastAsia" w:ascii="楷体_GB2312" w:hAnsi="楷体_GB2312" w:eastAsia="楷体_GB2312" w:cs="楷体_GB2312"/>
          <w:b w:val="0"/>
          <w:bCs w:val="0"/>
          <w:color w:val="auto"/>
          <w:sz w:val="32"/>
          <w:szCs w:val="32"/>
          <w:u w:val="none" w:color="auto"/>
        </w:rPr>
        <w:t>（牵头单位：市工业和信息化局、榕城区、普宁市人民政府）</w:t>
      </w:r>
    </w:p>
    <w:p w14:paraId="3584B062">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sz w:val="32"/>
          <w:szCs w:val="32"/>
          <w:u w:val="none" w:color="auto"/>
        </w:rPr>
      </w:pPr>
      <w:r>
        <w:rPr>
          <w:rFonts w:hint="eastAsia" w:cs="黑体"/>
          <w:b w:val="0"/>
          <w:bCs w:val="0"/>
          <w:sz w:val="32"/>
          <w:szCs w:val="32"/>
          <w:u w:val="none" w:color="auto"/>
          <w:lang w:eastAsia="zh-CN"/>
        </w:rPr>
        <w:t>二、</w:t>
      </w:r>
      <w:r>
        <w:rPr>
          <w:rFonts w:ascii="黑体" w:hAnsi="黑体" w:eastAsia="黑体" w:cs="黑体"/>
          <w:b w:val="0"/>
          <w:bCs w:val="0"/>
          <w:sz w:val="32"/>
          <w:szCs w:val="32"/>
          <w:u w:val="none" w:color="auto"/>
        </w:rPr>
        <w:t>强化创新赋能，夯实产业升级根基</w:t>
      </w:r>
    </w:p>
    <w:p w14:paraId="2A9E0AE4">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（四）</w:t>
      </w:r>
      <w:r>
        <w:rPr>
          <w:rStyle w:val="26"/>
        </w:rPr>
        <w:t>提升产业主体创新能力</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组织开展中小企业高新技术、专精特新梯度培育，每年分别入库培育80家、50家，构建动态更新梯度培育库，实行“储备－培育－认定－补充”动态管理机制。支持建设广东省塑料鞋提质升级研究中心和普宁市服装产业创新中心。</w:t>
      </w:r>
      <w:r>
        <w:rPr>
          <w:rFonts w:hint="eastAsia" w:ascii="楷体_GB2312" w:hAnsi="楷体_GB2312" w:eastAsia="楷体_GB2312" w:cs="楷体_GB2312"/>
          <w:b w:val="0"/>
          <w:bCs w:val="0"/>
          <w:color w:val="auto"/>
          <w:sz w:val="32"/>
          <w:szCs w:val="32"/>
          <w:u w:val="none" w:color="auto"/>
        </w:rPr>
        <w:t>（牵头单位：市科技局、市工业和信息化局）</w:t>
      </w:r>
    </w:p>
    <w:p w14:paraId="6F4D3CF1">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ascii="Times New Roman" w:hAnsi="Times New Roman" w:eastAsia="仿宋_GB2312" w:cs="仿宋_GB2312"/>
          <w:b w:val="0"/>
          <w:bCs w:val="0"/>
          <w:color w:val="auto"/>
          <w:sz w:val="32"/>
          <w:szCs w:val="32"/>
          <w:u w:val="none" w:color="auto"/>
        </w:rPr>
      </w:pPr>
      <w:r>
        <w:rPr>
          <w:rStyle w:val="26"/>
          <w:rFonts w:hint="eastAsia" w:eastAsia="楷体_GB2312"/>
          <w:lang w:eastAsia="zh-CN"/>
        </w:rPr>
        <w:t>（五）</w:t>
      </w:r>
      <w:r>
        <w:rPr>
          <w:rStyle w:val="26"/>
        </w:rPr>
        <w:t>推进传统产业科技攻关</w:t>
      </w:r>
      <w:r>
        <w:rPr>
          <w:rFonts w:ascii="Times New Roman" w:hAnsi="Times New Roman" w:eastAsia="仿宋_GB2312" w:cs="仿宋_GB2312"/>
          <w:b w:val="0"/>
          <w:bCs w:val="0"/>
          <w:color w:val="auto"/>
          <w:sz w:val="32"/>
          <w:szCs w:val="32"/>
          <w:u w:val="none" w:color="auto"/>
        </w:rPr>
        <w:t>。依托榕江实验室搭建行业专家库，每个行业专家库不低于10名专家。推动龙头企业与高校、科研院所联合实施“揭榜挂帅”科技攻关和成果转化，每年立项支持一批“揭榜制”项目，集中力量破解材料、装备等行业关键技术难题。</w:t>
      </w:r>
    </w:p>
    <w:p w14:paraId="62094474">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eastAsia="楷体_GB2312"/>
          <w:b w:val="0"/>
          <w:bCs w:val="0"/>
          <w:color w:val="auto"/>
          <w:sz w:val="32"/>
          <w:szCs w:val="32"/>
          <w:u w:val="none" w:color="auto"/>
        </w:rPr>
      </w:pPr>
      <w:r>
        <w:rPr>
          <w:rFonts w:hint="eastAsia" w:ascii="楷体_GB2312" w:hAnsi="楷体_GB2312" w:eastAsia="楷体_GB2312" w:cs="楷体_GB2312"/>
          <w:b w:val="0"/>
          <w:bCs w:val="0"/>
          <w:color w:val="auto"/>
          <w:sz w:val="32"/>
          <w:szCs w:val="32"/>
          <w:u w:val="none" w:color="auto"/>
        </w:rPr>
        <w:t>（牵头单位：市科技局、榕江实验室）</w:t>
      </w:r>
    </w:p>
    <w:p w14:paraId="4680A131">
      <w:pPr>
        <w:pStyle w:val="13"/>
        <w:pageBreakBefore w:val="0"/>
        <w:widowControl/>
        <w:numPr>
          <w:ilvl w:val="0"/>
          <w:numId w:val="1"/>
        </w:numPr>
        <w:kinsoku/>
        <w:wordWrap/>
        <w:overflowPunct/>
        <w:topLinePunct w:val="0"/>
        <w:autoSpaceDE/>
        <w:autoSpaceDN/>
        <w:bidi w:val="0"/>
        <w:adjustRightInd/>
        <w:snapToGrid/>
        <w:spacing w:line="540" w:lineRule="exact"/>
        <w:ind w:left="0" w:leftChars="0" w:firstLine="616"/>
        <w:textAlignment w:val="auto"/>
        <w:rPr>
          <w:rFonts w:ascii="Times New Roman" w:hAnsi="Times New Roman" w:eastAsia="仿宋_GB2312" w:cs="仿宋_GB2312"/>
          <w:b w:val="0"/>
          <w:bCs w:val="0"/>
          <w:i w:val="0"/>
          <w:strike w:val="0"/>
          <w:dstrike w:val="0"/>
          <w:vanish w:val="0"/>
          <w:color w:val="auto"/>
          <w:sz w:val="32"/>
          <w:szCs w:val="32"/>
          <w:u w:val="none" w:color="auto"/>
        </w:rPr>
      </w:pPr>
      <w:r>
        <w:rPr>
          <w:rStyle w:val="26"/>
        </w:rPr>
        <w:t>支持企业技术改造</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推动工业企业运用新技术、新工艺、</w:t>
      </w:r>
    </w:p>
    <w:p w14:paraId="2AEEBE16">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ascii="楷体_GB2312" w:hAnsi="楷体_GB2312" w:eastAsia="楷体_GB2312" w:cs="楷体_GB2312"/>
          <w:b w:val="0"/>
          <w:bCs w:val="0"/>
          <w:color w:val="auto"/>
          <w:sz w:val="32"/>
          <w:szCs w:val="32"/>
          <w:u w:val="none" w:color="auto"/>
        </w:rPr>
      </w:pPr>
      <w:r>
        <w:rPr>
          <w:rFonts w:ascii="Times New Roman" w:hAnsi="Times New Roman" w:eastAsia="仿宋_GB2312" w:cs="仿宋_GB2312"/>
          <w:b w:val="0"/>
          <w:bCs w:val="0"/>
          <w:i w:val="0"/>
          <w:strike w:val="0"/>
          <w:dstrike w:val="0"/>
          <w:vanish w:val="0"/>
          <w:color w:val="auto"/>
          <w:sz w:val="32"/>
          <w:szCs w:val="32"/>
          <w:u w:val="none" w:color="auto"/>
        </w:rPr>
        <w:t>新材料、新设备等“四新”手段实施技术改造，支持符合条件项目申报省资金项目库并对入库项目配套资金奖补。遴选一批技术改造示范项目，每年带动300家以上企业实施技术改造。</w:t>
      </w:r>
      <w:r>
        <w:rPr>
          <w:rFonts w:hint="eastAsia" w:ascii="楷体_GB2312" w:hAnsi="楷体_GB2312" w:eastAsia="楷体_GB2312" w:cs="楷体_GB2312"/>
          <w:b w:val="0"/>
          <w:bCs w:val="0"/>
          <w:color w:val="auto"/>
          <w:sz w:val="32"/>
          <w:szCs w:val="32"/>
          <w:u w:val="none" w:color="auto"/>
        </w:rPr>
        <w:t>（牵头单位：市工业和信息化局）</w:t>
      </w:r>
    </w:p>
    <w:p w14:paraId="12055AB1">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sz w:val="32"/>
          <w:szCs w:val="32"/>
          <w:u w:val="none" w:color="auto"/>
        </w:rPr>
      </w:pPr>
      <w:r>
        <w:rPr>
          <w:rFonts w:hint="eastAsia" w:cs="黑体"/>
          <w:b w:val="0"/>
          <w:bCs w:val="0"/>
          <w:sz w:val="32"/>
          <w:szCs w:val="32"/>
          <w:u w:val="none" w:color="auto"/>
          <w:lang w:eastAsia="zh-CN"/>
        </w:rPr>
        <w:t>三、</w:t>
      </w:r>
      <w:r>
        <w:rPr>
          <w:rFonts w:ascii="黑体" w:hAnsi="黑体" w:eastAsia="黑体" w:cs="黑体"/>
          <w:b w:val="0"/>
          <w:bCs w:val="0"/>
          <w:sz w:val="32"/>
          <w:szCs w:val="32"/>
          <w:u w:val="none" w:color="auto"/>
        </w:rPr>
        <w:t>深耕品牌建设，提升产业附加值与辨识度</w:t>
      </w:r>
    </w:p>
    <w:p w14:paraId="20565DEA">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（七）</w:t>
      </w:r>
      <w:r>
        <w:rPr>
          <w:rStyle w:val="26"/>
        </w:rPr>
        <w:t>推进品牌培育提质</w:t>
      </w:r>
      <w:r>
        <w:rPr>
          <w:rFonts w:ascii="Times New Roman" w:hAnsi="Times New Roman" w:eastAsia="仿宋_GB2312" w:cs="仿宋_GB2312"/>
          <w:b w:val="0"/>
          <w:bCs w:val="0"/>
          <w:color w:val="auto"/>
          <w:sz w:val="32"/>
          <w:szCs w:val="32"/>
          <w:highlight w:val="none"/>
          <w:u w:val="none" w:color="auto"/>
        </w:rPr>
        <w:t>。</w:t>
      </w:r>
      <w:r>
        <w:rPr>
          <w:rFonts w:ascii="Times New Roman" w:hAnsi="Times New Roman" w:eastAsia="仿宋_GB2312" w:cs="仿宋_GB2312"/>
          <w:b w:val="0"/>
          <w:bCs w:val="0"/>
          <w:i w:val="0"/>
          <w:strike w:val="0"/>
          <w:dstrike w:val="0"/>
          <w:vanish w:val="0"/>
          <w:color w:val="auto"/>
          <w:sz w:val="32"/>
          <w:szCs w:val="32"/>
          <w:highlight w:val="none"/>
          <w:u w:val="none" w:color="auto"/>
        </w:rPr>
        <w:t>深化龙头企业品牌培优与品牌理念培育，开展品牌战略、IP运营等专题辅导。引导行业商协会统筹开展行业自主品牌培育，联动专业服务机构为企业提供一体化品牌配套服务。推动传统产业规上工业企业全覆盖应用“揭阳智造”品牌区域标识（logo）。完善行业质量标准体系、开展质量监管与认证。争取广东省知识产权保护中心在揭阳设立分中心，</w:t>
      </w:r>
      <w:r>
        <w:rPr>
          <w:rFonts w:ascii="Times New Roman" w:hAnsi="Times New Roman" w:eastAsia="仿宋_GB2312" w:cs="仿宋_GB2312"/>
          <w:b w:val="0"/>
          <w:bCs w:val="0"/>
          <w:i w:val="0"/>
          <w:strike w:val="0"/>
          <w:dstrike w:val="0"/>
          <w:vanish w:val="0"/>
          <w:color w:val="auto"/>
          <w:sz w:val="32"/>
          <w:szCs w:val="32"/>
          <w:u w:val="none" w:color="auto"/>
        </w:rPr>
        <w:t>开展品牌保护专项整治行动，严打仿冒侵权、恶意抢注等行为。</w:t>
      </w:r>
      <w:r>
        <w:rPr>
          <w:rFonts w:hint="eastAsia" w:ascii="楷体_GB2312" w:hAnsi="楷体_GB2312" w:eastAsia="楷体_GB2312" w:cs="楷体_GB2312"/>
          <w:b w:val="0"/>
          <w:bCs w:val="0"/>
          <w:color w:val="auto"/>
          <w:sz w:val="32"/>
          <w:szCs w:val="32"/>
          <w:u w:val="none" w:color="auto"/>
        </w:rPr>
        <w:t>（牵头单位：市发展改革局、市工业和信息化局、市市场监督管理局、市版权局、市工商联）</w:t>
      </w:r>
    </w:p>
    <w:p w14:paraId="2D48F206">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（八）</w:t>
      </w:r>
      <w:r>
        <w:rPr>
          <w:rStyle w:val="26"/>
        </w:rPr>
        <w:t>全方位助力品牌拓市</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组织企业参加广交会、广东优品展等各类展会，联合行业商协会组织企业参加中国国际服装服饰博览会、晋江鞋博会、中国糖酒食品</w:t>
      </w:r>
      <w:r>
        <w:rPr>
          <w:rFonts w:hint="eastAsia" w:cs="仿宋_GB2312"/>
          <w:b w:val="0"/>
          <w:bCs w:val="0"/>
          <w:i w:val="0"/>
          <w:strike w:val="0"/>
          <w:dstrike w:val="0"/>
          <w:vanish w:val="0"/>
          <w:color w:val="auto"/>
          <w:sz w:val="32"/>
          <w:szCs w:val="32"/>
          <w:u w:val="none" w:color="auto"/>
          <w:lang w:eastAsia="zh-CN"/>
        </w:rPr>
        <w:t>、</w:t>
      </w:r>
      <w:r>
        <w:rPr>
          <w:rFonts w:ascii="Times New Roman" w:hAnsi="Times New Roman" w:eastAsia="仿宋_GB2312" w:cs="仿宋_GB2312"/>
          <w:b w:val="0"/>
          <w:bCs w:val="0"/>
          <w:i w:val="0"/>
          <w:strike w:val="0"/>
          <w:dstrike w:val="0"/>
          <w:vanish w:val="0"/>
          <w:color w:val="auto"/>
          <w:sz w:val="32"/>
          <w:szCs w:val="32"/>
          <w:u w:val="none" w:color="auto"/>
        </w:rPr>
        <w:t>日用品百货商品交易会等适配企业发展需求、效益显著的专业展会。依托潮侨坊打造“揭阳市海外经贸服务文化中心”，常态化收集侨团所在国家政策、市场等贸易需求信息，强化经贸对接。支持各县（市、区）建设工业品展销中心，发展直播电商、社交电商等新业态，打造直播产业集聚区</w:t>
      </w:r>
      <w:r>
        <w:rPr>
          <w:rFonts w:hint="eastAsia" w:cs="仿宋_GB2312"/>
          <w:b w:val="0"/>
          <w:bCs w:val="0"/>
          <w:i w:val="0"/>
          <w:strike w:val="0"/>
          <w:dstrike w:val="0"/>
          <w:vanish w:val="0"/>
          <w:color w:val="auto"/>
          <w:sz w:val="32"/>
          <w:szCs w:val="32"/>
          <w:u w:val="none" w:color="auto"/>
          <w:lang w:eastAsia="zh-CN"/>
        </w:rPr>
        <w:t>。</w:t>
      </w:r>
      <w:r>
        <w:rPr>
          <w:rFonts w:ascii="Times New Roman" w:hAnsi="Times New Roman" w:eastAsia="仿宋_GB2312" w:cs="仿宋_GB2312"/>
          <w:b w:val="0"/>
          <w:bCs w:val="0"/>
          <w:i w:val="0"/>
          <w:strike w:val="0"/>
          <w:dstrike w:val="0"/>
          <w:vanish w:val="0"/>
          <w:color w:val="auto"/>
          <w:sz w:val="32"/>
          <w:szCs w:val="32"/>
          <w:u w:val="none" w:color="auto"/>
        </w:rPr>
        <w:t>加大对出口企业投保出口信用保险支持力度。</w:t>
      </w:r>
      <w:r>
        <w:rPr>
          <w:rFonts w:hint="eastAsia" w:ascii="楷体_GB2312" w:hAnsi="楷体_GB2312" w:eastAsia="楷体_GB2312" w:cs="楷体_GB2312"/>
          <w:b w:val="0"/>
          <w:bCs w:val="0"/>
          <w:color w:val="auto"/>
          <w:sz w:val="32"/>
          <w:szCs w:val="32"/>
          <w:u w:val="none" w:color="auto"/>
        </w:rPr>
        <w:t>（牵头单位：市商务</w:t>
      </w:r>
    </w:p>
    <w:p w14:paraId="3A0ABD28">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ascii="楷体_GB2312" w:hAnsi="楷体_GB2312" w:eastAsia="楷体_GB2312" w:cs="楷体_GB2312"/>
          <w:b w:val="0"/>
          <w:bCs w:val="0"/>
          <w:color w:val="auto"/>
          <w:sz w:val="32"/>
          <w:szCs w:val="32"/>
          <w:u w:val="none" w:color="auto"/>
        </w:rPr>
      </w:pPr>
      <w:r>
        <w:rPr>
          <w:rFonts w:hint="eastAsia" w:ascii="楷体_GB2312" w:hAnsi="楷体_GB2312" w:eastAsia="楷体_GB2312" w:cs="楷体_GB2312"/>
          <w:b w:val="0"/>
          <w:bCs w:val="0"/>
          <w:color w:val="auto"/>
          <w:sz w:val="32"/>
          <w:szCs w:val="32"/>
          <w:u w:val="none" w:color="auto"/>
        </w:rPr>
        <w:t>局、市工业和信息化局、市侨联）</w:t>
      </w:r>
    </w:p>
    <w:p w14:paraId="05E139A8">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（九）</w:t>
      </w:r>
      <w:r>
        <w:rPr>
          <w:rStyle w:val="26"/>
        </w:rPr>
        <w:t>推动“制造＋文旅＋赛事”品牌融合</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引导企业研发推出古城、赛事等主题联名产品、文创周边产品不少于5件。组织“制造企业＋文创设计＋古城／赛事 IP”专场对接会不少于10场。促成企业与设计、文创机构合作开发联名产品，依托大型赛事丰富文创</w:t>
      </w:r>
      <w:r>
        <w:rPr>
          <w:rFonts w:ascii="Times New Roman" w:hAnsi="Times New Roman" w:eastAsia="仿宋_GB2312" w:cs="仿宋_GB2312"/>
          <w:b w:val="0"/>
          <w:bCs w:val="0"/>
          <w:i w:val="0"/>
          <w:strike w:val="0"/>
          <w:dstrike w:val="0"/>
          <w:vanish w:val="0"/>
          <w:color w:val="auto"/>
          <w:spacing wpsCustomData:val="-6" w:val="-3"/>
          <w:sz w:val="32"/>
          <w:szCs w:val="32"/>
          <w:u w:val="none" w:color="auto"/>
        </w:rPr>
        <w:t>产品线</w:t>
      </w:r>
      <w:r>
        <w:rPr>
          <w:rFonts w:ascii="Times New Roman" w:hAnsi="Times New Roman" w:eastAsia="仿宋_GB2312" w:cs="仿宋_GB2312"/>
          <w:b w:val="0"/>
          <w:bCs w:val="0"/>
          <w:i w:val="0"/>
          <w:strike w:val="0"/>
          <w:dstrike w:val="0"/>
          <w:vanish w:val="0"/>
          <w:color w:val="auto"/>
          <w:spacing wpsCustomData:val="-6" w:val="-2"/>
          <w:sz w:val="32"/>
          <w:szCs w:val="32"/>
          <w:u w:val="none" w:color="auto"/>
        </w:rPr>
        <w:t>。</w:t>
      </w:r>
      <w:r>
        <w:rPr>
          <w:rFonts w:hint="eastAsia" w:ascii="楷体_GB2312" w:hAnsi="楷体_GB2312" w:eastAsia="楷体_GB2312" w:cs="楷体_GB2312"/>
          <w:b w:val="0"/>
          <w:bCs w:val="0"/>
          <w:color w:val="auto"/>
          <w:spacing wpsCustomData:val="-6" w:val="-3"/>
          <w:sz w:val="32"/>
          <w:szCs w:val="32"/>
          <w:u w:val="none" w:color="auto"/>
        </w:rPr>
        <w:t>（</w:t>
      </w:r>
      <w:r>
        <w:rPr>
          <w:rFonts w:hint="eastAsia" w:ascii="楷体_GB2312" w:hAnsi="楷体_GB2312" w:eastAsia="楷体_GB2312" w:cs="楷体_GB2312"/>
          <w:b w:val="0"/>
          <w:bCs w:val="0"/>
          <w:color w:val="auto"/>
          <w:spacing wpsCustomData:val="-6" w:val="-2"/>
          <w:sz w:val="32"/>
          <w:szCs w:val="32"/>
          <w:u w:val="none" w:color="auto"/>
        </w:rPr>
        <w:t>牵头单位</w:t>
      </w:r>
      <w:r>
        <w:rPr>
          <w:rFonts w:hint="eastAsia" w:ascii="楷体_GB2312" w:hAnsi="楷体_GB2312" w:eastAsia="楷体_GB2312" w:cs="楷体_GB2312"/>
          <w:b w:val="0"/>
          <w:bCs w:val="0"/>
          <w:color w:val="auto"/>
          <w:spacing wpsCustomData:val="-6" w:val="-3"/>
          <w:sz w:val="32"/>
          <w:szCs w:val="32"/>
          <w:u w:val="none" w:color="auto"/>
        </w:rPr>
        <w:t>：</w:t>
      </w:r>
      <w:r>
        <w:rPr>
          <w:rFonts w:hint="eastAsia" w:ascii="楷体_GB2312" w:hAnsi="楷体_GB2312" w:eastAsia="楷体_GB2312" w:cs="楷体_GB2312"/>
          <w:b w:val="0"/>
          <w:bCs w:val="0"/>
          <w:color w:val="auto"/>
          <w:spacing wpsCustomData:val="-6" w:val="-2"/>
          <w:sz w:val="32"/>
          <w:szCs w:val="32"/>
          <w:u w:val="none" w:color="auto"/>
        </w:rPr>
        <w:t>市工业和信息化局</w:t>
      </w:r>
      <w:r>
        <w:rPr>
          <w:rFonts w:hint="eastAsia" w:ascii="楷体_GB2312" w:hAnsi="楷体_GB2312" w:eastAsia="楷体_GB2312" w:cs="楷体_GB2312"/>
          <w:b w:val="0"/>
          <w:bCs w:val="0"/>
          <w:color w:val="auto"/>
          <w:spacing wpsCustomData:val="-6" w:val="-3"/>
          <w:sz w:val="32"/>
          <w:szCs w:val="32"/>
          <w:u w:val="none" w:color="auto"/>
        </w:rPr>
        <w:t>、</w:t>
      </w:r>
      <w:r>
        <w:rPr>
          <w:rFonts w:hint="eastAsia" w:ascii="楷体_GB2312" w:hAnsi="楷体_GB2312" w:eastAsia="楷体_GB2312" w:cs="楷体_GB2312"/>
          <w:b w:val="0"/>
          <w:bCs w:val="0"/>
          <w:color w:val="auto"/>
          <w:spacing wpsCustomData:val="-6" w:val="-2"/>
          <w:sz w:val="32"/>
          <w:szCs w:val="32"/>
          <w:u w:val="none" w:color="auto"/>
        </w:rPr>
        <w:t>市文化广电旅游</w:t>
      </w:r>
      <w:r>
        <w:rPr>
          <w:rFonts w:hint="eastAsia" w:ascii="楷体_GB2312" w:hAnsi="楷体_GB2312" w:eastAsia="楷体_GB2312" w:cs="楷体_GB2312"/>
          <w:b w:val="0"/>
          <w:bCs w:val="0"/>
          <w:color w:val="auto"/>
          <w:spacing wpsCustomData:val="-6" w:val="-6"/>
          <w:sz w:val="32"/>
          <w:szCs w:val="32"/>
          <w:u w:val="none" w:color="auto"/>
        </w:rPr>
        <w:t>体</w:t>
      </w:r>
      <w:r>
        <w:rPr>
          <w:rFonts w:hint="eastAsia" w:ascii="楷体_GB2312" w:hAnsi="楷体_GB2312" w:eastAsia="楷体_GB2312" w:cs="楷体_GB2312"/>
          <w:b w:val="0"/>
          <w:bCs w:val="0"/>
          <w:color w:val="auto"/>
          <w:sz w:val="32"/>
          <w:szCs w:val="32"/>
          <w:u w:val="none" w:color="auto"/>
        </w:rPr>
        <w:t>育局）</w:t>
      </w:r>
    </w:p>
    <w:p w14:paraId="3A5510F1">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w:t>
      </w:r>
      <w:r>
        <w:rPr>
          <w:rStyle w:val="26"/>
        </w:rPr>
        <w:t>加大品牌宣传力度</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对接国内新媒体、海外侨媒资源，加大媒体品牌宣传投入，提升区域公共品牌与企业自主品牌知名度。盘活辖区宣传资源，运用高铁站、机场等重点交通枢纽开展“揭阳智造”及各特色产业区域品牌宣传推广工作。每年安排专项资金用于开展站点形象展示、产业品牌推介。</w:t>
      </w:r>
      <w:r>
        <w:rPr>
          <w:rFonts w:hint="eastAsia" w:ascii="楷体_GB2312" w:hAnsi="楷体_GB2312" w:eastAsia="楷体_GB2312" w:cs="楷体_GB2312"/>
          <w:b w:val="0"/>
          <w:bCs w:val="0"/>
          <w:color w:val="auto"/>
          <w:sz w:val="32"/>
          <w:szCs w:val="32"/>
          <w:u w:val="none" w:color="auto"/>
        </w:rPr>
        <w:t>（牵头单位：市文化广电旅游体育局、市交通运输局）</w:t>
      </w:r>
    </w:p>
    <w:p w14:paraId="01A3FDDA">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sz w:val="32"/>
          <w:szCs w:val="32"/>
          <w:u w:val="none" w:color="auto"/>
        </w:rPr>
      </w:pPr>
      <w:r>
        <w:rPr>
          <w:rFonts w:hint="eastAsia" w:cs="黑体"/>
          <w:b w:val="0"/>
          <w:bCs w:val="0"/>
          <w:sz w:val="32"/>
          <w:szCs w:val="32"/>
          <w:u w:val="none" w:color="auto"/>
          <w:lang w:eastAsia="zh-CN"/>
        </w:rPr>
        <w:t>四、</w:t>
      </w:r>
      <w:r>
        <w:rPr>
          <w:rFonts w:ascii="黑体" w:hAnsi="黑体" w:eastAsia="黑体" w:cs="黑体"/>
          <w:b w:val="0"/>
          <w:bCs w:val="0"/>
          <w:sz w:val="32"/>
          <w:szCs w:val="32"/>
          <w:u w:val="none" w:color="auto"/>
        </w:rPr>
        <w:t>加速AI赋能，培育壮大新质生产力</w:t>
      </w:r>
    </w:p>
    <w:p w14:paraId="0F6FFF13">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（十一）</w:t>
      </w:r>
      <w:r>
        <w:rPr>
          <w:rStyle w:val="26"/>
        </w:rPr>
        <w:t>加快推动数字化转型升级</w:t>
      </w:r>
      <w:r>
        <w:rPr>
          <w:rFonts w:ascii="Times New Roman" w:hAnsi="Times New Roman" w:eastAsia="仿宋_GB2312" w:cs="仿宋_GB2312"/>
          <w:b w:val="0"/>
          <w:bCs w:val="0"/>
          <w:i w:val="0"/>
          <w:strike w:val="0"/>
          <w:dstrike w:val="0"/>
          <w:vanish w:val="0"/>
          <w:color w:val="auto"/>
          <w:sz w:val="32"/>
          <w:szCs w:val="32"/>
          <w:u w:val="none" w:color="auto"/>
        </w:rPr>
        <w:t>。完成省级中小企业数字化转型城市试点任务，2027年</w:t>
      </w:r>
      <w:r>
        <w:rPr>
          <w:rFonts w:hint="eastAsia" w:cs="仿宋_GB2312"/>
          <w:b w:val="0"/>
          <w:bCs w:val="0"/>
          <w:i w:val="0"/>
          <w:strike w:val="0"/>
          <w:dstrike w:val="0"/>
          <w:vanish w:val="0"/>
          <w:color w:val="auto"/>
          <w:sz w:val="32"/>
          <w:szCs w:val="32"/>
          <w:u w:val="none" w:color="auto"/>
          <w:lang w:val="en-US" w:eastAsia="zh-CN"/>
        </w:rPr>
        <w:t>10月</w:t>
      </w:r>
      <w:r>
        <w:rPr>
          <w:rFonts w:ascii="Times New Roman" w:hAnsi="Times New Roman" w:eastAsia="仿宋_GB2312" w:cs="仿宋_GB2312"/>
          <w:b w:val="0"/>
          <w:bCs w:val="0"/>
          <w:i w:val="0"/>
          <w:strike w:val="0"/>
          <w:dstrike w:val="0"/>
          <w:vanish w:val="0"/>
          <w:color w:val="auto"/>
          <w:sz w:val="32"/>
          <w:szCs w:val="32"/>
          <w:u w:val="none" w:color="auto"/>
        </w:rPr>
        <w:t>实现传统产业规上企业数字化转型全覆盖，2028年成功创建国家级中小企业数字化转型试点。</w:t>
      </w:r>
      <w:r>
        <w:rPr>
          <w:rFonts w:hint="eastAsia" w:ascii="楷体_GB2312" w:hAnsi="楷体_GB2312" w:eastAsia="楷体_GB2312" w:cs="楷体_GB2312"/>
          <w:b w:val="0"/>
          <w:bCs w:val="0"/>
          <w:color w:val="auto"/>
          <w:sz w:val="32"/>
          <w:szCs w:val="32"/>
          <w:u w:val="none" w:color="auto"/>
        </w:rPr>
        <w:t>（牵头单位：市工业和信息化局）</w:t>
      </w:r>
    </w:p>
    <w:p w14:paraId="59AD59B6">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i w:val="0"/>
          <w:strike w:val="0"/>
          <w:dstrike w:val="0"/>
          <w:vanish w:val="0"/>
          <w:color w:val="auto"/>
          <w:sz w:val="32"/>
          <w:szCs w:val="32"/>
          <w:u w:val="none" w:color="auto"/>
        </w:rPr>
      </w:pPr>
      <w:r>
        <w:rPr>
          <w:rStyle w:val="26"/>
          <w:rFonts w:hint="eastAsia" w:eastAsia="楷体_GB2312"/>
          <w:lang w:eastAsia="zh-CN"/>
        </w:rPr>
        <w:t>（十二）</w:t>
      </w:r>
      <w:r>
        <w:rPr>
          <w:rStyle w:val="26"/>
        </w:rPr>
        <w:t>高标准建设粤东区域赋能中心</w:t>
      </w:r>
      <w:r>
        <w:rPr>
          <w:rFonts w:ascii="Times New Roman" w:hAnsi="Times New Roman" w:eastAsia="仿宋_GB2312" w:cs="仿宋_GB2312"/>
          <w:b w:val="0"/>
          <w:bCs w:val="0"/>
          <w:i w:val="0"/>
          <w:strike w:val="0"/>
          <w:dstrike w:val="0"/>
          <w:vanish w:val="0"/>
          <w:color w:val="auto"/>
          <w:sz w:val="32"/>
          <w:szCs w:val="32"/>
          <w:u w:val="none" w:color="auto"/>
        </w:rPr>
        <w:t>。在高新区孵化中心统筹超1000平</w:t>
      </w:r>
      <w:r>
        <w:rPr>
          <w:rFonts w:hint="eastAsia" w:cs="仿宋_GB2312"/>
          <w:b w:val="0"/>
          <w:bCs w:val="0"/>
          <w:i w:val="0"/>
          <w:strike w:val="0"/>
          <w:dstrike w:val="0"/>
          <w:vanish w:val="0"/>
          <w:color w:val="auto"/>
          <w:sz w:val="32"/>
          <w:szCs w:val="32"/>
          <w:u w:val="none" w:color="auto"/>
          <w:lang w:val="en-US" w:eastAsia="zh-CN"/>
        </w:rPr>
        <w:t>方</w:t>
      </w:r>
      <w:r>
        <w:rPr>
          <w:rFonts w:ascii="Times New Roman" w:hAnsi="Times New Roman" w:eastAsia="仿宋_GB2312" w:cs="仿宋_GB2312"/>
          <w:b w:val="0"/>
          <w:bCs w:val="0"/>
          <w:i w:val="0"/>
          <w:strike w:val="0"/>
          <w:dstrike w:val="0"/>
          <w:vanish w:val="0"/>
          <w:color w:val="auto"/>
          <w:sz w:val="32"/>
          <w:szCs w:val="32"/>
          <w:u w:val="none" w:color="auto"/>
        </w:rPr>
        <w:t>米公</w:t>
      </w:r>
      <w:r>
        <w:rPr>
          <w:rFonts w:hint="eastAsia" w:cs="仿宋_GB2312"/>
          <w:b w:val="0"/>
          <w:bCs w:val="0"/>
          <w:i w:val="0"/>
          <w:strike w:val="0"/>
          <w:dstrike w:val="0"/>
          <w:vanish w:val="0"/>
          <w:color w:val="auto"/>
          <w:sz w:val="32"/>
          <w:szCs w:val="32"/>
          <w:u w:val="none" w:color="auto"/>
          <w:lang w:val="en-US" w:eastAsia="zh-CN"/>
        </w:rPr>
        <w:t>共</w:t>
      </w:r>
      <w:r>
        <w:rPr>
          <w:rFonts w:ascii="Times New Roman" w:hAnsi="Times New Roman" w:eastAsia="仿宋_GB2312" w:cs="仿宋_GB2312"/>
          <w:b w:val="0"/>
          <w:bCs w:val="0"/>
          <w:i w:val="0"/>
          <w:strike w:val="0"/>
          <w:dstrike w:val="0"/>
          <w:vanish w:val="0"/>
          <w:color w:val="auto"/>
          <w:sz w:val="32"/>
          <w:szCs w:val="32"/>
          <w:u w:val="none" w:color="auto"/>
        </w:rPr>
        <w:t>区域建设粤东赋能中心，依托市工业设计中心组建赋能中心运营团队，推动符合条件的赋能项目申报省资金项目库并配套奖补。</w:t>
      </w:r>
      <w:r>
        <w:rPr>
          <w:rFonts w:ascii="Times New Roman" w:hAnsi="Times New Roman" w:eastAsia="仿宋_GB2312" w:cs="仿宋_GB2312"/>
          <w:b w:val="0"/>
          <w:bCs w:val="0"/>
          <w:color w:val="auto"/>
          <w:sz w:val="32"/>
          <w:szCs w:val="32"/>
          <w:u w:val="none" w:color="auto"/>
        </w:rPr>
        <w:t>（牵头单位：市工业和信息化局、高新区管委会）</w:t>
      </w:r>
    </w:p>
    <w:p w14:paraId="14B2021C">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（十三）</w:t>
      </w:r>
      <w:r>
        <w:rPr>
          <w:rStyle w:val="26"/>
        </w:rPr>
        <w:t>推广行业AI应用场景</w:t>
      </w:r>
      <w:r>
        <w:rPr>
          <w:rFonts w:ascii="Times New Roman" w:hAnsi="Times New Roman" w:eastAsia="仿宋_GB2312" w:cs="仿宋_GB2312"/>
          <w:b w:val="0"/>
          <w:bCs w:val="0"/>
          <w:i w:val="0"/>
          <w:strike w:val="0"/>
          <w:dstrike w:val="0"/>
          <w:vanish w:val="0"/>
          <w:color w:val="auto"/>
          <w:sz w:val="32"/>
          <w:szCs w:val="32"/>
          <w:u w:val="none" w:color="auto"/>
        </w:rPr>
        <w:t>。推动人工智能与本地传统产业融合，培育2－3个全省知名“AI＋产业”融合标杆。依托园区平台每年遴选认定一批“AI赋能示范车间”，向产业链上下游及同行企业开放展示。</w:t>
      </w:r>
      <w:r>
        <w:rPr>
          <w:rFonts w:hint="eastAsia" w:ascii="楷体_GB2312" w:hAnsi="楷体_GB2312" w:eastAsia="楷体_GB2312" w:cs="楷体_GB2312"/>
          <w:b w:val="0"/>
          <w:bCs w:val="0"/>
          <w:color w:val="auto"/>
          <w:sz w:val="32"/>
          <w:szCs w:val="32"/>
          <w:u w:val="none" w:color="auto"/>
        </w:rPr>
        <w:t>（牵头单位：市工业和信息化局、各园区管委会）</w:t>
      </w:r>
    </w:p>
    <w:p w14:paraId="4244D573">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sz w:val="32"/>
          <w:szCs w:val="32"/>
          <w:u w:val="none" w:color="auto"/>
        </w:rPr>
      </w:pPr>
      <w:r>
        <w:rPr>
          <w:rFonts w:hint="eastAsia" w:cs="黑体"/>
          <w:b w:val="0"/>
          <w:bCs w:val="0"/>
          <w:sz w:val="32"/>
          <w:szCs w:val="32"/>
          <w:u w:val="none" w:color="auto"/>
          <w:lang w:eastAsia="zh-CN"/>
        </w:rPr>
        <w:t>五、</w:t>
      </w:r>
      <w:r>
        <w:rPr>
          <w:rFonts w:ascii="黑体" w:hAnsi="黑体" w:eastAsia="黑体" w:cs="黑体"/>
          <w:b w:val="0"/>
          <w:bCs w:val="0"/>
          <w:sz w:val="32"/>
          <w:szCs w:val="32"/>
          <w:u w:val="none" w:color="auto"/>
        </w:rPr>
        <w:t>加大金融支撑力度，夯实产业升级资金保障</w:t>
      </w:r>
    </w:p>
    <w:p w14:paraId="36629A43">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（十四）</w:t>
      </w:r>
      <w:r>
        <w:rPr>
          <w:rStyle w:val="26"/>
        </w:rPr>
        <w:t>持续降低企业融资成本</w:t>
      </w:r>
      <w:r>
        <w:rPr>
          <w:rFonts w:ascii="Times New Roman" w:hAnsi="Times New Roman" w:eastAsia="仿宋_GB2312" w:cs="仿宋_GB2312"/>
          <w:b w:val="0"/>
          <w:bCs w:val="0"/>
          <w:i w:val="0"/>
          <w:strike w:val="0"/>
          <w:dstrike w:val="0"/>
          <w:vanish w:val="0"/>
          <w:color w:val="auto"/>
          <w:sz w:val="32"/>
          <w:szCs w:val="32"/>
          <w:u w:val="none" w:color="auto"/>
        </w:rPr>
        <w:t>。争取不低于2亿元的再贷款额度，激励带动地方法人银行支持传统产业焕新升级</w:t>
      </w:r>
      <w:r>
        <w:rPr>
          <w:rFonts w:hint="eastAsia" w:cs="仿宋_GB2312"/>
          <w:b w:val="0"/>
          <w:bCs w:val="0"/>
          <w:i w:val="0"/>
          <w:strike w:val="0"/>
          <w:dstrike w:val="0"/>
          <w:vanish w:val="0"/>
          <w:color w:val="auto"/>
          <w:sz w:val="32"/>
          <w:szCs w:val="32"/>
          <w:u w:val="none" w:color="auto"/>
          <w:lang w:eastAsia="zh-CN"/>
        </w:rPr>
        <w:t>，</w:t>
      </w:r>
      <w:r>
        <w:rPr>
          <w:rFonts w:hint="eastAsia" w:cs="仿宋_GB2312"/>
          <w:b w:val="0"/>
          <w:bCs w:val="0"/>
          <w:i w:val="0"/>
          <w:strike w:val="0"/>
          <w:dstrike w:val="0"/>
          <w:vanish w:val="0"/>
          <w:color w:val="auto"/>
          <w:sz w:val="32"/>
          <w:szCs w:val="32"/>
          <w:u w:val="none" w:color="auto"/>
          <w:lang w:val="en-US" w:eastAsia="zh-CN"/>
        </w:rPr>
        <w:t>降低</w:t>
      </w:r>
      <w:r>
        <w:rPr>
          <w:rFonts w:ascii="Times New Roman" w:hAnsi="Times New Roman" w:eastAsia="仿宋_GB2312" w:cs="仿宋_GB2312"/>
          <w:b w:val="0"/>
          <w:bCs w:val="0"/>
          <w:i w:val="0"/>
          <w:strike w:val="0"/>
          <w:dstrike w:val="0"/>
          <w:vanish w:val="0"/>
          <w:color w:val="auto"/>
          <w:sz w:val="32"/>
          <w:szCs w:val="32"/>
          <w:u w:val="none" w:color="auto"/>
        </w:rPr>
        <w:t>新发放小微企业贷款</w:t>
      </w:r>
      <w:r>
        <w:rPr>
          <w:rFonts w:hint="eastAsia" w:cs="仿宋_GB2312"/>
          <w:b w:val="0"/>
          <w:bCs w:val="0"/>
          <w:i w:val="0"/>
          <w:strike w:val="0"/>
          <w:dstrike w:val="0"/>
          <w:vanish w:val="0"/>
          <w:color w:val="auto"/>
          <w:sz w:val="32"/>
          <w:szCs w:val="32"/>
          <w:u w:val="none" w:color="auto"/>
          <w:lang w:val="en-US" w:eastAsia="zh-CN"/>
        </w:rPr>
        <w:t>利率</w:t>
      </w:r>
      <w:r>
        <w:rPr>
          <w:rFonts w:hint="eastAsia" w:cs="仿宋_GB2312"/>
          <w:b w:val="0"/>
          <w:bCs w:val="0"/>
          <w:i w:val="0"/>
          <w:strike w:val="0"/>
          <w:dstrike w:val="0"/>
          <w:vanish w:val="0"/>
          <w:color w:val="auto"/>
          <w:sz w:val="32"/>
          <w:szCs w:val="32"/>
          <w:u w:val="none" w:color="auto"/>
          <w:lang w:eastAsia="zh-CN"/>
        </w:rPr>
        <w:t>。</w:t>
      </w:r>
      <w:r>
        <w:rPr>
          <w:rFonts w:ascii="Times New Roman" w:hAnsi="Times New Roman" w:eastAsia="仿宋_GB2312" w:cs="仿宋_GB2312"/>
          <w:b w:val="0"/>
          <w:bCs w:val="0"/>
          <w:i w:val="0"/>
          <w:strike w:val="0"/>
          <w:dstrike w:val="0"/>
          <w:vanish w:val="0"/>
          <w:color w:val="auto"/>
          <w:sz w:val="32"/>
          <w:szCs w:val="32"/>
          <w:u w:val="none" w:color="auto"/>
        </w:rPr>
        <w:t>叠加市级贴息，提升专精特新企业贷款贴息比例。</w:t>
      </w:r>
      <w:r>
        <w:rPr>
          <w:rFonts w:hint="eastAsia" w:ascii="楷体_GB2312" w:hAnsi="楷体_GB2312" w:eastAsia="楷体_GB2312" w:cs="楷体_GB2312"/>
          <w:b w:val="0"/>
          <w:bCs w:val="0"/>
          <w:color w:val="auto"/>
          <w:sz w:val="32"/>
          <w:szCs w:val="32"/>
          <w:u w:val="none" w:color="auto"/>
        </w:rPr>
        <w:t>（牵头单位：中国人民银行揭阳市分行、市工业和信息化局）</w:t>
      </w:r>
    </w:p>
    <w:p w14:paraId="379C90A4">
      <w:pPr>
        <w:pStyle w:val="13"/>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（十五）</w:t>
      </w:r>
      <w:r>
        <w:rPr>
          <w:rStyle w:val="26"/>
        </w:rPr>
        <w:t>加大产业信贷投放力度</w:t>
      </w:r>
      <w:r>
        <w:rPr>
          <w:rFonts w:ascii="Times New Roman" w:hAnsi="Times New Roman" w:eastAsia="仿宋_GB2312" w:cs="仿宋_GB2312"/>
          <w:b w:val="0"/>
          <w:bCs w:val="0"/>
          <w:i w:val="0"/>
          <w:strike w:val="0"/>
          <w:dstrike w:val="0"/>
          <w:vanish w:val="0"/>
          <w:color w:val="auto"/>
          <w:sz w:val="32"/>
          <w:szCs w:val="32"/>
          <w:u w:val="none" w:color="auto"/>
        </w:rPr>
        <w:t>。推广知识产权质押融资，依托企业经营数据为“征信薄弱市场主体”融资增信；将政府性融资担保年化费率压降至1％以下。无还本续贷政策覆盖范围延伸至2027年9月30日前到期的中型企业流动资金贷款，每年制造业累计发放贷款不少于100亿元，制造业贷款增速稳定在10％以上，无还本续贷业务规模突破100亿元。</w:t>
      </w:r>
      <w:r>
        <w:rPr>
          <w:rFonts w:hint="eastAsia" w:ascii="楷体_GB2312" w:hAnsi="楷体_GB2312" w:eastAsia="楷体_GB2312" w:cs="楷体_GB2312"/>
          <w:b w:val="0"/>
          <w:bCs w:val="0"/>
          <w:color w:val="auto"/>
          <w:sz w:val="32"/>
          <w:szCs w:val="32"/>
          <w:u w:val="none" w:color="auto"/>
        </w:rPr>
        <w:t>（牵头单位：市府办、中国人民银行揭阳市分行、揭阳金融监管分局）</w:t>
      </w:r>
    </w:p>
    <w:p w14:paraId="0E41AE31">
      <w:pPr>
        <w:pStyle w:val="13"/>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（十六）</w:t>
      </w:r>
      <w:r>
        <w:rPr>
          <w:rStyle w:val="26"/>
        </w:rPr>
        <w:t>精准匹配产业多元融资需求</w:t>
      </w:r>
      <w:r>
        <w:rPr>
          <w:rFonts w:ascii="Times New Roman" w:hAnsi="Times New Roman" w:eastAsia="仿宋_GB2312" w:cs="仿宋_GB2312"/>
          <w:b w:val="0"/>
          <w:i w:val="0"/>
          <w:strike w:val="0"/>
          <w:dstrike w:val="0"/>
          <w:vanish w:val="0"/>
          <w:color w:val="auto"/>
          <w:sz w:val="32"/>
          <w:szCs w:val="32"/>
          <w:u w:val="none" w:color="auto"/>
        </w:rPr>
        <w:t>。针对企业扩产扩建、智能化改造、节能降碳等场景定制专项融资方案。及时满足传统产业链上下游信贷需求，带动产业协同发展。积极争取中央预算内资金、特别国债、新型政策性金融工具、专项债等上级政策性资金支持传统产业焕新升级。</w:t>
      </w:r>
      <w:r>
        <w:rPr>
          <w:rFonts w:hint="eastAsia" w:ascii="楷体_GB2312" w:hAnsi="楷体_GB2312" w:eastAsia="楷体_GB2312" w:cs="楷体_GB2312"/>
          <w:b w:val="0"/>
          <w:bCs w:val="0"/>
          <w:color w:val="auto"/>
          <w:sz w:val="32"/>
          <w:szCs w:val="32"/>
          <w:u w:val="none" w:color="auto"/>
        </w:rPr>
        <w:t>（牵头单位：中国人民银行揭阳市分行、揭阳金</w:t>
      </w:r>
    </w:p>
    <w:p w14:paraId="2A699D57">
      <w:pPr>
        <w:pStyle w:val="13"/>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40" w:lineRule="exact"/>
        <w:textAlignment w:val="auto"/>
        <w:rPr>
          <w:rFonts w:hint="eastAsia" w:ascii="楷体_GB2312" w:hAnsi="楷体_GB2312" w:eastAsia="楷体_GB2312" w:cs="楷体_GB2312"/>
          <w:b w:val="0"/>
          <w:bCs w:val="0"/>
          <w:color w:val="auto"/>
          <w:sz w:val="32"/>
          <w:szCs w:val="32"/>
          <w:u w:val="none" w:color="auto"/>
        </w:rPr>
      </w:pPr>
      <w:r>
        <w:rPr>
          <w:rFonts w:hint="eastAsia" w:ascii="楷体_GB2312" w:hAnsi="楷体_GB2312" w:eastAsia="楷体_GB2312" w:cs="楷体_GB2312"/>
          <w:b w:val="0"/>
          <w:bCs w:val="0"/>
          <w:color w:val="auto"/>
          <w:sz w:val="32"/>
          <w:szCs w:val="32"/>
          <w:u w:val="none" w:color="auto"/>
        </w:rPr>
        <w:t>融监管分局、市发展改革局、市财政局）</w:t>
      </w:r>
    </w:p>
    <w:p w14:paraId="66F3ECD6">
      <w:pPr>
        <w:pStyle w:val="13"/>
        <w:pageBreakBefore w:val="0"/>
        <w:widowControl/>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40" w:lineRule="exact"/>
        <w:ind w:firstLine="616" w:firstLineChars="200"/>
        <w:textAlignment w:val="auto"/>
        <w:rPr>
          <w:rFonts w:hint="eastAsia" w:ascii="黑体" w:hAnsi="黑体" w:eastAsia="黑体" w:cs="黑体"/>
          <w:b w:val="0"/>
          <w:bCs w:val="0"/>
          <w:vanish w:val="0"/>
          <w:sz w:val="32"/>
          <w:szCs w:val="32"/>
          <w:u w:val="none" w:color="auto"/>
        </w:rPr>
      </w:pPr>
      <w:r>
        <w:rPr>
          <w:rFonts w:hint="eastAsia" w:ascii="黑体" w:hAnsi="黑体" w:eastAsia="黑体" w:cs="黑体"/>
          <w:b w:val="0"/>
          <w:bCs w:val="0"/>
          <w:sz w:val="32"/>
          <w:szCs w:val="32"/>
          <w:u w:val="none" w:color="auto"/>
          <w:lang w:eastAsia="zh-CN"/>
        </w:rPr>
        <w:t>六、</w:t>
      </w:r>
      <w:r>
        <w:rPr>
          <w:rFonts w:hint="eastAsia" w:ascii="黑体" w:hAnsi="黑体" w:eastAsia="黑体" w:cs="黑体"/>
          <w:b w:val="0"/>
          <w:bCs w:val="0"/>
          <w:sz w:val="32"/>
          <w:szCs w:val="32"/>
          <w:u w:val="none" w:color="auto"/>
        </w:rPr>
        <w:t>整合赋能资源，提升产业共享服务水平</w:t>
      </w:r>
    </w:p>
    <w:p w14:paraId="49CCDF53">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ascii="Times New Roman" w:hAnsi="Times New Roman" w:eastAsia="仿宋_GB2312" w:cs="仿宋_GB2312"/>
          <w:b w:val="0"/>
          <w:bCs w:val="0"/>
          <w:i w:val="0"/>
          <w:strike w:val="0"/>
          <w:dstrike w:val="0"/>
          <w:vanish w:val="0"/>
          <w:color w:val="auto"/>
          <w:sz w:val="32"/>
          <w:szCs w:val="32"/>
          <w:u w:val="none" w:color="auto"/>
        </w:rPr>
      </w:pPr>
      <w:r>
        <w:rPr>
          <w:rStyle w:val="26"/>
          <w:rFonts w:hint="eastAsia" w:eastAsia="楷体_GB2312"/>
          <w:lang w:eastAsia="zh-CN"/>
        </w:rPr>
        <w:t>（十七）</w:t>
      </w:r>
      <w:r>
        <w:rPr>
          <w:rStyle w:val="26"/>
        </w:rPr>
        <w:t>建设检测认证公共服务平台</w:t>
      </w:r>
      <w:r>
        <w:rPr>
          <w:rFonts w:ascii="Times New Roman" w:hAnsi="Times New Roman" w:eastAsia="仿宋_GB2312" w:cs="仿宋_GB2312"/>
          <w:b w:val="0"/>
          <w:bCs w:val="0"/>
          <w:i w:val="0"/>
          <w:strike w:val="0"/>
          <w:dstrike w:val="0"/>
          <w:vanish w:val="0"/>
          <w:color w:val="auto"/>
          <w:sz w:val="32"/>
          <w:szCs w:val="32"/>
          <w:u w:val="none" w:color="auto"/>
        </w:rPr>
        <w:t>。支持布局建设CNAS</w:t>
      </w:r>
    </w:p>
    <w:p w14:paraId="7DAF10E2">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ascii="楷体_GB2312" w:hAnsi="楷体_GB2312" w:eastAsia="楷体_GB2312" w:cs="楷体_GB2312"/>
          <w:b w:val="0"/>
          <w:bCs w:val="0"/>
          <w:color w:val="auto"/>
          <w:sz w:val="32"/>
          <w:szCs w:val="32"/>
          <w:u w:val="none" w:color="auto"/>
        </w:rPr>
      </w:pPr>
      <w:r>
        <w:rPr>
          <w:rFonts w:ascii="Times New Roman" w:hAnsi="Times New Roman" w:eastAsia="仿宋_GB2312" w:cs="仿宋_GB2312"/>
          <w:b w:val="0"/>
          <w:bCs w:val="0"/>
          <w:i w:val="0"/>
          <w:strike w:val="0"/>
          <w:dstrike w:val="0"/>
          <w:vanish w:val="0"/>
          <w:color w:val="auto"/>
          <w:sz w:val="32"/>
          <w:szCs w:val="32"/>
          <w:u w:val="none" w:color="auto"/>
        </w:rPr>
        <w:t>／CMA检测认证公共服务平台，统筹整合第三方检测认证、标准研制应用、进出口合规辅导等专业服务资源，为市场主体提供一站式基础技术服务。</w:t>
      </w:r>
      <w:r>
        <w:rPr>
          <w:rFonts w:hint="eastAsia" w:ascii="楷体_GB2312" w:hAnsi="楷体_GB2312" w:eastAsia="楷体_GB2312" w:cs="楷体_GB2312"/>
          <w:b w:val="0"/>
          <w:bCs w:val="0"/>
          <w:color w:val="auto"/>
          <w:sz w:val="32"/>
          <w:szCs w:val="32"/>
          <w:u w:val="none" w:color="auto"/>
        </w:rPr>
        <w:t>（牵头单位：市市场监督管理局、市工业和信息化局、揭阳海关）</w:t>
      </w:r>
    </w:p>
    <w:p w14:paraId="1A22E936">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（十八）</w:t>
      </w:r>
      <w:r>
        <w:rPr>
          <w:rStyle w:val="26"/>
        </w:rPr>
        <w:t>推动共享工厂建设运营</w:t>
      </w:r>
      <w:r>
        <w:rPr>
          <w:rFonts w:ascii="Times New Roman" w:hAnsi="Times New Roman" w:eastAsia="仿宋_GB2312" w:cs="仿宋_GB2312"/>
          <w:b w:val="0"/>
          <w:bCs w:val="0"/>
          <w:i w:val="0"/>
          <w:strike w:val="0"/>
          <w:dstrike w:val="0"/>
          <w:vanish w:val="0"/>
          <w:color w:val="auto"/>
          <w:sz w:val="32"/>
          <w:szCs w:val="32"/>
          <w:u w:val="none" w:color="auto"/>
        </w:rPr>
        <w:t>。引导园区、国企等主体采取自建、合资共建模式打造共享工厂，集中配置智能缝制、五金精机等高价通用智能设备，面向中小微企业提供分时租赁、柔性代工等服务，推动无自有产线、小批量定制企业轻资产生产。</w:t>
      </w:r>
      <w:r>
        <w:rPr>
          <w:rFonts w:hint="eastAsia" w:ascii="楷体_GB2312" w:hAnsi="楷体_GB2312" w:eastAsia="楷体_GB2312" w:cs="楷体_GB2312"/>
          <w:b w:val="0"/>
          <w:bCs w:val="0"/>
          <w:color w:val="auto"/>
          <w:sz w:val="32"/>
          <w:szCs w:val="32"/>
          <w:u w:val="none" w:color="auto"/>
        </w:rPr>
        <w:t>（牵头单位：市工业和信息化局、市投控集团、各园区管委会）</w:t>
      </w:r>
    </w:p>
    <w:p w14:paraId="597E6448">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（十九）</w:t>
      </w:r>
      <w:r>
        <w:rPr>
          <w:rStyle w:val="26"/>
        </w:rPr>
        <w:t>引导行业协会构建跨境出海服务体系</w:t>
      </w:r>
      <w:r>
        <w:rPr>
          <w:rFonts w:ascii="Times New Roman" w:hAnsi="Times New Roman" w:eastAsia="仿宋_GB2312" w:cs="仿宋_GB2312"/>
          <w:b w:val="0"/>
          <w:bCs w:val="0"/>
          <w:color w:val="auto"/>
          <w:sz w:val="32"/>
          <w:szCs w:val="32"/>
          <w:highlight w:val="none"/>
          <w:u w:val="none" w:color="auto"/>
        </w:rPr>
        <w:t>。组织行业协会对接跨境服务商，为传统产业企业提供境外商标注册、店铺代运营、海外社交媒体营销、跨境合规认证等服务。</w:t>
      </w:r>
      <w:r>
        <w:rPr>
          <w:rFonts w:hint="eastAsia" w:ascii="楷体_GB2312" w:hAnsi="楷体_GB2312" w:eastAsia="楷体_GB2312" w:cs="楷体_GB2312"/>
          <w:b w:val="0"/>
          <w:bCs w:val="0"/>
          <w:color w:val="auto"/>
          <w:sz w:val="32"/>
          <w:szCs w:val="32"/>
          <w:u w:val="none" w:color="auto"/>
        </w:rPr>
        <w:t>（牵头单位：市商务局、市市场监督管理局、市工商联）</w:t>
      </w:r>
    </w:p>
    <w:p w14:paraId="10306636">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i w:val="0"/>
          <w:strike w:val="0"/>
          <w:dstrike w:val="0"/>
          <w:vanish w:val="0"/>
          <w:color w:val="auto"/>
          <w:sz w:val="32"/>
          <w:szCs w:val="32"/>
          <w:u w:val="none" w:color="auto"/>
        </w:rPr>
      </w:pPr>
      <w:r>
        <w:rPr>
          <w:rStyle w:val="26"/>
          <w:rFonts w:hint="eastAsia" w:eastAsia="楷体_GB2312"/>
          <w:lang w:eastAsia="zh-CN"/>
        </w:rPr>
        <w:t>（二十）</w:t>
      </w:r>
      <w:r>
        <w:rPr>
          <w:rStyle w:val="26"/>
        </w:rPr>
        <w:t>搭建工业设计竞赛交流平台</w:t>
      </w:r>
      <w:r>
        <w:rPr>
          <w:rFonts w:ascii="Times New Roman" w:hAnsi="Times New Roman" w:eastAsia="仿宋_GB2312" w:cs="仿宋_GB2312"/>
          <w:b w:val="0"/>
          <w:bCs w:val="0"/>
          <w:i w:val="0"/>
          <w:strike w:val="0"/>
          <w:dstrike w:val="0"/>
          <w:vanish w:val="0"/>
          <w:color w:val="auto"/>
          <w:sz w:val="32"/>
          <w:szCs w:val="32"/>
          <w:u w:val="none" w:color="auto"/>
        </w:rPr>
        <w:t>。</w:t>
      </w:r>
      <w:r>
        <w:rPr>
          <w:rFonts w:ascii="Times New Roman" w:hAnsi="Times New Roman" w:eastAsia="仿宋_GB2312" w:cs="仿宋_GB2312"/>
          <w:b w:val="0"/>
          <w:bCs w:val="0"/>
          <w:color w:val="auto"/>
          <w:sz w:val="32"/>
          <w:szCs w:val="32"/>
          <w:u w:val="none" w:color="auto"/>
        </w:rPr>
        <w:t>持续举办揭阳市工业设计大赛，设置纺织服装、塑料制鞋、五金机电和食品包装等专项组别，配套举办设计成果展与供需对接活动。支持行业协会等主体举办行业工业设计专项赛。</w:t>
      </w:r>
      <w:r>
        <w:rPr>
          <w:rFonts w:ascii="Times New Roman" w:hAnsi="Times New Roman" w:eastAsia="仿宋_GB2312" w:cs="仿宋_GB2312"/>
          <w:b w:val="0"/>
          <w:bCs w:val="0"/>
          <w:i w:val="0"/>
          <w:strike w:val="0"/>
          <w:dstrike w:val="0"/>
          <w:vanish w:val="0"/>
          <w:color w:val="auto"/>
          <w:sz w:val="32"/>
          <w:szCs w:val="32"/>
          <w:u w:val="none" w:color="auto"/>
        </w:rPr>
        <w:t>发动企业积极参与国内外权威工业设计竞赛。</w:t>
      </w:r>
      <w:r>
        <w:rPr>
          <w:rFonts w:hint="eastAsia" w:ascii="楷体_GB2312" w:hAnsi="楷体_GB2312" w:eastAsia="楷体_GB2312" w:cs="楷体_GB2312"/>
          <w:b w:val="0"/>
          <w:bCs w:val="0"/>
          <w:color w:val="auto"/>
          <w:sz w:val="32"/>
          <w:szCs w:val="32"/>
          <w:u w:val="none" w:color="auto"/>
        </w:rPr>
        <w:t>（牵头单位：市工业和信息化局）</w:t>
      </w:r>
    </w:p>
    <w:p w14:paraId="508E2121">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i w:val="0"/>
          <w:strike w:val="0"/>
          <w:dstrike w:val="0"/>
          <w:vanish w:val="0"/>
          <w:color w:val="auto"/>
          <w:sz w:val="32"/>
          <w:szCs w:val="32"/>
          <w:u w:val="none" w:color="auto"/>
        </w:rPr>
      </w:pPr>
      <w:r>
        <w:rPr>
          <w:rStyle w:val="26"/>
          <w:rFonts w:hint="eastAsia" w:eastAsia="楷体_GB2312"/>
          <w:lang w:eastAsia="zh-CN"/>
        </w:rPr>
        <w:t>（二十一）</w:t>
      </w:r>
      <w:r>
        <w:rPr>
          <w:rStyle w:val="26"/>
        </w:rPr>
        <w:t>构建能碳循环发展体系</w:t>
      </w:r>
      <w:r>
        <w:rPr>
          <w:rFonts w:ascii="Times New Roman" w:hAnsi="Times New Roman" w:eastAsia="仿宋_GB2312" w:cs="仿宋_GB2312"/>
          <w:b w:val="0"/>
          <w:bCs w:val="0"/>
          <w:i w:val="0"/>
          <w:strike w:val="0"/>
          <w:dstrike w:val="0"/>
          <w:vanish w:val="0"/>
          <w:color w:val="auto"/>
          <w:sz w:val="32"/>
          <w:szCs w:val="32"/>
          <w:highlight w:val="none"/>
          <w:u w:val="none" w:color="auto"/>
        </w:rPr>
        <w:t>。</w:t>
      </w:r>
      <w:r>
        <w:rPr>
          <w:rFonts w:ascii="Times New Roman" w:hAnsi="Times New Roman" w:eastAsia="仿宋_GB2312" w:cs="仿宋_GB2312"/>
          <w:b w:val="0"/>
          <w:bCs w:val="0"/>
          <w:i w:val="0"/>
          <w:strike w:val="0"/>
          <w:dstrike w:val="0"/>
          <w:vanish w:val="0"/>
          <w:color w:val="auto"/>
          <w:sz w:val="32"/>
          <w:szCs w:val="32"/>
          <w:u w:val="none" w:color="auto"/>
        </w:rPr>
        <w:t>加快核电、风电、光伏等清洁能源项目有序布局，力争中广核揭阳核电项目2027年一季度实现核准开工，至2030年底新增清洁能源装机容量超400万千瓦。推动园区企业积极参与绿证、绿电、碳市场交易，力争到2030年底实现园区企业累计购买绿电60亿千瓦时以上。推动企业实施节能降碳改造，推广高效节能装备，培育20家绿色工厂，加快创建零碳园区。</w:t>
      </w:r>
      <w:r>
        <w:rPr>
          <w:rFonts w:hint="eastAsia" w:ascii="楷体_GB2312" w:hAnsi="楷体_GB2312" w:eastAsia="楷体_GB2312" w:cs="楷体_GB2312"/>
          <w:b w:val="0"/>
          <w:bCs w:val="0"/>
          <w:color w:val="auto"/>
          <w:sz w:val="32"/>
          <w:szCs w:val="32"/>
          <w:u w:val="none" w:color="auto"/>
        </w:rPr>
        <w:t>（牵头单位：市发展改革局、市工业和信息化局、市生态环境局、各园区管委会）</w:t>
      </w:r>
    </w:p>
    <w:p w14:paraId="2920441A">
      <w:pPr>
        <w:pStyle w:val="3"/>
        <w:pageBreakBefore w:val="0"/>
        <w:widowControl/>
        <w:numPr>
          <w:ilvl w:val="0"/>
          <w:numId w:val="0"/>
        </w:numPr>
        <w:kinsoku/>
        <w:wordWrap/>
        <w:overflowPunct/>
        <w:topLinePunct w:val="0"/>
        <w:autoSpaceDE/>
        <w:autoSpaceDN/>
        <w:bidi w:val="0"/>
        <w:adjustRightInd/>
        <w:snapToGrid/>
        <w:spacing w:line="540" w:lineRule="exact"/>
        <w:ind w:left="0" w:leftChars="0" w:firstLine="640"/>
        <w:textAlignment w:val="auto"/>
        <w:rPr>
          <w:rFonts w:eastAsia="黑体"/>
          <w:b w:val="0"/>
          <w:bCs w:val="0"/>
          <w:vanish w:val="0"/>
          <w:sz w:val="32"/>
          <w:szCs w:val="32"/>
          <w:u w:val="none" w:color="auto"/>
        </w:rPr>
      </w:pPr>
      <w:r>
        <w:rPr>
          <w:rFonts w:hint="eastAsia" w:cs="黑体"/>
          <w:b w:val="0"/>
          <w:bCs w:val="0"/>
          <w:vanish w:val="0"/>
          <w:sz w:val="32"/>
          <w:szCs w:val="32"/>
          <w:u w:val="none" w:color="auto"/>
          <w:lang w:eastAsia="zh-CN"/>
        </w:rPr>
        <w:t>七、</w:t>
      </w:r>
      <w:r>
        <w:rPr>
          <w:rFonts w:ascii="黑体" w:hAnsi="黑体" w:eastAsia="黑体" w:cs="黑体"/>
          <w:b w:val="0"/>
          <w:bCs w:val="0"/>
          <w:vanish w:val="0"/>
          <w:sz w:val="32"/>
          <w:szCs w:val="32"/>
          <w:u w:val="none" w:color="auto"/>
        </w:rPr>
        <w:t>优化产业要素统筹配置，精准实施企业降本纾困</w:t>
      </w:r>
    </w:p>
    <w:p w14:paraId="0A6A31A1">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（二十二）</w:t>
      </w:r>
      <w:r>
        <w:rPr>
          <w:rStyle w:val="26"/>
        </w:rPr>
        <w:t>做强园区平台支撑</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统筹专项债支持园区道路、管网、储能等基建，推动园区专项债投入占比达50％以上。规划配优配足生活配套区，布局人才公寓、商业、教育医疗等设施。推动省级产业园区标准化建设评价达良好以上等次，</w:t>
      </w:r>
      <w:r>
        <w:rPr>
          <w:rFonts w:hint="eastAsia" w:ascii="Times New Roman" w:hAnsi="Times New Roman" w:eastAsia="仿宋_GB2312" w:cs="仿宋_GB2312"/>
          <w:b w:val="0"/>
          <w:bCs w:val="0"/>
          <w:i w:val="0"/>
          <w:strike w:val="0"/>
          <w:dstrike w:val="0"/>
          <w:vanish w:val="0"/>
          <w:color w:val="auto"/>
          <w:sz w:val="32"/>
          <w:szCs w:val="32"/>
          <w:u w:val="none" w:color="auto"/>
        </w:rPr>
        <w:t>普宁、惠来、梧桐、揭西产业园区积极创建A级园区。</w:t>
      </w:r>
      <w:r>
        <w:rPr>
          <w:rFonts w:hint="eastAsia" w:ascii="楷体_GB2312" w:hAnsi="楷体_GB2312" w:eastAsia="楷体_GB2312" w:cs="楷体_GB2312"/>
          <w:b w:val="0"/>
          <w:bCs w:val="0"/>
          <w:color w:val="auto"/>
          <w:sz w:val="32"/>
          <w:szCs w:val="32"/>
          <w:u w:val="none" w:color="auto"/>
        </w:rPr>
        <w:t>（牵头单位：市工业和信息化局、市自然资源局、市发展改革局、各园区管委会）</w:t>
      </w:r>
    </w:p>
    <w:p w14:paraId="2996F674">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ascii="楷体_GB2312" w:hAnsi="楷体_GB2312" w:eastAsia="楷体_GB2312" w:cs="楷体_GB2312"/>
          <w:b w:val="0"/>
          <w:bCs w:val="0"/>
          <w:color w:val="auto"/>
          <w:sz w:val="32"/>
          <w:szCs w:val="32"/>
          <w:u w:val="none" w:color="auto"/>
        </w:rPr>
      </w:pPr>
      <w:r>
        <w:rPr>
          <w:rStyle w:val="26"/>
          <w:rFonts w:hint="eastAsia" w:eastAsia="楷体_GB2312"/>
          <w:lang w:eastAsia="zh-CN"/>
        </w:rPr>
        <w:t>（二十三）</w:t>
      </w:r>
      <w:r>
        <w:rPr>
          <w:rStyle w:val="26"/>
        </w:rPr>
        <w:t>保障工业用地需求</w:t>
      </w:r>
      <w:r>
        <w:rPr>
          <w:rFonts w:ascii="Times New Roman" w:hAnsi="Times New Roman" w:eastAsia="仿宋_GB2312" w:cs="仿宋_GB2312"/>
          <w:b w:val="0"/>
          <w:bCs w:val="0"/>
          <w:color w:val="auto"/>
          <w:sz w:val="32"/>
          <w:szCs w:val="32"/>
          <w:u w:val="none" w:color="auto"/>
        </w:rPr>
        <w:t>。统筹划定工业用地控制线不低于15万亩，建立新增建设用地“指标池”，每年安排不少于5000亩保障指标需求。抓好工业用地储备和出让，每年出让土地中工业用地占比不低于50％，其中制造业用地占比不低于30％。推进传统产业低效用地再开发利用，“工改工”改造面积3000亩，提高工业用地容积率。工业用地并联审批压缩至3个月内，全面推行净地出让、拿地即开工，交地后2个月内开工建设。持续降低工业用地出让地价，出让起始价在不低于土地取得成本的基础上，可按所在级别基准地价的70％设定；实施工业项目分期支付土地价款，首期按不低于50％比例缴纳、余款一年内免息缴清。“工改工”项目完善征地手续按30％的地价比例计收、划拨用地补办出让手续按40％计收。</w:t>
      </w:r>
      <w:r>
        <w:rPr>
          <w:rFonts w:hint="eastAsia" w:ascii="楷体_GB2312" w:hAnsi="楷体_GB2312" w:eastAsia="楷体_GB2312" w:cs="楷体_GB2312"/>
          <w:b w:val="0"/>
          <w:bCs w:val="0"/>
          <w:color w:val="auto"/>
          <w:sz w:val="32"/>
          <w:szCs w:val="32"/>
          <w:u w:val="none" w:color="auto"/>
        </w:rPr>
        <w:t>（牵头单位：市自然资源局、市工业和信息化局、市住房城</w:t>
      </w:r>
    </w:p>
    <w:p w14:paraId="3C25ACDE">
      <w:pPr>
        <w:pStyle w:val="13"/>
        <w:pageBreakBefore w:val="0"/>
        <w:widowControl/>
        <w:numPr>
          <w:ilvl w:val="0"/>
          <w:numId w:val="0"/>
        </w:numPr>
        <w:kinsoku/>
        <w:wordWrap/>
        <w:overflowPunct/>
        <w:topLinePunct w:val="0"/>
        <w:autoSpaceDE/>
        <w:autoSpaceDN/>
        <w:bidi w:val="0"/>
        <w:adjustRightInd/>
        <w:snapToGrid/>
        <w:spacing w:line="540" w:lineRule="exact"/>
        <w:textAlignment w:val="auto"/>
        <w:rPr>
          <w:rFonts w:hint="eastAsia" w:eastAsia="楷体_GB2312"/>
          <w:b w:val="0"/>
          <w:bCs w:val="0"/>
          <w:color w:val="auto"/>
          <w:sz w:val="32"/>
          <w:szCs w:val="32"/>
          <w:u w:val="none" w:color="auto"/>
        </w:rPr>
      </w:pPr>
      <w:r>
        <w:rPr>
          <w:rFonts w:hint="eastAsia" w:ascii="楷体_GB2312" w:hAnsi="楷体_GB2312" w:eastAsia="楷体_GB2312" w:cs="楷体_GB2312"/>
          <w:b w:val="0"/>
          <w:bCs w:val="0"/>
          <w:color w:val="auto"/>
          <w:sz w:val="32"/>
          <w:szCs w:val="32"/>
          <w:u w:val="none" w:color="auto"/>
        </w:rPr>
        <w:t>乡建设局）</w:t>
      </w:r>
    </w:p>
    <w:p w14:paraId="257FB223">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（二十四）</w:t>
      </w:r>
      <w:r>
        <w:rPr>
          <w:rStyle w:val="26"/>
        </w:rPr>
        <w:t>推动环保基础设施提档升级</w:t>
      </w:r>
      <w:r>
        <w:rPr>
          <w:rFonts w:ascii="Times New Roman" w:hAnsi="Times New Roman" w:eastAsia="仿宋_GB2312" w:cs="仿宋_GB2312"/>
          <w:b w:val="0"/>
          <w:bCs w:val="0"/>
          <w:color w:val="auto"/>
          <w:sz w:val="32"/>
          <w:szCs w:val="32"/>
          <w:u w:val="none" w:color="auto"/>
        </w:rPr>
        <w:t>。</w:t>
      </w:r>
      <w:r>
        <w:rPr>
          <w:rFonts w:ascii="Times New Roman" w:hAnsi="Times New Roman" w:eastAsia="仿宋_GB2312" w:cs="仿宋_GB2312"/>
          <w:b w:val="0"/>
          <w:bCs w:val="0"/>
          <w:i w:val="0"/>
          <w:strike w:val="0"/>
          <w:dstrike w:val="0"/>
          <w:vanish w:val="0"/>
          <w:color w:val="auto"/>
          <w:sz w:val="32"/>
          <w:szCs w:val="32"/>
          <w:u w:val="none" w:color="auto"/>
        </w:rPr>
        <w:t>推动普宁市纺织印染环保综合处理中心集中供热系统能源结构调整，将园区周边定型企业纳入园区集中供热体系。开展重点园区污水处理技术升级改造，推动中水回用率提升至50％以上，推动中德金属生态城处理形成结晶盐达到工业再生盐标准对外销售。</w:t>
      </w:r>
      <w:r>
        <w:rPr>
          <w:rFonts w:hint="eastAsia" w:ascii="楷体_GB2312" w:hAnsi="楷体_GB2312" w:eastAsia="楷体_GB2312" w:cs="楷体_GB2312"/>
          <w:b w:val="0"/>
          <w:bCs w:val="0"/>
          <w:color w:val="auto"/>
          <w:sz w:val="32"/>
          <w:szCs w:val="32"/>
          <w:u w:val="none" w:color="auto"/>
        </w:rPr>
        <w:t>（牵头单位：市生态环境局、市发展改革局、市工业和信息化局、市科技局、有关园区管委会）</w:t>
      </w:r>
    </w:p>
    <w:p w14:paraId="444BF376">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i w:val="0"/>
          <w:strike w:val="0"/>
          <w:dstrike w:val="0"/>
          <w:vanish w:val="0"/>
          <w:color w:val="auto"/>
          <w:sz w:val="32"/>
          <w:szCs w:val="32"/>
          <w:u w:val="none" w:color="auto"/>
        </w:rPr>
      </w:pPr>
      <w:r>
        <w:rPr>
          <w:rStyle w:val="26"/>
          <w:rFonts w:hint="eastAsia" w:eastAsia="楷体_GB2312"/>
          <w:lang w:eastAsia="zh-CN"/>
        </w:rPr>
        <w:t>（二十五）</w:t>
      </w:r>
      <w:r>
        <w:rPr>
          <w:rStyle w:val="26"/>
        </w:rPr>
        <w:t>加强产业人才引育</w:t>
      </w:r>
      <w:r>
        <w:rPr>
          <w:rFonts w:ascii="Times New Roman" w:hAnsi="Times New Roman" w:eastAsia="仿宋_GB2312" w:cs="仿宋_GB2312"/>
          <w:b w:val="0"/>
          <w:bCs w:val="0"/>
          <w:i w:val="0"/>
          <w:strike w:val="0"/>
          <w:dstrike w:val="0"/>
          <w:vanish w:val="0"/>
          <w:color w:val="auto"/>
          <w:sz w:val="32"/>
          <w:szCs w:val="32"/>
          <w:u w:val="none" w:color="auto"/>
        </w:rPr>
        <w:t>。实施“百万英才汇南粤”行动计划，线下线上开展专场招聘，开展“技能照亮前程”职业技能培训，技工院校增设人工智能专业。深化校企合作，推行订单班、现代学徒制，推动中职学校深化中高职贯通培养三二分段试点，探索开展“3＋4”七年一体化中本贯通培养改革。</w:t>
      </w:r>
      <w:r>
        <w:rPr>
          <w:rFonts w:hint="eastAsia" w:ascii="楷体_GB2312" w:hAnsi="楷体_GB2312" w:eastAsia="楷体_GB2312" w:cs="楷体_GB2312"/>
          <w:b w:val="0"/>
          <w:bCs w:val="0"/>
          <w:color w:val="auto"/>
          <w:sz w:val="32"/>
          <w:szCs w:val="32"/>
          <w:u w:val="none" w:color="auto"/>
        </w:rPr>
        <w:t>（牵头单位：市人力资源社会保障局、市教育局）</w:t>
      </w:r>
    </w:p>
    <w:p w14:paraId="5FB2F12C">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i w:val="0"/>
          <w:strike w:val="0"/>
          <w:dstrike w:val="0"/>
          <w:vanish w:val="0"/>
          <w:color w:val="auto"/>
          <w:sz w:val="32"/>
          <w:szCs w:val="32"/>
          <w:u w:val="none" w:color="auto"/>
        </w:rPr>
      </w:pPr>
      <w:r>
        <w:rPr>
          <w:rStyle w:val="26"/>
          <w:rFonts w:hint="eastAsia" w:eastAsia="楷体_GB2312"/>
          <w:lang w:eastAsia="zh-CN"/>
        </w:rPr>
        <w:t>（二十六）</w:t>
      </w:r>
      <w:r>
        <w:rPr>
          <w:rStyle w:val="26"/>
        </w:rPr>
        <w:t>强化税惠支持政策</w:t>
      </w:r>
      <w:r>
        <w:rPr>
          <w:rFonts w:ascii="Times New Roman" w:hAnsi="Times New Roman" w:eastAsia="仿宋_GB2312" w:cs="仿宋_GB2312"/>
          <w:b w:val="0"/>
          <w:bCs w:val="0"/>
          <w:i w:val="0"/>
          <w:strike w:val="0"/>
          <w:dstrike w:val="0"/>
          <w:vanish w:val="0"/>
          <w:color w:val="auto"/>
          <w:sz w:val="32"/>
          <w:szCs w:val="32"/>
          <w:u w:val="none" w:color="auto"/>
        </w:rPr>
        <w:t>。</w:t>
      </w:r>
      <w:r>
        <w:rPr>
          <w:rFonts w:ascii="Times New Roman" w:hAnsi="Times New Roman" w:eastAsia="仿宋_GB2312" w:cs="仿宋_GB2312"/>
          <w:b w:val="0"/>
          <w:bCs w:val="0"/>
          <w:color w:val="auto"/>
          <w:sz w:val="32"/>
          <w:szCs w:val="32"/>
          <w:u w:val="none" w:color="auto"/>
        </w:rPr>
        <w:t>依托大数据实施“政策找人”机制，精准推送传统行业税费优惠。落实高新技术企业所得税优惠、制造业研发费用加计扣除、先进制造业增值税加计抵减政策以及固定资产加速折旧、环保节能安全设备投资及智能化改造投入抵免企业所得税政策，执行阶段性降低失业保险费率政策。</w:t>
      </w:r>
      <w:r>
        <w:rPr>
          <w:rFonts w:hint="eastAsia" w:ascii="楷体_GB2312" w:hAnsi="楷体_GB2312" w:eastAsia="楷体_GB2312" w:cs="楷体_GB2312"/>
          <w:b w:val="0"/>
          <w:bCs w:val="0"/>
          <w:color w:val="auto"/>
          <w:sz w:val="32"/>
          <w:szCs w:val="32"/>
          <w:u w:val="none" w:color="auto"/>
        </w:rPr>
        <w:t>（牵头单位：市税务局）</w:t>
      </w:r>
    </w:p>
    <w:p w14:paraId="796346A9">
      <w:pPr>
        <w:pStyle w:val="13"/>
        <w:pageBreakBefore w:val="0"/>
        <w:widowControl/>
        <w:numPr>
          <w:ilvl w:val="0"/>
          <w:numId w:val="0"/>
        </w:numPr>
        <w:kinsoku/>
        <w:wordWrap/>
        <w:overflowPunct/>
        <w:topLinePunct w:val="0"/>
        <w:autoSpaceDE/>
        <w:autoSpaceDN/>
        <w:bidi w:val="0"/>
        <w:adjustRightInd/>
        <w:snapToGrid/>
        <w:spacing w:line="540" w:lineRule="exact"/>
        <w:ind w:left="0" w:leftChars="0" w:firstLine="616"/>
        <w:textAlignment w:val="auto"/>
        <w:rPr>
          <w:rFonts w:hint="eastAsia" w:eastAsia="楷体_GB2312"/>
          <w:b w:val="0"/>
          <w:bCs w:val="0"/>
          <w:color w:val="auto"/>
          <w:sz w:val="32"/>
          <w:szCs w:val="32"/>
          <w:u w:val="none" w:color="auto"/>
        </w:rPr>
      </w:pPr>
      <w:r>
        <w:rPr>
          <w:rStyle w:val="26"/>
          <w:rFonts w:hint="eastAsia" w:eastAsia="楷体_GB2312"/>
          <w:lang w:eastAsia="zh-CN"/>
        </w:rPr>
        <w:t>（二十七）</w:t>
      </w:r>
      <w:r>
        <w:rPr>
          <w:rStyle w:val="26"/>
        </w:rPr>
        <w:t>提升出口通关及退税效能</w:t>
      </w:r>
      <w:r>
        <w:rPr>
          <w:rFonts w:ascii="Times New Roman" w:hAnsi="Times New Roman" w:eastAsia="仿宋_GB2312" w:cs="仿宋_GB2312"/>
          <w:b w:val="0"/>
          <w:bCs w:val="0"/>
          <w:i w:val="0"/>
          <w:strike w:val="0"/>
          <w:dstrike w:val="0"/>
          <w:vanish w:val="0"/>
          <w:color w:val="auto"/>
          <w:sz w:val="32"/>
          <w:szCs w:val="32"/>
          <w:u w:val="none" w:color="auto"/>
        </w:rPr>
        <w:t>。</w:t>
      </w:r>
      <w:r>
        <w:rPr>
          <w:rFonts w:ascii="Times New Roman" w:hAnsi="Times New Roman" w:eastAsia="仿宋_GB2312" w:cs="仿宋_GB2312"/>
          <w:b w:val="0"/>
          <w:bCs w:val="0"/>
          <w:color w:val="auto"/>
          <w:sz w:val="32"/>
          <w:szCs w:val="32"/>
          <w:u w:val="none" w:color="auto"/>
        </w:rPr>
        <w:t>对已实现联网核查的自动进口许可证等证书免予提交证明材料。出口提前申报时限从货物运抵海关监管区前3天延长至7天，实现在线预约通关、7×24小时实时申报作业。正常出口退税业务5个工作日内办结，一、二类出口企业平均3个工作日内办结。全面推行“无纸化”“非接触式”“容缺办理”办税流程，压缩实地核查时长。</w:t>
      </w:r>
      <w:r>
        <w:rPr>
          <w:rFonts w:hint="eastAsia" w:ascii="楷体_GB2312" w:hAnsi="楷体_GB2312" w:eastAsia="楷体_GB2312" w:cs="楷体_GB2312"/>
          <w:b w:val="0"/>
          <w:bCs w:val="0"/>
          <w:color w:val="auto"/>
          <w:sz w:val="32"/>
          <w:szCs w:val="32"/>
          <w:u w:val="none" w:color="auto"/>
        </w:rPr>
        <w:t>（牵头单位：市税务局、揭阳海关、普宁海关、市商务局）</w:t>
      </w:r>
    </w:p>
    <w:p w14:paraId="23B24109">
      <w:pPr>
        <w:pStyle w:val="13"/>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40" w:lineRule="exact"/>
        <w:textAlignment w:val="auto"/>
        <w:rPr>
          <w:rFonts w:ascii="Times New Roman" w:hAnsi="Times New Roman" w:eastAsia="仿宋_GB2312" w:cs="仿宋_GB2312"/>
          <w:b w:val="0"/>
          <w:bCs w:val="0"/>
          <w:color w:val="auto"/>
          <w:sz w:val="32"/>
          <w:szCs w:val="32"/>
          <w:u w:val="none" w:color="auto"/>
        </w:rPr>
      </w:pPr>
      <w:r>
        <w:rPr>
          <w:rFonts w:ascii="Times New Roman" w:hAnsi="Times New Roman" w:eastAsia="仿宋_GB2312" w:cs="仿宋_GB2312"/>
          <w:b w:val="0"/>
          <w:bCs w:val="0"/>
          <w:color w:val="auto"/>
          <w:sz w:val="32"/>
          <w:szCs w:val="32"/>
          <w:u w:val="none" w:color="auto"/>
        </w:rPr>
        <w:t>市级成立传统产业焕新升级工作专班。统筹协调全市传统产业焕新升级政策落地、要素资源、企业服务等工作。市财政统筹各级财政资金、专项债、上级补助资金加大对焕新工程支持力度。市专班办公室每年牵头根据资金需求制定资金使用计划，分年度统筹落实支持资金。本实施方案配套塑料制鞋、五金机电、食品加工、纺织服装四大分产业专项行动方案及任务清单，方案自印发之日起施行，有效期至2030年12月31日。</w:t>
      </w:r>
    </w:p>
    <w:p w14:paraId="433DFAD1">
      <w:pPr>
        <w:pStyle w:val="13"/>
        <w:pageBreakBefore w:val="0"/>
        <w:widowControl/>
        <w:kinsoku/>
        <w:wordWrap/>
        <w:overflowPunct/>
        <w:topLinePunct w:val="0"/>
        <w:autoSpaceDE/>
        <w:autoSpaceDN/>
        <w:bidi w:val="0"/>
        <w:adjustRightInd/>
        <w:snapToGrid/>
        <w:textAlignment w:val="auto"/>
        <w:rPr>
          <w:rFonts w:ascii="Times New Roman" w:hAnsi="Times New Roman" w:eastAsia="仿宋_GB2312" w:cs="仿宋_GB2312"/>
          <w:b w:val="0"/>
          <w:bCs w:val="0"/>
          <w:color w:val="auto"/>
          <w:sz w:val="32"/>
          <w:szCs w:val="32"/>
          <w:u w:val="none" w:color="auto"/>
        </w:rPr>
      </w:pPr>
    </w:p>
    <w:p w14:paraId="38E3AA24">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78912973">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114B1E27">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739B0BDA">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5D1A37C3">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1F9A823C">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19A13796">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6C139DA7">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11D4DE1E">
      <w:pPr>
        <w:pStyle w:val="13"/>
        <w:keepNext w:val="0"/>
        <w:keepLines w:val="0"/>
        <w:pageBreakBefore w:val="0"/>
        <w:widowControl/>
        <w:kinsoku/>
        <w:wordWrap/>
        <w:overflowPunct/>
        <w:topLinePunct w:val="0"/>
        <w:autoSpaceDE/>
        <w:autoSpaceDN/>
        <w:bidi w:val="0"/>
        <w:adjustRightInd/>
        <w:snapToGrid/>
        <w:spacing w:line="500" w:lineRule="exact"/>
        <w:ind w:left="1870" w:leftChars="304" w:hanging="1232" w:hangingChars="400"/>
        <w:textAlignment w:val="auto"/>
        <w:rPr>
          <w:rFonts w:hint="eastAsia" w:ascii="Times New Roman" w:hAnsi="Times New Roman" w:eastAsia="仿宋_GB2312" w:cs="仿宋_GB2312"/>
          <w:b w:val="0"/>
          <w:bCs w:val="0"/>
          <w:color w:val="auto"/>
          <w:spacing w:val="-6"/>
          <w:sz w:val="32"/>
          <w:szCs w:val="32"/>
          <w:u w:val="none" w:color="auto"/>
          <w:lang w:val="en-US" w:eastAsia="zh-CN"/>
        </w:rPr>
      </w:pPr>
    </w:p>
    <w:p w14:paraId="64562A2C">
      <w:pPr>
        <w:keepNext w:val="0"/>
        <w:keepLines w:val="0"/>
        <w:pageBreakBefore w:val="0"/>
        <w:kinsoku/>
        <w:wordWrap/>
        <w:topLinePunct w:val="0"/>
        <w:autoSpaceDE/>
        <w:autoSpaceDN/>
        <w:bidi w:val="0"/>
        <w:spacing w:line="576" w:lineRule="exact"/>
        <w:textAlignment w:val="auto"/>
        <w:rPr>
          <w:rFonts w:hint="eastAsia" w:ascii="Times New Roman" w:hAnsi="Times New Roman" w:eastAsia="方正小标宋简体" w:cs="方正小标宋简体"/>
          <w:color w:val="auto"/>
          <w:sz w:val="44"/>
          <w:szCs w:val="44"/>
          <w:u w:val="none" w:color="auto"/>
          <w:lang w:val="en-US" w:eastAsia="zh-CN"/>
        </w:rPr>
      </w:pPr>
    </w:p>
    <w:p w14:paraId="389D6A4E">
      <w:pPr>
        <w:pStyle w:val="2"/>
        <w:keepNext w:val="0"/>
        <w:keepLines w:val="0"/>
        <w:pageBreakBefore w:val="0"/>
        <w:kinsoku/>
        <w:wordWrap/>
        <w:topLinePunct w:val="0"/>
        <w:autoSpaceDE/>
        <w:autoSpaceDN/>
        <w:bidi w:val="0"/>
        <w:spacing w:line="576" w:lineRule="exact"/>
        <w:textAlignment w:val="auto"/>
        <w:rPr>
          <w:rFonts w:hint="eastAsia" w:ascii="Times New Roman" w:hAnsi="Times New Roman" w:eastAsia="方正小标宋简体" w:cs="方正小标宋简体"/>
          <w:color w:val="auto"/>
          <w:sz w:val="44"/>
          <w:szCs w:val="44"/>
          <w:u w:val="none" w:color="auto"/>
          <w:lang w:val="en-US" w:eastAsia="zh-CN"/>
        </w:rPr>
      </w:pPr>
    </w:p>
    <w:p w14:paraId="13BF9F51">
      <w:pPr>
        <w:pStyle w:val="2"/>
        <w:keepNext w:val="0"/>
        <w:keepLines w:val="0"/>
        <w:pageBreakBefore w:val="0"/>
        <w:kinsoku/>
        <w:wordWrap/>
        <w:topLinePunct w:val="0"/>
        <w:autoSpaceDE/>
        <w:autoSpaceDN/>
        <w:bidi w:val="0"/>
        <w:spacing w:line="576" w:lineRule="exact"/>
        <w:ind w:left="0" w:leftChars="0" w:firstLine="0" w:firstLineChars="0"/>
        <w:jc w:val="both"/>
        <w:textAlignment w:val="auto"/>
        <w:rPr>
          <w:rFonts w:hint="eastAsia" w:ascii="Times New Roman" w:hAnsi="Times New Roman" w:eastAsia="方正小标宋简体" w:cs="方正小标宋简体"/>
          <w:color w:val="auto"/>
          <w:sz w:val="44"/>
          <w:szCs w:val="44"/>
          <w:u w:val="none" w:color="auto"/>
          <w:lang w:val="en-US" w:eastAsia="zh-CN"/>
        </w:rPr>
      </w:pPr>
    </w:p>
    <w:p w14:paraId="44517E3B">
      <w:pPr>
        <w:pStyle w:val="3"/>
        <w:ind w:left="0" w:leftChars="0" w:firstLine="0" w:firstLineChars="0"/>
        <w:jc w:val="center"/>
        <w:rPr>
          <w:rFonts w:hint="eastAsia" w:ascii="方正小标宋简体" w:hAnsi="方正小标宋简体" w:eastAsia="方正小标宋简体" w:cs="方正小标宋简体"/>
          <w:b w:val="0"/>
          <w:bCs w:val="0"/>
          <w:sz w:val="44"/>
          <w:szCs w:val="44"/>
          <w:u w:val="none" w:color="auto"/>
        </w:rPr>
      </w:pPr>
      <w:r>
        <w:rPr>
          <w:rFonts w:hint="eastAsia" w:ascii="方正小标宋简体" w:hAnsi="方正小标宋简体" w:eastAsia="方正小标宋简体" w:cs="方正小标宋简体"/>
          <w:b w:val="0"/>
          <w:bCs w:val="0"/>
          <w:sz w:val="44"/>
          <w:szCs w:val="44"/>
          <w:u w:val="none" w:color="auto"/>
        </w:rPr>
        <w:t>名词解释</w:t>
      </w:r>
    </w:p>
    <w:p w14:paraId="5398CB28">
      <w:pPr>
        <w:pStyle w:val="17"/>
        <w:keepNext w:val="0"/>
        <w:keepLines w:val="0"/>
        <w:pageBreakBefore w:val="0"/>
        <w:widowControl w:val="0"/>
        <w:numPr>
          <w:ilvl w:val="0"/>
          <w:numId w:val="0"/>
        </w:numPr>
        <w:kinsoku/>
        <w:wordWrap/>
        <w:overflowPunct/>
        <w:topLinePunct w:val="0"/>
        <w:autoSpaceDE/>
        <w:autoSpaceDN/>
        <w:bidi w:val="0"/>
        <w:adjustRightInd/>
        <w:snapToGrid w:val="0"/>
        <w:spacing w:line="576" w:lineRule="exact"/>
        <w:ind w:firstLine="640" w:firstLineChars="200"/>
        <w:textAlignment w:val="auto"/>
        <w:rPr>
          <w:rFonts w:hint="eastAsia" w:ascii="Times New Roman" w:hAnsi="Times New Roman" w:eastAsia="仿宋_GB2312" w:cs="仿宋_GB2312"/>
          <w:b/>
          <w:bCs/>
          <w:color w:val="auto"/>
          <w:sz w:val="32"/>
          <w:szCs w:val="32"/>
          <w:u w:val="none" w:color="auto"/>
          <w:lang w:val="en-US" w:eastAsia="zh-CN"/>
        </w:rPr>
      </w:pPr>
    </w:p>
    <w:p w14:paraId="7E3B90A6">
      <w:pPr>
        <w:pStyle w:val="13"/>
        <w:rPr>
          <w:rFonts w:ascii="Times New Roman" w:hAnsi="Times New Roman" w:eastAsia="仿宋_GB2312" w:cs="仿宋_GB2312"/>
          <w:color w:val="auto"/>
          <w:sz w:val="32"/>
          <w:szCs w:val="32"/>
          <w:u w:val="none" w:color="auto"/>
        </w:rPr>
      </w:pPr>
      <w:r>
        <w:rPr>
          <w:rStyle w:val="26"/>
        </w:rPr>
        <w:t>两图两库</w:t>
      </w:r>
      <w:r>
        <w:rPr>
          <w:rFonts w:ascii="Times New Roman" w:hAnsi="Times New Roman" w:eastAsia="仿宋_GB2312" w:cs="仿宋_GB2312"/>
          <w:color w:val="auto"/>
          <w:sz w:val="32"/>
          <w:szCs w:val="32"/>
          <w:u w:val="none" w:color="auto"/>
        </w:rPr>
        <w:t>：产业链全景图、产业现状图、优质项目库、目标企业库。</w:t>
      </w:r>
    </w:p>
    <w:p w14:paraId="6B5BCF38">
      <w:pPr>
        <w:pStyle w:val="13"/>
        <w:rPr>
          <w:rFonts w:ascii="Times New Roman" w:hAnsi="Times New Roman" w:eastAsia="仿宋_GB2312" w:cs="仿宋_GB2312"/>
          <w:color w:val="auto"/>
          <w:sz w:val="32"/>
          <w:szCs w:val="32"/>
          <w:u w:val="none" w:color="auto"/>
        </w:rPr>
      </w:pPr>
      <w:r>
        <w:rPr>
          <w:rStyle w:val="26"/>
        </w:rPr>
        <w:t>四证</w:t>
      </w:r>
      <w:r>
        <w:rPr>
          <w:rFonts w:ascii="Times New Roman" w:hAnsi="Times New Roman" w:eastAsia="仿宋_GB2312" w:cs="仿宋_GB2312"/>
          <w:color w:val="auto"/>
          <w:sz w:val="32"/>
          <w:szCs w:val="32"/>
          <w:u w:val="none" w:color="auto"/>
        </w:rPr>
        <w:t>：不动产权证、建设用地规划许可证、建设工程规划许可证、施工许可证。</w:t>
      </w:r>
    </w:p>
    <w:p w14:paraId="713C736D">
      <w:pPr>
        <w:pStyle w:val="13"/>
        <w:rPr>
          <w:rFonts w:ascii="Times New Roman" w:hAnsi="Times New Roman" w:eastAsia="仿宋_GB2312" w:cs="仿宋_GB2312"/>
          <w:color w:val="auto"/>
          <w:sz w:val="32"/>
          <w:szCs w:val="32"/>
          <w:u w:val="none" w:color="auto"/>
        </w:rPr>
      </w:pPr>
      <w:r>
        <w:rPr>
          <w:rStyle w:val="26"/>
        </w:rPr>
        <w:t>建设项目联合验收</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房屋建筑和市政基础设施竣工验收备案、建设工程档案验收、建设工程消防验收／消防验收备案、规划核实和土地核验、人防工程竣工验收备案。</w:t>
      </w:r>
    </w:p>
    <w:p w14:paraId="460FF9F7">
      <w:pPr>
        <w:pStyle w:val="13"/>
        <w:rPr>
          <w:rFonts w:ascii="Times New Roman" w:hAnsi="Times New Roman" w:eastAsia="仿宋_GB2312" w:cs="仿宋_GB2312"/>
          <w:color w:val="auto"/>
          <w:sz w:val="32"/>
          <w:szCs w:val="32"/>
          <w:u w:val="none" w:color="auto"/>
        </w:rPr>
      </w:pPr>
      <w:r>
        <w:rPr>
          <w:rStyle w:val="26"/>
        </w:rPr>
        <w:t>长期租赁</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是指整宗土地在整个合同期内均以租赁方式使用，并由土地使用权人按合同约定支付年租金的供应方式。长期租赁期限一般不低于5年，不超过20年。</w:t>
      </w:r>
    </w:p>
    <w:p w14:paraId="7C90C81F">
      <w:pPr>
        <w:pStyle w:val="13"/>
        <w:rPr>
          <w:rFonts w:ascii="Times New Roman" w:hAnsi="Times New Roman" w:eastAsia="仿宋_GB2312" w:cs="仿宋_GB2312"/>
          <w:color w:val="auto"/>
          <w:sz w:val="32"/>
          <w:szCs w:val="32"/>
          <w:u w:val="none" w:color="auto"/>
        </w:rPr>
      </w:pPr>
      <w:r>
        <w:rPr>
          <w:rStyle w:val="26"/>
        </w:rPr>
        <w:t>先租后让</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是指供地方供地时设定一定期限的租赁期，按照公开程序确定国有建设用地使用权人，先以租赁方式提供用地，承租方投资产业用地项目达到约定条件后再转为出让的供应方式。先租后让租赁期一般不超过5年。</w:t>
      </w:r>
    </w:p>
    <w:p w14:paraId="624ABAED">
      <w:pPr>
        <w:pStyle w:val="13"/>
        <w:rPr>
          <w:rFonts w:ascii="Times New Roman" w:hAnsi="Times New Roman" w:eastAsia="仿宋_GB2312" w:cs="仿宋_GB2312"/>
          <w:color w:val="auto"/>
          <w:sz w:val="32"/>
          <w:szCs w:val="32"/>
          <w:u w:val="none" w:color="auto"/>
        </w:rPr>
      </w:pPr>
      <w:r>
        <w:rPr>
          <w:rStyle w:val="26"/>
        </w:rPr>
        <w:t>弹性年期出让</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是指整宗土地以超过20年并低于工业用地法定出让最高年限50年出让的供应方式。</w:t>
      </w:r>
    </w:p>
    <w:p w14:paraId="425E3D3C">
      <w:pPr>
        <w:pStyle w:val="13"/>
        <w:rPr>
          <w:rFonts w:ascii="Times New Roman" w:hAnsi="Times New Roman" w:eastAsia="仿宋_GB2312" w:cs="仿宋_GB2312"/>
          <w:color w:val="auto"/>
          <w:sz w:val="32"/>
          <w:szCs w:val="32"/>
          <w:u w:val="none" w:color="auto"/>
        </w:rPr>
      </w:pPr>
      <w:r>
        <w:rPr>
          <w:rStyle w:val="26"/>
        </w:rPr>
        <w:t>租让结合</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是指宗地分区域管理，部分土地长期租赁、达标后部分转为出让，适配分期扩产企业。</w:t>
      </w:r>
    </w:p>
    <w:p w14:paraId="6C74707D">
      <w:pPr>
        <w:pStyle w:val="13"/>
        <w:rPr>
          <w:rFonts w:ascii="Times New Roman" w:hAnsi="Times New Roman" w:eastAsia="仿宋_GB2312" w:cs="仿宋_GB2312"/>
          <w:color w:val="auto"/>
          <w:sz w:val="32"/>
          <w:szCs w:val="32"/>
          <w:u w:val="none" w:color="auto"/>
        </w:rPr>
      </w:pPr>
      <w:r>
        <w:rPr>
          <w:rStyle w:val="26"/>
        </w:rPr>
        <w:t>共享工厂</w:t>
      </w:r>
      <w:r>
        <w:rPr>
          <w:rFonts w:ascii="Times New Roman" w:hAnsi="Times New Roman" w:eastAsia="仿宋_GB2312" w:cs="仿宋_GB2312"/>
          <w:b/>
          <w:color w:val="auto"/>
          <w:sz w:val="32"/>
          <w:szCs w:val="32"/>
          <w:u w:val="none" w:color="auto"/>
        </w:rPr>
        <w:t>：</w:t>
      </w:r>
      <w:r>
        <w:rPr>
          <w:rFonts w:ascii="Times New Roman" w:hAnsi="Times New Roman" w:eastAsia="仿宋_GB2312" w:cs="仿宋_GB2312"/>
          <w:color w:val="auto"/>
          <w:sz w:val="32"/>
          <w:szCs w:val="32"/>
          <w:u w:val="none" w:color="auto"/>
        </w:rPr>
        <w:t>共享制造的典型实体载体，依托工业互联网、数字化管理手段，由龙头企业、集群联合体或第三方机构投资运营，整合厂房、生产线、生产设备、检测仪器、仓储、环保设施等硬件资源，同时开放工艺技术、供应链、技工、质量管控等软性资源，面向多家市场主体提供分时租赁、工序代工、柔性协同生产的专业化制造空间。</w:t>
      </w:r>
    </w:p>
    <w:p w14:paraId="4755AB1D">
      <w:pPr>
        <w:pStyle w:val="13"/>
        <w:bidi w:val="0"/>
      </w:pPr>
    </w:p>
    <w:sectPr>
      <w:headerReference r:id="rId3" w:type="default"/>
      <w:footerReference r:id="rId5" w:type="default"/>
      <w:headerReference r:id="rId4" w:type="even"/>
      <w:footerReference r:id="rId6" w:type="even"/>
      <w:pgSz w:w="11905" w:h="16838"/>
      <w:pgMar w:top="2324" w:right="1531" w:bottom="1757" w:left="1531" w:header="851" w:footer="1417" w:gutter="0"/>
      <w:pgNumType w:fmt="decimal" w:start="1"/>
      <w:cols w:space="0" w:num="1"/>
      <w:rtlGutter w:val="0"/>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3E4E9B5-0C79-4236-99F6-5D2D8E02D50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embedRegular r:id="rId2" w:fontKey="{11C9144C-7CA9-4975-A925-2F3A8CEC3F35}"/>
  </w:font>
  <w:font w:name="仿宋_GB2312">
    <w:panose1 w:val="02010609030101010101"/>
    <w:charset w:val="86"/>
    <w:family w:val="auto"/>
    <w:pitch w:val="default"/>
    <w:sig w:usb0="00000001" w:usb1="080E0000" w:usb2="00000000" w:usb3="00000000" w:csb0="00040000" w:csb1="00000000"/>
    <w:embedRegular r:id="rId3" w:fontKey="{8A68F60F-70AE-4F1E-B723-B3215F277966}"/>
  </w:font>
  <w:font w:name="方正小标宋简体">
    <w:panose1 w:val="03000509000000000000"/>
    <w:charset w:val="86"/>
    <w:family w:val="auto"/>
    <w:pitch w:val="default"/>
    <w:sig w:usb0="00000001" w:usb1="080E0000" w:usb2="00000000" w:usb3="00000000" w:csb0="00040000" w:csb1="00000000"/>
    <w:embedRegular r:id="rId4" w:fontKey="{C864ACF1-66B9-4FFB-9978-BE8119AA9866}"/>
  </w:font>
  <w:font w:name="仿宋gb2312">
    <w:altName w:val="仿宋"/>
    <w:panose1 w:val="00000000000000000000"/>
    <w:charset w:val="00"/>
    <w:family w:val="auto"/>
    <w:pitch w:val="default"/>
    <w:sig w:usb0="00000000" w:usb1="00000000" w:usb2="00000000" w:usb3="00000000" w:csb0="00000000" w:csb1="00000000"/>
    <w:embedRegular r:id="rId5" w:fontKey="{29D6B61A-E368-4A06-8C3B-9ED877E13B2B}"/>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D82A">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4F536">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064F536">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B205D">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8671A">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08A8671A">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CF744">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4B7C0">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A69E1"/>
    <w:multiLevelType w:val="singleLevel"/>
    <w:tmpl w:val="0DFA69E1"/>
    <w:lvl w:ilvl="0" w:tentative="0">
      <w:start w:val="6"/>
      <w:numFmt w:val="chineseCounting"/>
      <w:suff w:val="nothing"/>
      <w:lvlText w:val="（%1）"/>
      <w:lvlJc w:val="left"/>
      <w:rPr>
        <w:rFonts w:hint="eastAsia" w:ascii="楷体_GB2312" w:hAnsi="楷体_GB2312" w:eastAsia="楷体_GB2312" w:cs="楷体_GB231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MyYmY3ZGE5YTNiYzUxM2ZjYzA1ZmJhMDI0ZDQ3NDUifQ=="/>
  </w:docVars>
  <w:rsids>
    <w:rsidRoot w:val="33310B66"/>
    <w:rsid w:val="005B019A"/>
    <w:rsid w:val="0103604C"/>
    <w:rsid w:val="01667444"/>
    <w:rsid w:val="01767209"/>
    <w:rsid w:val="01AC422B"/>
    <w:rsid w:val="01D526C9"/>
    <w:rsid w:val="02B43ED9"/>
    <w:rsid w:val="036563C8"/>
    <w:rsid w:val="0421693F"/>
    <w:rsid w:val="04B13B8F"/>
    <w:rsid w:val="04E83B6B"/>
    <w:rsid w:val="0520485B"/>
    <w:rsid w:val="054753B6"/>
    <w:rsid w:val="05D611E4"/>
    <w:rsid w:val="05EA70B8"/>
    <w:rsid w:val="06212113"/>
    <w:rsid w:val="066D4223"/>
    <w:rsid w:val="068063B8"/>
    <w:rsid w:val="06B14245"/>
    <w:rsid w:val="07194B34"/>
    <w:rsid w:val="080D2DB2"/>
    <w:rsid w:val="08957746"/>
    <w:rsid w:val="08D903F3"/>
    <w:rsid w:val="08E329B1"/>
    <w:rsid w:val="092D241A"/>
    <w:rsid w:val="0A0A1613"/>
    <w:rsid w:val="0A4A6B99"/>
    <w:rsid w:val="0A573505"/>
    <w:rsid w:val="0AF4176F"/>
    <w:rsid w:val="0B225FBF"/>
    <w:rsid w:val="0B5D0834"/>
    <w:rsid w:val="0B5F1BF7"/>
    <w:rsid w:val="0B76395D"/>
    <w:rsid w:val="0B7B7B9F"/>
    <w:rsid w:val="0C3E353A"/>
    <w:rsid w:val="0C6308E0"/>
    <w:rsid w:val="0C7C44D2"/>
    <w:rsid w:val="0C9C444B"/>
    <w:rsid w:val="0CD23706"/>
    <w:rsid w:val="0D3A01A5"/>
    <w:rsid w:val="0D492723"/>
    <w:rsid w:val="0D92790F"/>
    <w:rsid w:val="0DC0318D"/>
    <w:rsid w:val="0DC20A63"/>
    <w:rsid w:val="0E9D5ED0"/>
    <w:rsid w:val="0ECC7523"/>
    <w:rsid w:val="0FE40352"/>
    <w:rsid w:val="101E3DAE"/>
    <w:rsid w:val="103A20D1"/>
    <w:rsid w:val="1074577C"/>
    <w:rsid w:val="10A3225F"/>
    <w:rsid w:val="10CF6576"/>
    <w:rsid w:val="10E36DA6"/>
    <w:rsid w:val="11915461"/>
    <w:rsid w:val="11D1624A"/>
    <w:rsid w:val="12B66520"/>
    <w:rsid w:val="12D401F1"/>
    <w:rsid w:val="13511BBE"/>
    <w:rsid w:val="142C122E"/>
    <w:rsid w:val="144114C7"/>
    <w:rsid w:val="1453541F"/>
    <w:rsid w:val="14926E53"/>
    <w:rsid w:val="14AF377F"/>
    <w:rsid w:val="14D0319D"/>
    <w:rsid w:val="14E324D8"/>
    <w:rsid w:val="150C333B"/>
    <w:rsid w:val="154762E5"/>
    <w:rsid w:val="154F3C02"/>
    <w:rsid w:val="155963E1"/>
    <w:rsid w:val="160D0296"/>
    <w:rsid w:val="16132A47"/>
    <w:rsid w:val="1681260E"/>
    <w:rsid w:val="16877182"/>
    <w:rsid w:val="168A0107"/>
    <w:rsid w:val="169B0C6A"/>
    <w:rsid w:val="17C43DD0"/>
    <w:rsid w:val="18142E08"/>
    <w:rsid w:val="182249A5"/>
    <w:rsid w:val="187D1080"/>
    <w:rsid w:val="19030013"/>
    <w:rsid w:val="19047941"/>
    <w:rsid w:val="193104AD"/>
    <w:rsid w:val="19310D2D"/>
    <w:rsid w:val="19365E0B"/>
    <w:rsid w:val="19516FA3"/>
    <w:rsid w:val="19627BAF"/>
    <w:rsid w:val="19780EE1"/>
    <w:rsid w:val="19945255"/>
    <w:rsid w:val="19AD7ABF"/>
    <w:rsid w:val="19C53688"/>
    <w:rsid w:val="19D35C0A"/>
    <w:rsid w:val="19EA4D01"/>
    <w:rsid w:val="19F94F44"/>
    <w:rsid w:val="1A1E6ACD"/>
    <w:rsid w:val="1AD45E89"/>
    <w:rsid w:val="1B01155A"/>
    <w:rsid w:val="1B547ADD"/>
    <w:rsid w:val="1B5E0712"/>
    <w:rsid w:val="1BF530EC"/>
    <w:rsid w:val="1BF9712D"/>
    <w:rsid w:val="1C3D6D64"/>
    <w:rsid w:val="1CA71F00"/>
    <w:rsid w:val="1D536C07"/>
    <w:rsid w:val="1DA41A22"/>
    <w:rsid w:val="1DC84F36"/>
    <w:rsid w:val="1DE73F5D"/>
    <w:rsid w:val="1DF339D8"/>
    <w:rsid w:val="1E40363D"/>
    <w:rsid w:val="1E647CA1"/>
    <w:rsid w:val="1E7C2996"/>
    <w:rsid w:val="1E8A6449"/>
    <w:rsid w:val="1E9004B2"/>
    <w:rsid w:val="1EBE10FA"/>
    <w:rsid w:val="1EC65D3D"/>
    <w:rsid w:val="1F163F8E"/>
    <w:rsid w:val="1FBD6DE5"/>
    <w:rsid w:val="1FD35959"/>
    <w:rsid w:val="20110BFB"/>
    <w:rsid w:val="20AA5D86"/>
    <w:rsid w:val="218912A4"/>
    <w:rsid w:val="21A6088D"/>
    <w:rsid w:val="21D7200F"/>
    <w:rsid w:val="21EB619F"/>
    <w:rsid w:val="22264F05"/>
    <w:rsid w:val="2262082B"/>
    <w:rsid w:val="22641CEC"/>
    <w:rsid w:val="22EF2060"/>
    <w:rsid w:val="23615817"/>
    <w:rsid w:val="23616034"/>
    <w:rsid w:val="237F470C"/>
    <w:rsid w:val="23DC71B0"/>
    <w:rsid w:val="244E3DB7"/>
    <w:rsid w:val="24777986"/>
    <w:rsid w:val="24A939BC"/>
    <w:rsid w:val="24AC2C0B"/>
    <w:rsid w:val="24DE214F"/>
    <w:rsid w:val="24E523D6"/>
    <w:rsid w:val="24FC303A"/>
    <w:rsid w:val="254E75C1"/>
    <w:rsid w:val="25D2763A"/>
    <w:rsid w:val="25EE3C7D"/>
    <w:rsid w:val="26E457FC"/>
    <w:rsid w:val="270C62B7"/>
    <w:rsid w:val="27160EA5"/>
    <w:rsid w:val="279D5271"/>
    <w:rsid w:val="28C22B25"/>
    <w:rsid w:val="293715E5"/>
    <w:rsid w:val="29856ECD"/>
    <w:rsid w:val="298A4BC1"/>
    <w:rsid w:val="29B70613"/>
    <w:rsid w:val="2A2F5421"/>
    <w:rsid w:val="2B455FCA"/>
    <w:rsid w:val="2B7B467E"/>
    <w:rsid w:val="2BB0224F"/>
    <w:rsid w:val="2C101CED"/>
    <w:rsid w:val="2CF73459"/>
    <w:rsid w:val="2D025963"/>
    <w:rsid w:val="2D401596"/>
    <w:rsid w:val="2D4973DC"/>
    <w:rsid w:val="2D9F4EC6"/>
    <w:rsid w:val="2DFF28DA"/>
    <w:rsid w:val="2E1F0FC6"/>
    <w:rsid w:val="2E256DFB"/>
    <w:rsid w:val="2E671308"/>
    <w:rsid w:val="2F3B7ABC"/>
    <w:rsid w:val="2F773C01"/>
    <w:rsid w:val="303A47AB"/>
    <w:rsid w:val="30842CF1"/>
    <w:rsid w:val="31624BBF"/>
    <w:rsid w:val="31916AED"/>
    <w:rsid w:val="31F80C2C"/>
    <w:rsid w:val="325F2ABE"/>
    <w:rsid w:val="329A5F94"/>
    <w:rsid w:val="32A10FD0"/>
    <w:rsid w:val="32C7323D"/>
    <w:rsid w:val="32D60378"/>
    <w:rsid w:val="33070B47"/>
    <w:rsid w:val="33310B66"/>
    <w:rsid w:val="334E50BD"/>
    <w:rsid w:val="33E374BD"/>
    <w:rsid w:val="34203812"/>
    <w:rsid w:val="346A6819"/>
    <w:rsid w:val="352743C4"/>
    <w:rsid w:val="356720BE"/>
    <w:rsid w:val="357E73F3"/>
    <w:rsid w:val="358E07DF"/>
    <w:rsid w:val="35AC4A91"/>
    <w:rsid w:val="362D24BD"/>
    <w:rsid w:val="36E20E17"/>
    <w:rsid w:val="36E508D2"/>
    <w:rsid w:val="36E7412F"/>
    <w:rsid w:val="37533DA9"/>
    <w:rsid w:val="375515B4"/>
    <w:rsid w:val="376748F3"/>
    <w:rsid w:val="37A261F6"/>
    <w:rsid w:val="37B47B4A"/>
    <w:rsid w:val="3832510F"/>
    <w:rsid w:val="3A0B7E7A"/>
    <w:rsid w:val="3A912821"/>
    <w:rsid w:val="3AA03F6E"/>
    <w:rsid w:val="3AA97D83"/>
    <w:rsid w:val="3B896821"/>
    <w:rsid w:val="3D047D67"/>
    <w:rsid w:val="3D4E1ADC"/>
    <w:rsid w:val="3D5B2A3D"/>
    <w:rsid w:val="3D936E0B"/>
    <w:rsid w:val="3DDA0A65"/>
    <w:rsid w:val="3E120655"/>
    <w:rsid w:val="3F092BBC"/>
    <w:rsid w:val="3F3917BB"/>
    <w:rsid w:val="3F9C469D"/>
    <w:rsid w:val="3FF11DFD"/>
    <w:rsid w:val="40260FAA"/>
    <w:rsid w:val="40A836C2"/>
    <w:rsid w:val="40B0300F"/>
    <w:rsid w:val="40CB4BDA"/>
    <w:rsid w:val="40E61E50"/>
    <w:rsid w:val="41287D39"/>
    <w:rsid w:val="416A6A35"/>
    <w:rsid w:val="41BD53F4"/>
    <w:rsid w:val="41EC440F"/>
    <w:rsid w:val="423570EE"/>
    <w:rsid w:val="425276DE"/>
    <w:rsid w:val="427B4567"/>
    <w:rsid w:val="4292359A"/>
    <w:rsid w:val="42D10E7F"/>
    <w:rsid w:val="42F8776E"/>
    <w:rsid w:val="4362661F"/>
    <w:rsid w:val="438C775F"/>
    <w:rsid w:val="44077E59"/>
    <w:rsid w:val="442946B9"/>
    <w:rsid w:val="44352E99"/>
    <w:rsid w:val="44747ACD"/>
    <w:rsid w:val="45241B9C"/>
    <w:rsid w:val="455F595E"/>
    <w:rsid w:val="4603268D"/>
    <w:rsid w:val="4628382E"/>
    <w:rsid w:val="4631243E"/>
    <w:rsid w:val="463B4047"/>
    <w:rsid w:val="46BB44EE"/>
    <w:rsid w:val="46CF6898"/>
    <w:rsid w:val="473B39D0"/>
    <w:rsid w:val="47514739"/>
    <w:rsid w:val="482F2437"/>
    <w:rsid w:val="48552138"/>
    <w:rsid w:val="493248B9"/>
    <w:rsid w:val="499254E1"/>
    <w:rsid w:val="49A8711D"/>
    <w:rsid w:val="49E870DE"/>
    <w:rsid w:val="4A4F2484"/>
    <w:rsid w:val="4A8944D6"/>
    <w:rsid w:val="4B186118"/>
    <w:rsid w:val="4B356FF8"/>
    <w:rsid w:val="4B3B5A5E"/>
    <w:rsid w:val="4B9A3BB4"/>
    <w:rsid w:val="4C380B1A"/>
    <w:rsid w:val="4CDA29FB"/>
    <w:rsid w:val="4D237A8A"/>
    <w:rsid w:val="4D4E1D66"/>
    <w:rsid w:val="4D67464E"/>
    <w:rsid w:val="4DA425E6"/>
    <w:rsid w:val="4DC13C65"/>
    <w:rsid w:val="4DFD580F"/>
    <w:rsid w:val="4E677448"/>
    <w:rsid w:val="4E8021A7"/>
    <w:rsid w:val="4E885827"/>
    <w:rsid w:val="4EDF3504"/>
    <w:rsid w:val="4F606F87"/>
    <w:rsid w:val="4F6501C5"/>
    <w:rsid w:val="4F6B7F12"/>
    <w:rsid w:val="4FB21842"/>
    <w:rsid w:val="50131B2F"/>
    <w:rsid w:val="502645DA"/>
    <w:rsid w:val="50A306D9"/>
    <w:rsid w:val="50A457E8"/>
    <w:rsid w:val="50BF3B17"/>
    <w:rsid w:val="50F17591"/>
    <w:rsid w:val="510734C7"/>
    <w:rsid w:val="511033E7"/>
    <w:rsid w:val="51231542"/>
    <w:rsid w:val="51286055"/>
    <w:rsid w:val="51312F51"/>
    <w:rsid w:val="51F10096"/>
    <w:rsid w:val="521D51BC"/>
    <w:rsid w:val="53422595"/>
    <w:rsid w:val="536972B4"/>
    <w:rsid w:val="5398105F"/>
    <w:rsid w:val="53FF59BF"/>
    <w:rsid w:val="543D558A"/>
    <w:rsid w:val="54756851"/>
    <w:rsid w:val="54D827A5"/>
    <w:rsid w:val="55325CA9"/>
    <w:rsid w:val="557450DA"/>
    <w:rsid w:val="557F2347"/>
    <w:rsid w:val="55E475FB"/>
    <w:rsid w:val="56430546"/>
    <w:rsid w:val="5682765A"/>
    <w:rsid w:val="56A93D18"/>
    <w:rsid w:val="57D64E85"/>
    <w:rsid w:val="57E00380"/>
    <w:rsid w:val="58704048"/>
    <w:rsid w:val="58B949C2"/>
    <w:rsid w:val="59B251EE"/>
    <w:rsid w:val="59CA48CC"/>
    <w:rsid w:val="59F95853"/>
    <w:rsid w:val="5A105AE3"/>
    <w:rsid w:val="5AB13779"/>
    <w:rsid w:val="5AD2138E"/>
    <w:rsid w:val="5ADA7E9F"/>
    <w:rsid w:val="5AF174CA"/>
    <w:rsid w:val="5B4106C0"/>
    <w:rsid w:val="5D2D075A"/>
    <w:rsid w:val="5D3F29FF"/>
    <w:rsid w:val="5D6677C8"/>
    <w:rsid w:val="5D6B123C"/>
    <w:rsid w:val="5DC63AE5"/>
    <w:rsid w:val="5F1F1CA0"/>
    <w:rsid w:val="5F376ED8"/>
    <w:rsid w:val="5F4B0A96"/>
    <w:rsid w:val="5F8D4FB7"/>
    <w:rsid w:val="5FA479F8"/>
    <w:rsid w:val="60020479"/>
    <w:rsid w:val="608701E5"/>
    <w:rsid w:val="60A2320D"/>
    <w:rsid w:val="60A5501C"/>
    <w:rsid w:val="60C473C9"/>
    <w:rsid w:val="60CB2763"/>
    <w:rsid w:val="60E87BCD"/>
    <w:rsid w:val="61120345"/>
    <w:rsid w:val="614779C0"/>
    <w:rsid w:val="61E32273"/>
    <w:rsid w:val="61E37FFE"/>
    <w:rsid w:val="625601C5"/>
    <w:rsid w:val="62947594"/>
    <w:rsid w:val="63DC7A06"/>
    <w:rsid w:val="63EC3B7F"/>
    <w:rsid w:val="64135FBD"/>
    <w:rsid w:val="644F48B8"/>
    <w:rsid w:val="646945F5"/>
    <w:rsid w:val="650E4F5B"/>
    <w:rsid w:val="65427924"/>
    <w:rsid w:val="6569063F"/>
    <w:rsid w:val="657D1B52"/>
    <w:rsid w:val="65820E39"/>
    <w:rsid w:val="659C71E4"/>
    <w:rsid w:val="659E0FC7"/>
    <w:rsid w:val="65B5026D"/>
    <w:rsid w:val="66061C70"/>
    <w:rsid w:val="663A6F5F"/>
    <w:rsid w:val="66782EA9"/>
    <w:rsid w:val="679171F9"/>
    <w:rsid w:val="686A4B58"/>
    <w:rsid w:val="69F67967"/>
    <w:rsid w:val="6A9A589E"/>
    <w:rsid w:val="6ADE3093"/>
    <w:rsid w:val="6B0E4BB1"/>
    <w:rsid w:val="6B1A4247"/>
    <w:rsid w:val="6BAE3435"/>
    <w:rsid w:val="6BB63BD7"/>
    <w:rsid w:val="6BE90901"/>
    <w:rsid w:val="6D340194"/>
    <w:rsid w:val="6DD45BD1"/>
    <w:rsid w:val="6E3971E1"/>
    <w:rsid w:val="6F3D16CF"/>
    <w:rsid w:val="6F884D8A"/>
    <w:rsid w:val="6FE26134"/>
    <w:rsid w:val="6FEA4497"/>
    <w:rsid w:val="7023779A"/>
    <w:rsid w:val="703F6C63"/>
    <w:rsid w:val="709F1CDC"/>
    <w:rsid w:val="70F05C94"/>
    <w:rsid w:val="710E70F1"/>
    <w:rsid w:val="716D0409"/>
    <w:rsid w:val="71B31268"/>
    <w:rsid w:val="71CE1100"/>
    <w:rsid w:val="721D18D3"/>
    <w:rsid w:val="72987FCC"/>
    <w:rsid w:val="72B73991"/>
    <w:rsid w:val="72F2352A"/>
    <w:rsid w:val="73116C6C"/>
    <w:rsid w:val="73A06E7F"/>
    <w:rsid w:val="741C5E0B"/>
    <w:rsid w:val="74556ACE"/>
    <w:rsid w:val="74612AC4"/>
    <w:rsid w:val="74BB4A17"/>
    <w:rsid w:val="74D40641"/>
    <w:rsid w:val="7513035D"/>
    <w:rsid w:val="75437ADC"/>
    <w:rsid w:val="75704A7C"/>
    <w:rsid w:val="7584105D"/>
    <w:rsid w:val="760C10C6"/>
    <w:rsid w:val="76135BC0"/>
    <w:rsid w:val="76371E5E"/>
    <w:rsid w:val="767955ED"/>
    <w:rsid w:val="76B46D7A"/>
    <w:rsid w:val="77093B3E"/>
    <w:rsid w:val="773A0231"/>
    <w:rsid w:val="774614BE"/>
    <w:rsid w:val="77685B26"/>
    <w:rsid w:val="77732973"/>
    <w:rsid w:val="779A0C95"/>
    <w:rsid w:val="77BC29AE"/>
    <w:rsid w:val="79471A26"/>
    <w:rsid w:val="796A5940"/>
    <w:rsid w:val="79722641"/>
    <w:rsid w:val="79A436FA"/>
    <w:rsid w:val="79FD493F"/>
    <w:rsid w:val="7A162166"/>
    <w:rsid w:val="7A922712"/>
    <w:rsid w:val="7AD8769F"/>
    <w:rsid w:val="7AFB74C9"/>
    <w:rsid w:val="7BE92C4E"/>
    <w:rsid w:val="7C12673C"/>
    <w:rsid w:val="7C626B71"/>
    <w:rsid w:val="7CCE0550"/>
    <w:rsid w:val="7D032E2D"/>
    <w:rsid w:val="7D0916DB"/>
    <w:rsid w:val="7D344D95"/>
    <w:rsid w:val="7D5A5BB5"/>
    <w:rsid w:val="7DA60233"/>
    <w:rsid w:val="7DBC7A4B"/>
    <w:rsid w:val="7DC16404"/>
    <w:rsid w:val="7DDC0E54"/>
    <w:rsid w:val="7E086FD3"/>
    <w:rsid w:val="7EB62DC5"/>
    <w:rsid w:val="7F820A3E"/>
    <w:rsid w:val="7F9F090D"/>
    <w:rsid w:val="7FB80B13"/>
    <w:rsid w:val="7FC27934"/>
    <w:rsid w:val="7FF80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link w:val="26"/>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rPr>
      <w:rFonts w:ascii="Times New Roman" w:hAnsi="Times New Roman" w:eastAsia="宋体" w:cs="Times New Roman"/>
    </w:rPr>
  </w:style>
  <w:style w:type="paragraph" w:styleId="12">
    <w:name w:val="annotation text"/>
    <w:basedOn w:val="1"/>
    <w:qFormat/>
    <w:uiPriority w:val="0"/>
    <w:pPr>
      <w:jc w:val="left"/>
    </w:pPr>
  </w:style>
  <w:style w:type="paragraph" w:styleId="13">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7">
    <w:name w:val="footnote text"/>
    <w:basedOn w:val="1"/>
    <w:qFormat/>
    <w:uiPriority w:val="0"/>
    <w:pPr>
      <w:snapToGrid w:val="0"/>
      <w:jc w:val="left"/>
    </w:pPr>
    <w:rPr>
      <w:sz w:val="18"/>
    </w:rPr>
  </w:style>
  <w:style w:type="paragraph" w:styleId="18">
    <w:name w:val="Normal (Web)"/>
    <w:basedOn w:val="1"/>
    <w:qFormat/>
    <w:uiPriority w:val="0"/>
    <w:rPr>
      <w:sz w:val="24"/>
    </w:rPr>
  </w:style>
  <w:style w:type="paragraph" w:styleId="19">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footnote reference"/>
    <w:basedOn w:val="22"/>
    <w:qFormat/>
    <w:uiPriority w:val="0"/>
    <w:rPr>
      <w:vertAlign w:val="superscript"/>
    </w:rPr>
  </w:style>
  <w:style w:type="character" w:customStyle="1" w:styleId="25">
    <w:name w:val="font11"/>
    <w:basedOn w:val="22"/>
    <w:qFormat/>
    <w:uiPriority w:val="0"/>
    <w:rPr>
      <w:rFonts w:hint="eastAsia" w:ascii="仿宋_GB2312" w:eastAsia="仿宋_GB2312" w:cs="仿宋_GB2312"/>
      <w:color w:val="000000"/>
      <w:sz w:val="28"/>
      <w:szCs w:val="28"/>
      <w:u w:val="none"/>
    </w:rPr>
  </w:style>
  <w:style w:type="character" w:customStyle="1" w:styleId="26">
    <w:name w:val="标题 2 Char"/>
    <w:link w:val="4"/>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fb9518c8-9672-4eda-9538-2c9376481789</errorID>
      <errorWord>品牌粘性</errorWord>
      <group>L1_Word</group>
      <groupName>字词问题</groupName>
      <ability>L2_Alias</ability>
      <abilityName>也作/曾用词</abilityName>
      <candidateList>
        <item>品牌黏性</item>
      </candidateList>
      <explain>词汇[品牌粘性]为不规范表述或旧称，其规范书面表述为[品牌黏性]。</explain>
      <paraID>41A7B75A</paraID>
      <start>39</start>
      <end>43</end>
      <status>unmodified</status>
      <modifiedWord/>
      <trackRevisions>false</trackRevisions>
    </reviewItem>
    <reviewItem>
      <errorID>68e43042-5605-4f40-bcb8-cbecfa3846d8</errorID>
      <errorWord>“先试用后付费”</errorWord>
      <group>L1_Political</group>
      <groupName>政治性问题</groupName>
      <ability>L2_Keyword</ability>
      <abilityName>固定表述</abilityName>
      <candidateList>
        <item>“先使用后付费”</item>
      </candidateList>
      <explain>词汇““先使用后付费””在特定场景下为固定表述形式，请确认此处的““先试用后付费””是否存在不当。</explain>
      <paraID>57BC0B8B</paraID>
      <start>55</start>
      <end>63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f267a6-bd32-4b93-82b8-e3ff58a998e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5524</Words>
  <Characters>5635</Characters>
  <Lines>0</Lines>
  <Paragraphs>0</Paragraphs>
  <TotalTime>93</TotalTime>
  <ScaleCrop>false</ScaleCrop>
  <LinksUpToDate>false</LinksUpToDate>
  <CharactersWithSpaces>5636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2026-06-12T00:59:00Z</dcterms:created>
  <dc:creator>叶子</dc:creator>
  <cp:lastModifiedBy>大头呆瓜鱼</cp:lastModifiedBy>
  <cp:lastPrinted>2026-08-10T12:34:00Z</cp:lastPrinted>
  <dcterms:modified xsi:type="dcterms:W3CDTF">2026-09-28T11:06:00Z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9E0469F125A3480FAD886E937334B5C5_13</vt:lpwstr>
  </property>
  <property fmtid="{D5CDD505-2E9C-101B-9397-08002B2CF9AE}" pid="4" name="KSOTemplateDocerSaveRecord">
    <vt:lpwstr>eyJoZGlkIjoiZTFjYmNlZGEwYzAxYmE2OTcxMjBkMmI0MTAyMjk3OWEiLCJ1c2VySWQiOiIxNzkyMjM5Mjg4In0=</vt:lpwstr>
  </property>
</Properties>
</file>