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jc w:val="both"/>
        <w:textAlignment w:val="auto"/>
        <w:outlineLvl w:val="9"/>
        <w:rPr>
          <w:rFonts w:hint="eastAsia" w:ascii="方正黑体_GBK" w:hAnsi="方正黑体_GBK" w:eastAsia="方正黑体_GBK" w:cs="方正黑体_GBK"/>
          <w:color w:val="000000" w:themeColor="text1"/>
          <w:spacing w:val="0"/>
          <w:sz w:val="32"/>
          <w:szCs w:val="32"/>
          <w:lang w:val="en-US" w:eastAsia="zh-CN"/>
          <w14:textFill>
            <w14:solidFill>
              <w14:schemeClr w14:val="tx1"/>
            </w14:solidFill>
          </w14:textFill>
        </w:rPr>
      </w:pPr>
      <w:r>
        <w:rPr>
          <w:rFonts w:hint="eastAsia" w:ascii="方正黑体_GBK" w:hAnsi="方正黑体_GBK" w:eastAsia="方正黑体_GBK" w:cs="方正黑体_GBK"/>
          <w:color w:val="000000" w:themeColor="text1"/>
          <w:spacing w:val="0"/>
          <w:sz w:val="32"/>
          <w:szCs w:val="32"/>
          <w:lang w:val="en-US" w:eastAsia="zh-CN"/>
          <w14:textFill>
            <w14:solidFill>
              <w14:schemeClr w14:val="tx1"/>
            </w14:solidFill>
          </w14:textFill>
        </w:rPr>
        <w:t>附件</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jc w:val="center"/>
        <w:textAlignment w:val="auto"/>
        <w:outlineLvl w:val="9"/>
        <w:rPr>
          <w:rFonts w:hint="default" w:ascii="Times New Roman" w:hAnsi="Times New Roman" w:eastAsia="方正小标宋简体" w:cs="Times New Roman"/>
          <w:color w:val="000000" w:themeColor="text1"/>
          <w:spacing w:val="0"/>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pacing w:val="0"/>
          <w:sz w:val="44"/>
          <w:szCs w:val="44"/>
          <w:lang w:val="en-US" w:eastAsia="zh-CN"/>
          <w14:textFill>
            <w14:solidFill>
              <w14:schemeClr w14:val="tx1"/>
            </w14:solidFill>
          </w14:textFill>
        </w:rPr>
        <w:t>省新型工业化</w:t>
      </w:r>
      <w:r>
        <w:rPr>
          <w:rFonts w:hint="eastAsia" w:ascii="Times New Roman" w:hAnsi="Times New Roman" w:eastAsia="方正小标宋简体" w:cs="Times New Roman"/>
          <w:color w:val="000000" w:themeColor="text1"/>
          <w:spacing w:val="0"/>
          <w:sz w:val="44"/>
          <w:szCs w:val="44"/>
          <w:lang w:val="en-US" w:eastAsia="zh-CN"/>
          <w14:textFill>
            <w14:solidFill>
              <w14:schemeClr w14:val="tx1"/>
            </w14:solidFill>
          </w14:textFill>
        </w:rPr>
        <w:t>工作</w:t>
      </w:r>
      <w:r>
        <w:rPr>
          <w:rFonts w:hint="default" w:ascii="Times New Roman" w:hAnsi="Times New Roman" w:eastAsia="方正小标宋简体" w:cs="Times New Roman"/>
          <w:color w:val="000000" w:themeColor="text1"/>
          <w:spacing w:val="0"/>
          <w:sz w:val="44"/>
          <w:szCs w:val="44"/>
          <w:lang w:val="en-US" w:eastAsia="zh-CN"/>
          <w14:textFill>
            <w14:solidFill>
              <w14:schemeClr w14:val="tx1"/>
            </w14:solidFill>
          </w14:textFill>
        </w:rPr>
        <w:t>领导小组办公室关于</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jc w:val="center"/>
        <w:textAlignment w:val="auto"/>
        <w:outlineLvl w:val="9"/>
        <w:rPr>
          <w:rFonts w:hint="default" w:ascii="Times New Roman" w:hAnsi="Times New Roman" w:eastAsia="方正小标宋简体" w:cs="Times New Roman"/>
          <w:color w:val="000000" w:themeColor="text1"/>
          <w:spacing w:val="0"/>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pacing w:val="0"/>
          <w:sz w:val="44"/>
          <w:szCs w:val="44"/>
          <w:lang w:val="en-US" w:eastAsia="zh-CN"/>
          <w14:textFill>
            <w14:solidFill>
              <w14:schemeClr w14:val="tx1"/>
            </w14:solidFill>
          </w14:textFill>
        </w:rPr>
        <w:t>推动县域工业经济高质量发展</w:t>
      </w:r>
      <w:r>
        <w:rPr>
          <w:rFonts w:hint="eastAsia" w:ascii="Times New Roman" w:hAnsi="Times New Roman" w:eastAsia="方正小标宋简体" w:cs="Times New Roman"/>
          <w:color w:val="000000" w:themeColor="text1"/>
          <w:spacing w:val="0"/>
          <w:sz w:val="44"/>
          <w:szCs w:val="44"/>
          <w:lang w:val="en-US" w:eastAsia="zh-CN"/>
          <w14:textFill>
            <w14:solidFill>
              <w14:schemeClr w14:val="tx1"/>
            </w14:solidFill>
          </w14:textFill>
        </w:rPr>
        <w:t>实施方案</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jc w:val="center"/>
        <w:textAlignment w:val="auto"/>
        <w:outlineLvl w:val="9"/>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（征求意见稿）</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县域工业是县域经济</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发展</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重要推动力量</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落实全省县域经济高质量发展大会精神，</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促进县域工业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特色化、</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差异化</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集群化发展，推动全省县域工业提质增量，</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奋力实现工业大突破，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夯实县域经济高质量发展基础，特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制定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本</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方案</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方正黑体_GBK" w:hAnsi="方正黑体_GBK" w:eastAsia="方正黑体_GBK" w:cs="方正黑体_GBK"/>
          <w:color w:val="000000" w:themeColor="text1"/>
          <w:sz w:val="32"/>
          <w:szCs w:val="32"/>
          <w:highlight w:val="none"/>
          <w:lang w:val="en-US" w:eastAsia="zh-CN"/>
          <w14:textFill>
            <w14:solidFill>
              <w14:schemeClr w14:val="tx1"/>
            </w14:solidFill>
          </w14:textFill>
        </w:rPr>
      </w:pPr>
      <w:r>
        <w:rPr>
          <w:rFonts w:hint="eastAsia" w:ascii="方正黑体_GBK" w:hAnsi="方正黑体_GBK" w:eastAsia="方正黑体_GBK" w:cs="方正黑体_GBK"/>
          <w:color w:val="000000" w:themeColor="text1"/>
          <w:sz w:val="32"/>
          <w:szCs w:val="32"/>
          <w:highlight w:val="none"/>
          <w:lang w:val="en-US" w:eastAsia="zh-CN"/>
          <w14:textFill>
            <w14:solidFill>
              <w14:schemeClr w14:val="tx1"/>
            </w14:solidFill>
          </w14:textFill>
        </w:rPr>
        <w:t>一、发展目标</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本方案中的县域范围为全省除市辖区外的72个县（市、特区，以下统称县）。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到2027年，县域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工业发展实现以下目标：</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工业占比持续提升。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全省县域工业经济整体实力明显增强，县域工业增加值占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全省工业增加值</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比重达</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70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左右</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建设一批工业强县，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新增</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个工业增加值破百亿的县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产业集群效益凸显。</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“六大产业基地”建设</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成效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加速释放</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主导</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产业集群快速发展，力争打造</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国家级中小企业特色产业集群和30个</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省级</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中小企业特色产业集群</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企业实力不断增强。</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县域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工业经营主体数量稳步增长，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龙头企业发展持续</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壮大</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累计新增规模以上工业企业1200户、省级专精特新企业400户。</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楷体_GB2312" w:hAnsi="楷体_GB2312" w:eastAsia="楷体_GB2312" w:cs="楷体_GB2312"/>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辐射带动能效升级。</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县域工业带动能力明显增强，工业带动一产、三产同步发展，县域经济综合实力不断升级，有效促进人民群众生活品质提升。</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0"/>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二、</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重点任务</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（一）推进“六大产业基地”建设</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1.推动全国重要的资源精深加工基地建设。</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坚持“富矿精开”，聚焦磷、煤、铝、锰、黄金</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、重晶石、萤石、石英砂</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矿产资源优势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着力构建“1+3+5”产业发展格局，支持矿产资源富集县发展壮大资源精深加工产业。支持开阳、息烽、瓮安、福泉、织金等加快建设国内重要的磷及磷化工产业生产供应基地。支持六枝、盘州、黔西、织金等加快建设煤化工产业生产供应基地。支持清镇、兴仁等加快建设铝及铝加工产业集群。支持桐梓等加快建设钛及钛加工产业集群。支持玉屏、松桃等加快建设锰及锰加工产业集群。支持镇宁、天柱、务川等加快建设氟钡产业集群。支持安龙、罗甸、思南等加快建设饰面装饰石材产业集群。支持凯里、丹寨等加快建设硅精深加工产业集群。</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2.推动</w:t>
      </w:r>
      <w:r>
        <w:rPr>
          <w:rFonts w:hint="default" w:ascii="Times New Roman" w:hAnsi="Times New Roman" w:eastAsia="黑体" w:cs="Times New Roman"/>
          <w:color w:val="000000" w:themeColor="text1"/>
          <w:sz w:val="32"/>
          <w:szCs w:val="32"/>
          <w:highlight w:val="none"/>
          <w14:textFill>
            <w14:solidFill>
              <w14:schemeClr w14:val="tx1"/>
            </w14:solidFill>
          </w14:textFill>
        </w:rPr>
        <w:t>新能源动力电池及材料研发生产基地</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建设。</w:t>
      </w:r>
      <w:r>
        <w:rPr>
          <w:rFonts w:hint="default" w:ascii="Times New Roman" w:hAnsi="Times New Roman" w:eastAsia="仿宋_GB2312" w:cs="Times New Roman"/>
          <w:color w:val="000000"/>
          <w:sz w:val="32"/>
          <w:szCs w:val="32"/>
          <w:highlight w:val="none"/>
          <w:shd w:val="clear" w:color="auto" w:fill="FFFFFF"/>
          <w:lang w:val="en-US" w:eastAsia="zh-CN"/>
        </w:rPr>
        <w:t>围</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绕“一核两区”</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规划</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布局，</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加快建设成为</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国内重要的新能源动力电池及材料研发生产基地。支持</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开阳、息烽、瓮安、福泉等县域</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重点发展</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磷系</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电池材料</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；支持玉屏、兴义、安龙等县域重点发展三元正极材料及钠离子电池正极材料；支持息烽、玉屏、镇远等重点县域发展电解液、废旧电池回收等新能源电池及材料配套产业。</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鼓励</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县域</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加快新能源汽车推广应用，</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全力</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推进“电动贵州”建设。</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3.推动</w:t>
      </w:r>
      <w:r>
        <w:rPr>
          <w:rFonts w:hint="default" w:ascii="Times New Roman" w:hAnsi="Times New Roman" w:eastAsia="黑体" w:cs="Times New Roman"/>
          <w:color w:val="000000" w:themeColor="text1"/>
          <w:sz w:val="32"/>
          <w:szCs w:val="32"/>
          <w:highlight w:val="none"/>
          <w14:textFill>
            <w14:solidFill>
              <w14:schemeClr w14:val="tx1"/>
            </w14:solidFill>
          </w14:textFill>
        </w:rPr>
        <w:t>面向全国的算力保障基地</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建设。</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支持县域加快网络基础设施规划和建设，</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发展算力保障基地相关产业、智能终端制造上下游产业，推动数据赋能产业发展，促进大数据与实体经济深度融合。鼓励</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县域主动融入</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长三角、粤港澳、成渝等算力枢纽节点</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布局</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，围绕文旅、白酒等行业打造一批大模型示范应用场景。</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4.推动</w:t>
      </w:r>
      <w:r>
        <w:rPr>
          <w:rFonts w:hint="default" w:ascii="Times New Roman" w:hAnsi="Times New Roman" w:eastAsia="黑体" w:cs="Times New Roman"/>
          <w:color w:val="000000" w:themeColor="text1"/>
          <w:sz w:val="32"/>
          <w:szCs w:val="32"/>
          <w:highlight w:val="none"/>
          <w14:textFill>
            <w14:solidFill>
              <w14:schemeClr w14:val="tx1"/>
            </w14:solidFill>
          </w14:textFill>
        </w:rPr>
        <w:t>全国重要的白酒生产基地</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建设。</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按照</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“四区多点”</w:t>
      </w:r>
      <w:r>
        <w:rPr>
          <w:rFonts w:hint="eastAsia"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产区规划</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布局</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，深入实施白酒产业综合</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整治</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，推动仁怀、习水、金沙、赤水</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、桐梓</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等酱香白酒</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产业</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集聚集群发展，加快推进重点酒企技改扩能项目建设，壮大以优强企业</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引领</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的贵州白酒企业舰队</w:t>
      </w:r>
      <w:r>
        <w:rPr>
          <w:rFonts w:hint="eastAsia" w:ascii="Times New Roman" w:hAnsi="Times New Roman" w:eastAsia="仿宋_GB2312" w:cs="Times New Roman"/>
          <w:color w:val="000000" w:themeColor="text1"/>
          <w:w w:val="95"/>
          <w:sz w:val="32"/>
          <w:szCs w:val="32"/>
          <w:shd w:val="clear" w:color="auto" w:fill="FFFFFF"/>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持续开展“多彩贵州风黔酒中国行”“中国（贵州）国际酒类博览会”等大型宣传推介活动，助力省内酒企“走出去”。</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对扩能</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5000</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千升以上的白酒项目新增用地指标由省级统筹保障。</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5.</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推动新型综合能源基地建设。</w:t>
      </w:r>
      <w:r>
        <w:rPr>
          <w:rFonts w:hint="default" w:ascii="Times New Roman" w:hAnsi="Times New Roman" w:eastAsia="仿宋_GB2312" w:cs="Times New Roman"/>
          <w:color w:val="000000" w:themeColor="text1"/>
          <w:sz w:val="32"/>
          <w:szCs w:val="32"/>
          <w:highlight w:val="none"/>
          <w:shd w:val="clear" w:color="auto" w:fill="FFFFFF"/>
          <w:lang w:val="en-US" w:eastAsia="zh-CN"/>
          <w14:textFill>
            <w14:solidFill>
              <w14:schemeClr w14:val="tx1"/>
            </w14:solidFill>
          </w14:textFill>
        </w:rPr>
        <w:t>大力推进</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煤炭产业结构战略性调整</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鼓励</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县域</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着力提升煤炭产业集中度，加快推进智能煤矿建设。</w:t>
      </w:r>
      <w:r>
        <w:rPr>
          <w:rFonts w:hint="default" w:ascii="Times New Roman" w:hAnsi="Times New Roman" w:eastAsia="仿宋_GB2312" w:cs="Times New Roman"/>
          <w:i w:val="0"/>
          <w:iCs w:val="0"/>
          <w:caps w:val="0"/>
          <w:color w:val="000000" w:themeColor="text1"/>
          <w:spacing w:val="0"/>
          <w:sz w:val="32"/>
          <w:szCs w:val="32"/>
          <w:shd w:val="clear" w:color="auto" w:fill="FFFFFF"/>
          <w14:textFill>
            <w14:solidFill>
              <w14:schemeClr w14:val="tx1"/>
            </w14:solidFill>
          </w14:textFill>
        </w:rPr>
        <w:t>省级新增煤电指标及项目优先在煤炭资源富集</w:t>
      </w:r>
      <w:r>
        <w:rPr>
          <w:rFonts w:hint="default" w:ascii="Times New Roman" w:hAnsi="Times New Roman" w:eastAsia="仿宋_GB2312" w:cs="Times New Roman"/>
          <w:i w:val="0"/>
          <w:iCs w:val="0"/>
          <w:caps w:val="0"/>
          <w:color w:val="000000" w:themeColor="text1"/>
          <w:spacing w:val="0"/>
          <w:sz w:val="32"/>
          <w:szCs w:val="32"/>
          <w:shd w:val="clear" w:color="auto" w:fill="FFFFFF"/>
          <w:lang w:eastAsia="zh-CN"/>
          <w14:textFill>
            <w14:solidFill>
              <w14:schemeClr w14:val="tx1"/>
            </w14:solidFill>
          </w14:textFill>
        </w:rPr>
        <w:t>的</w:t>
      </w:r>
      <w:r>
        <w:rPr>
          <w:rFonts w:hint="eastAsia"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县域</w:t>
      </w:r>
      <w:r>
        <w:rPr>
          <w:rFonts w:hint="default" w:ascii="Times New Roman" w:hAnsi="Times New Roman" w:eastAsia="仿宋_GB2312" w:cs="Times New Roman"/>
          <w:i w:val="0"/>
          <w:iCs w:val="0"/>
          <w:caps w:val="0"/>
          <w:color w:val="000000" w:themeColor="text1"/>
          <w:spacing w:val="0"/>
          <w:sz w:val="32"/>
          <w:szCs w:val="32"/>
          <w:shd w:val="clear" w:color="auto" w:fill="FFFFFF"/>
          <w14:textFill>
            <w14:solidFill>
              <w14:schemeClr w14:val="tx1"/>
            </w14:solidFill>
          </w14:textFill>
        </w:rPr>
        <w:t>布局，支持盘州、金沙、晴隆等加快露天煤矿建设。</w:t>
      </w:r>
      <w:r>
        <w:rPr>
          <w:rFonts w:hint="default" w:ascii="Times New Roman" w:hAnsi="Times New Roman" w:eastAsia="仿宋_GB2312" w:cs="Times New Roman"/>
          <w:i w:val="0"/>
          <w:iCs w:val="0"/>
          <w:caps w:val="0"/>
          <w:color w:val="000000" w:themeColor="text1"/>
          <w:spacing w:val="0"/>
          <w:sz w:val="32"/>
          <w:szCs w:val="32"/>
          <w:shd w:val="clear" w:color="auto" w:fill="FFFFFF"/>
          <w:lang w:eastAsia="zh-CN"/>
          <w14:textFill>
            <w14:solidFill>
              <w14:schemeClr w14:val="tx1"/>
            </w14:solidFill>
          </w14:textFill>
        </w:rPr>
        <w:t>支持</w:t>
      </w:r>
      <w:r>
        <w:rPr>
          <w:rFonts w:hint="default" w:ascii="Times New Roman" w:hAnsi="Times New Roman" w:eastAsia="仿宋_GB2312" w:cs="Times New Roman"/>
          <w:i w:val="0"/>
          <w:iCs w:val="0"/>
          <w:caps w:val="0"/>
          <w:color w:val="000000" w:themeColor="text1"/>
          <w:spacing w:val="0"/>
          <w:sz w:val="32"/>
          <w:szCs w:val="32"/>
          <w:shd w:val="clear" w:color="auto" w:fill="FFFFFF"/>
          <w14:textFill>
            <w14:solidFill>
              <w14:schemeClr w14:val="tx1"/>
            </w14:solidFill>
          </w14:textFill>
        </w:rPr>
        <w:t>织金、</w:t>
      </w:r>
      <w:r>
        <w:rPr>
          <w:rFonts w:hint="default" w:ascii="Times New Roman" w:hAnsi="Times New Roman" w:eastAsia="仿宋_GB2312" w:cs="Times New Roman"/>
          <w:i w:val="0"/>
          <w:iCs w:val="0"/>
          <w:caps w:val="0"/>
          <w:color w:val="000000" w:themeColor="text1"/>
          <w:spacing w:val="0"/>
          <w:sz w:val="32"/>
          <w:szCs w:val="32"/>
          <w:shd w:val="clear" w:color="auto" w:fill="FFFFFF"/>
          <w:lang w:eastAsia="zh-CN"/>
          <w14:textFill>
            <w14:solidFill>
              <w14:schemeClr w14:val="tx1"/>
            </w14:solidFill>
          </w14:textFill>
        </w:rPr>
        <w:t>盘</w:t>
      </w:r>
      <w:r>
        <w:rPr>
          <w:rFonts w:hint="default" w:ascii="Times New Roman" w:hAnsi="Times New Roman" w:eastAsia="仿宋_GB2312" w:cs="Times New Roman"/>
          <w:i w:val="0"/>
          <w:iCs w:val="0"/>
          <w:caps w:val="0"/>
          <w:color w:val="000000" w:themeColor="text1"/>
          <w:spacing w:val="0"/>
          <w:sz w:val="32"/>
          <w:szCs w:val="32"/>
          <w:shd w:val="clear" w:color="auto" w:fill="FFFFFF"/>
          <w14:textFill>
            <w14:solidFill>
              <w14:schemeClr w14:val="tx1"/>
            </w14:solidFill>
          </w14:textFill>
        </w:rPr>
        <w:t>州、兴义、兴仁等布局建设省级煤炭储配中心。</w:t>
      </w:r>
      <w:r>
        <w:rPr>
          <w:rFonts w:hint="eastAsia" w:ascii="Times New Roman" w:hAnsi="Times New Roman" w:eastAsia="仿宋_GB2312" w:cs="Times New Roman"/>
          <w:i w:val="0"/>
          <w:iCs w:val="0"/>
          <w:caps w:val="0"/>
          <w:color w:val="000000" w:themeColor="text1"/>
          <w:spacing w:val="0"/>
          <w:sz w:val="32"/>
          <w:szCs w:val="32"/>
          <w:shd w:val="clear" w:color="auto" w:fill="FFFFFF"/>
          <w:lang w:eastAsia="zh-CN"/>
          <w14:textFill>
            <w14:solidFill>
              <w14:schemeClr w14:val="tx1"/>
            </w14:solidFill>
          </w14:textFill>
        </w:rPr>
        <w:t>支持</w:t>
      </w:r>
      <w:r>
        <w:rPr>
          <w:rFonts w:hint="eastAsia" w:ascii="Times New Roman" w:hAnsi="Times New Roman" w:eastAsia="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t>盘州、普定、织金、赫章</w:t>
      </w:r>
      <w:r>
        <w:rPr>
          <w:rFonts w:hint="default" w:ascii="Times New Roman" w:hAnsi="Times New Roman" w:eastAsia="仿宋_GB2312" w:cs="Times New Roman"/>
          <w:i w:val="0"/>
          <w:iCs w:val="0"/>
          <w:caps w:val="0"/>
          <w:color w:val="000000" w:themeColor="text1"/>
          <w:spacing w:val="0"/>
          <w:sz w:val="32"/>
          <w:szCs w:val="32"/>
          <w:shd w:val="clear" w:color="auto" w:fill="FFFFFF"/>
          <w14:textFill>
            <w14:solidFill>
              <w14:schemeClr w14:val="tx1"/>
            </w14:solidFill>
          </w14:textFill>
        </w:rPr>
        <w:t>等</w:t>
      </w:r>
      <w:r>
        <w:rPr>
          <w:rFonts w:hint="eastAsia" w:ascii="Times New Roman" w:hAnsi="Times New Roman" w:eastAsia="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t>建设火力发电厂，支持关岭、威宁</w:t>
      </w:r>
      <w:r>
        <w:rPr>
          <w:rFonts w:hint="default" w:ascii="Times New Roman" w:hAnsi="Times New Roman" w:eastAsia="仿宋_GB2312" w:cs="Times New Roman"/>
          <w:i w:val="0"/>
          <w:iCs w:val="0"/>
          <w:caps w:val="0"/>
          <w:color w:val="000000" w:themeColor="text1"/>
          <w:spacing w:val="0"/>
          <w:sz w:val="32"/>
          <w:szCs w:val="32"/>
          <w:shd w:val="clear" w:color="auto" w:fill="FFFFFF"/>
          <w14:textFill>
            <w14:solidFill>
              <w14:schemeClr w14:val="tx1"/>
            </w14:solidFill>
          </w14:textFill>
        </w:rPr>
        <w:t>等</w:t>
      </w:r>
      <w:r>
        <w:rPr>
          <w:rFonts w:hint="eastAsia" w:ascii="Times New Roman" w:hAnsi="Times New Roman" w:eastAsia="仿宋_GB2312" w:cs="Times New Roman"/>
          <w:i w:val="0"/>
          <w:iCs w:val="0"/>
          <w:caps w:val="0"/>
          <w:color w:val="000000" w:themeColor="text1"/>
          <w:spacing w:val="0"/>
          <w:sz w:val="32"/>
          <w:szCs w:val="32"/>
          <w:shd w:val="clear" w:color="auto" w:fill="FFFFFF"/>
          <w:lang w:val="en-US" w:eastAsia="zh-CN"/>
          <w14:textFill>
            <w14:solidFill>
              <w14:schemeClr w14:val="tx1"/>
            </w14:solidFill>
          </w14:textFill>
        </w:rPr>
        <w:t>建设风光基地。</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6.推动重点产业备份基地建设。</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充分发挥重点</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县域</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产业基础优势，支持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绥阳、盘州等</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协同打造先进装备制造产业集群。大力推动航空航天、先进装备、电气机械等产业加大科技攻关、推广应用。统筹省级相关产业基金支持县域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实施</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产业备份重大项目建设。</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（二）发展壮大县域工业主导产业</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7.推动“一图三清单”落细落实。</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指导各县聚焦资源禀赋、产业基础、发展潜力，选准1—2个工业主导产业，逐一编制完善“一图三清单”即产业链图谱和在建项目、在谈项目、拟招企业清单，厘清重点产业发展思路，通过具体化、清单化、项目化实施，推动“一图三清单”做深做准做实。支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工业基础扎实的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县域</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充分发挥比较优势，推动工业主导产业建链补链延链强链，不断提升县域工业经济质量和总量。</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8.加快发展县域特色产业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。支持湄潭、凤冈、关岭、大方、威宁、思南、江口、凯里、贵定、惠水、普安等发展有传统和特色优势的酸汤、刺梨、辣椒、茶、饮用水、肉制品等生态食品产业；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支持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龙里、凯里、剑河等发展</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健康医药</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产业；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支持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施秉、台江、三都、荔波等发展</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民族工艺品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产业；支持三穗、安龙、黔西、纳雍等</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人力资源富集县引进家具、纺织、服装、鞋业、小家电等劳动密集型产业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，着力培育壮大县域</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特色产业</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9.大力推进重点项目招引落地。</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各县围绕主导产业“一图三清单”，聚焦拟招企业清单，深入洽谈对接，招引落地一批龙头企业、链主企业。省、市对县级重大项目实行提级统筹，调动各方资源，确保项目落地建设。</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（三）培育壮大县域经营主体</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.做</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大</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做强龙头企业。</w:t>
      </w:r>
      <w:r>
        <w:rPr>
          <w:rFonts w:hint="eastAsia" w:ascii="Times New Roman" w:hAnsi="Times New Roman" w:eastAsia="仿宋_GB2312" w:cs="Times New Roman"/>
          <w:color w:val="000000" w:themeColor="text1"/>
          <w:spacing w:val="0"/>
          <w:kern w:val="0"/>
          <w:sz w:val="32"/>
          <w:szCs w:val="32"/>
          <w:lang w:val="en-US" w:eastAsia="zh-CN" w:bidi="ar-SA"/>
          <w14:textFill>
            <w14:solidFill>
              <w14:schemeClr w14:val="tx1"/>
            </w14:solidFill>
          </w14:textFill>
        </w:rPr>
        <w:t>深入</w:t>
      </w:r>
      <w:r>
        <w:rPr>
          <w:rFonts w:hint="default" w:ascii="Times New Roman" w:hAnsi="Times New Roman" w:eastAsia="仿宋_GB2312" w:cs="Times New Roman"/>
          <w:color w:val="000000" w:themeColor="text1"/>
          <w:spacing w:val="0"/>
          <w:kern w:val="0"/>
          <w:sz w:val="32"/>
          <w:szCs w:val="32"/>
          <w:lang w:val="en-US" w:eastAsia="zh-CN" w:bidi="ar-SA"/>
          <w14:textFill>
            <w14:solidFill>
              <w14:schemeClr w14:val="tx1"/>
            </w14:solidFill>
          </w14:textFill>
        </w:rPr>
        <w:t>实施龙头企业分级培育</w:t>
      </w:r>
      <w:r>
        <w:rPr>
          <w:rFonts w:hint="eastAsia" w:ascii="Times New Roman" w:hAnsi="Times New Roman" w:eastAsia="仿宋_GB2312" w:cs="Times New Roman"/>
          <w:color w:val="000000" w:themeColor="text1"/>
          <w:spacing w:val="0"/>
          <w:kern w:val="0"/>
          <w:sz w:val="32"/>
          <w:szCs w:val="32"/>
          <w:lang w:val="en-US" w:eastAsia="zh-CN" w:bidi="ar-SA"/>
          <w14:textFill>
            <w14:solidFill>
              <w14:schemeClr w14:val="tx1"/>
            </w14:solidFill>
          </w14:textFill>
        </w:rPr>
        <w:t>机制，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持续加大龙头企业扶持力度</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，落实龙头企业培育奖励资金。支持县域重点打造营业收入超过10亿元级的龙头企业，到2027年，力争在全省县域累计培育新增10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亿级</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工业龙头企业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50户。</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.培育壮大规上企业。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支持各县推动工业企业上规入统，对新增上规入统工业企业每户奖励20万元。建立“临规”企业培育库，</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分类</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加强帮扶指导，助推上规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入统</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到2027年，推动修文、赤水、玉屏、独山、瓮安等县域规模以上工业企业总量突破100户，累计新增规模以上工业企业1200户。</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发展</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“专精特新”中小企业。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进一步健全优质中小企业梯度培育体系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，支持中小企业走“专精特新”发展之路，到2027年力争专精特新企业实现县域全覆盖。持续开展促进大中小企业融通创新“携手行动”，支持县域培育创建一批省级中小企业特色产业集群。</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（四）增强县域企业核心竞争力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13.支持企业创新发展</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聚焦建设高能级科技创新平台，加强关键核心技术攻关，加快科技成果转化，激发企业创新活力。通过贵州省工业和信息化发展专项资金，对新认定的国家级技术创新示范企业、国家工业设计中心给予一次性补助100万元，对新认定的省级企业技术中心、技术创新示范企业、工业设计中心给予一次性补助50万元。</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14.强化企业品牌建设</w:t>
      </w: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持续加强县域工业企业品牌培育、创建与提升，在县域打造一批有影响力的“贵州制造”品牌。</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0" w:firstLineChars="0"/>
        <w:jc w:val="both"/>
        <w:textAlignment w:val="auto"/>
        <w:outlineLvl w:val="1"/>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鼓励县域“链主”企业、龙头企业完善品牌管理架构，加强品牌质量管控，建立品牌保护机制，提升品牌知名度和竞争力。</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15.助力企业拓展市场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积极融入粤港澳大湾区、长三角一体化、西部陆海新通道、成渝地区双城经济圈、长江经济带等国家区域发展战略，推动县域工业企业瞄准国内外市场需求，参加国内外重点展会、产业配套供需对接活动等，引导支持企业“走出去”拓市场、抓订单、稳生产。</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（五）推动县域工业数字化转型</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.推动重点行业数字化转型。</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加强对县域工业数字化转型和技术改造升级的服务指导，支持福泉、开阳、六枝、大龙等县</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加速化工、钢铁、新能源电池材料等行业数字化改造进程</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围绕各县</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域工业主导产业</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，推动数字化转型解决方案服务商在县域设立服务触点和团队</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完善</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县域</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数字化转型支撑服务体系</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17</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.推进</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重点</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企业数字化改造。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支持县域龙头企业建设数字产线、无人车间、5G全连接工厂，鼓励加快发展以智能车间、智能工厂、智慧供应链等为载体的智能生产新场景。支持中小企业核心业务环节数字化改造，全力推动规模以上工业企业数字化转型全覆盖。</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重点支持修文、贵定、仁怀等县打造转型示范标杆企业。</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（六）推动县域开发区高质量发展</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18</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提升</w:t>
      </w:r>
      <w:r>
        <w:rPr>
          <w:rFonts w:hint="eastAsia" w:ascii="Times New Roman" w:hAnsi="Times New Roman" w:eastAsia="黑体" w:cs="Times New Roman"/>
          <w:color w:val="000000" w:themeColor="text1"/>
          <w:sz w:val="32"/>
          <w:szCs w:val="32"/>
          <w:highlight w:val="none"/>
          <w:lang w:eastAsia="zh-CN"/>
          <w14:textFill>
            <w14:solidFill>
              <w14:schemeClr w14:val="tx1"/>
            </w14:solidFill>
          </w14:textFill>
        </w:rPr>
        <w:t>开发区</w:t>
      </w:r>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综合</w:t>
      </w:r>
      <w:r>
        <w:rPr>
          <w:rFonts w:hint="default" w:ascii="Times New Roman" w:hAnsi="Times New Roman" w:eastAsia="黑体" w:cs="Times New Roman"/>
          <w:color w:val="000000" w:themeColor="text1"/>
          <w:sz w:val="32"/>
          <w:szCs w:val="32"/>
          <w:highlight w:val="none"/>
          <w14:textFill>
            <w14:solidFill>
              <w14:schemeClr w14:val="tx1"/>
            </w14:solidFill>
          </w14:textFill>
        </w:rPr>
        <w:t>承载能力。</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统筹财政资金，以融资贴息方式支持部分产业重点园区配套基础设施建设。积极支持符合条件的国家级和省级产业园区基础设施项目发行新增专项债券</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bookmarkStart w:id="0" w:name="_GoBack"/>
      <w:bookmarkEnd w:id="0"/>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强化用电、用气等要素保障，持续提升产业承载能力，带动县域工业经济增长。</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19.分类推进重点开发区建设。</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全面深化开发区管理制度改革，指导县域理顺开发区管理工作机制，积极推动运营公司实体化、市场化运作。</w:t>
      </w:r>
      <w:r>
        <w:rPr>
          <w:rFonts w:hint="eastAsia" w:ascii="Times New Roman" w:hAnsi="Times New Roman" w:eastAsia="仿宋_GB2312" w:cs="Times New Roman"/>
          <w:color w:val="000000"/>
          <w:sz w:val="32"/>
          <w:szCs w:val="32"/>
          <w:highlight w:val="none"/>
          <w:lang w:val="en-US" w:eastAsia="zh-CN"/>
        </w:rPr>
        <w:t>集中优势资源支持“重点开发区”和“单项示范开发区”加快发展，坚持动态管理、有进有退，分类推动县域开发区提质增效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（七）</w:t>
      </w: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守好发展和生态两条底线</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20</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.推进工业领域节能降碳。</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统筹推进工业领域特别是钢铁、</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水泥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等重点行业绿色低碳改造，支持一批具有示范带动性的工业节能与综合利用项目。坚持节能监察执法节能诊断服务“双轮驱动”帮助企业挖掘节能潜力，提升能效水平。</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21</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.大力提升资源综合利用水平。</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持续推进工业资源综合利用基地建设，围绕磷石膏、锰渣、赤泥等大宗工业固体废物，</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在开阳、息烽、瓮安、福泉、松桃等县，</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培育扶持一批带动性强、示范性好的综合利用重点企业</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default" w:ascii="仿宋_GB2312" w:hAnsi="仿宋_GB2312" w:eastAsia="仿宋_GB2312" w:cs="仿宋_GB2312"/>
          <w:color w:val="000000" w:themeColor="text1"/>
          <w:sz w:val="32"/>
          <w:szCs w:val="32"/>
          <w:u w:val="none"/>
          <w:lang w:val="en-US" w:eastAsia="zh-CN"/>
          <w14:textFill>
            <w14:solidFill>
              <w14:schemeClr w14:val="tx1"/>
            </w14:solidFill>
          </w14:textFill>
        </w:rPr>
        <w:t>推动再生资源综合利用产业规范发展。</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22</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.打造绿色制造示范标杆。</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充分发挥县域工业绿色制造标杆引领作用，以打造绿色工厂、绿色园区、绿色供应链为抓手，创新工作模式，开展梯度培育，向绿色工厂试点推行“企业绿码”。引导企业加大提标改造力度，培育能效、水效“领跑者”，强化示范带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both"/>
        <w:textAlignment w:val="auto"/>
        <w:outlineLvl w:val="0"/>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三、保障措施</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1"/>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强化</w:t>
      </w: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组织</w:t>
      </w: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实施</w:t>
      </w: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i w:val="0"/>
          <w:iCs w:val="0"/>
          <w:caps w:val="0"/>
          <w:color w:val="000000" w:themeColor="text1"/>
          <w:spacing w:val="0"/>
          <w:sz w:val="32"/>
          <w:szCs w:val="32"/>
          <w:highlight w:val="none"/>
          <w:shd w:val="clear"/>
          <w:lang w:val="en-US" w:eastAsia="zh-CN"/>
          <w14:textFill>
            <w14:solidFill>
              <w14:schemeClr w14:val="tx1"/>
            </w14:solidFill>
          </w14:textFill>
        </w:rPr>
        <w:t>省新型工业化工作领导小组办公室统筹推进县域工业经济高质量发展工作。各县（市）要不断汇聚大抓工业、大兴工业、大干工业的强大合力，加快推进工业强县建设。</w:t>
      </w:r>
      <w:r>
        <w:rPr>
          <w:rFonts w:hint="eastAsia" w:ascii="Times New Roman" w:hAnsi="Times New Roman" w:eastAsia="仿宋_GB2312" w:cs="Times New Roman"/>
          <w:i w:val="0"/>
          <w:iCs w:val="0"/>
          <w:caps w:val="0"/>
          <w:color w:val="000000" w:themeColor="text1"/>
          <w:spacing w:val="0"/>
          <w:sz w:val="32"/>
          <w:szCs w:val="32"/>
          <w:highlight w:val="none"/>
          <w:shd w:val="clear"/>
          <w:lang w:eastAsia="zh-CN"/>
          <w14:textFill>
            <w14:solidFill>
              <w14:schemeClr w14:val="tx1"/>
            </w14:solidFill>
          </w14:textFill>
        </w:rPr>
        <w:t>充分发挥考核评估激励作用，抓好县域工业高质量发展评估。</w:t>
      </w:r>
    </w:p>
    <w:p>
      <w:pPr>
        <w:keepNext w:val="0"/>
        <w:keepLines w:val="0"/>
        <w:pageBreakBefore w:val="0"/>
        <w:widowControl w:val="0"/>
        <w:numPr>
          <w:ilvl w:val="-1"/>
          <w:numId w:val="0"/>
        </w:numPr>
        <w:kinsoku/>
        <w:wordWrap/>
        <w:overflowPunct/>
        <w:topLinePunct w:val="0"/>
        <w:autoSpaceDE/>
        <w:autoSpaceDN/>
        <w:bidi w:val="0"/>
        <w:adjustRightInd/>
        <w:snapToGrid/>
        <w:spacing w:line="600" w:lineRule="exact"/>
        <w:ind w:left="0" w:leftChars="0" w:firstLine="640" w:firstLineChars="200"/>
        <w:jc w:val="left"/>
        <w:textAlignment w:val="auto"/>
        <w:outlineLvl w:val="1"/>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（二）强化要素保障</w:t>
      </w:r>
      <w:r>
        <w:rPr>
          <w:rFonts w:hint="default" w:ascii="Times New Roman" w:hAnsi="Times New Roman" w:eastAsia="楷体_GB2312" w:cs="Times New Roman"/>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省市有关部门和单位要大力支持县域工业发展。</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县域</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纳入国家和省重大项目清单的项目</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新增建设用地年度计划指标由省级统筹配置。</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鼓励金融机构增加工业企业信贷投放力度，拓宽企业融资渠道。</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000000" w:themeColor="text1"/>
          <w:spacing w:val="0"/>
          <w:sz w:val="32"/>
          <w:szCs w:val="32"/>
          <w:highlight w:val="none"/>
          <w:shd w:val="clear"/>
          <w:lang w:val="en-US" w:eastAsia="zh-CN"/>
          <w14:textFill>
            <w14:solidFill>
              <w14:schemeClr w14:val="tx1"/>
            </w14:solidFill>
          </w14:textFill>
        </w:rPr>
      </w:pPr>
      <w:r>
        <w:rPr>
          <w:rFonts w:hint="eastAsia" w:ascii="Times New Roman" w:hAnsi="Times New Roman" w:eastAsia="楷体_GB2312" w:cs="Times New Roman"/>
          <w:color w:val="000000" w:themeColor="text1"/>
          <w:sz w:val="32"/>
          <w:szCs w:val="32"/>
          <w:highlight w:val="none"/>
          <w:lang w:val="en-US" w:eastAsia="zh-CN"/>
          <w14:textFill>
            <w14:solidFill>
              <w14:schemeClr w14:val="tx1"/>
            </w14:solidFill>
          </w14:textFill>
        </w:rPr>
        <w:t>（三）强化宣传引导。</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及时总结推广各地在推动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县域工业经济高质量发展过程中</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的好经验、好做法，加强宣传报道和舆论引导，广泛调动各方面积极性，形成良好的发展氛围。</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cstheme="minorEastAsia"/>
                              <w:sz w:val="24"/>
                            </w:rPr>
                          </w:pPr>
                          <w:r>
                            <w:rPr>
                              <w:rFonts w:hint="eastAsia" w:asciiTheme="minorEastAsia" w:hAnsiTheme="minorEastAsia" w:cstheme="minorEastAsia"/>
                              <w:sz w:val="24"/>
                            </w:rPr>
                            <w:t xml:space="preserve">— </w:t>
                          </w:r>
                          <w:r>
                            <w:rPr>
                              <w:rFonts w:hint="eastAsia" w:asciiTheme="minorEastAsia" w:hAnsiTheme="minorEastAsia" w:cstheme="minorEastAsia"/>
                              <w:sz w:val="24"/>
                            </w:rPr>
                            <w:fldChar w:fldCharType="begin"/>
                          </w:r>
                          <w:r>
                            <w:rPr>
                              <w:rFonts w:hint="eastAsia" w:asciiTheme="minorEastAsia" w:hAnsiTheme="minorEastAsia" w:cstheme="minorEastAsia"/>
                              <w:sz w:val="24"/>
                            </w:rPr>
                            <w:instrText xml:space="preserve"> PAGE  \* MERGEFORMAT </w:instrText>
                          </w:r>
                          <w:r>
                            <w:rPr>
                              <w:rFonts w:hint="eastAsia" w:asciiTheme="minorEastAsia" w:hAnsiTheme="minorEastAsia" w:cstheme="minorEastAsia"/>
                              <w:sz w:val="24"/>
                            </w:rPr>
                            <w:fldChar w:fldCharType="separate"/>
                          </w:r>
                          <w:r>
                            <w:rPr>
                              <w:rFonts w:hint="eastAsia" w:asciiTheme="minorEastAsia" w:hAnsiTheme="minorEastAsia" w:cstheme="minorEastAsia"/>
                              <w:sz w:val="24"/>
                            </w:rPr>
                            <w:t>1</w:t>
                          </w:r>
                          <w:r>
                            <w:rPr>
                              <w:rFonts w:hint="eastAsia" w:asciiTheme="minorEastAsia" w:hAnsiTheme="minorEastAsia" w:cstheme="minorEastAsia"/>
                              <w:sz w:val="24"/>
                            </w:rPr>
                            <w:fldChar w:fldCharType="end"/>
                          </w:r>
                          <w:r>
                            <w:rPr>
                              <w:rFonts w:hint="eastAsia" w:asciiTheme="minorEastAsia" w:hAnsiTheme="minorEastAsia" w:cstheme="minorEastAsia"/>
                              <w:sz w:val="2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6"/>
                      <w:rPr>
                        <w:rFonts w:hint="eastAsia" w:asciiTheme="minorEastAsia" w:hAnsiTheme="minorEastAsia" w:cstheme="minorEastAsia"/>
                        <w:sz w:val="24"/>
                      </w:rPr>
                    </w:pPr>
                    <w:r>
                      <w:rPr>
                        <w:rFonts w:hint="eastAsia" w:asciiTheme="minorEastAsia" w:hAnsiTheme="minorEastAsia" w:cstheme="minorEastAsia"/>
                        <w:sz w:val="24"/>
                      </w:rPr>
                      <w:t xml:space="preserve">— </w:t>
                    </w:r>
                    <w:r>
                      <w:rPr>
                        <w:rFonts w:hint="eastAsia" w:asciiTheme="minorEastAsia" w:hAnsiTheme="minorEastAsia" w:cstheme="minorEastAsia"/>
                        <w:sz w:val="24"/>
                      </w:rPr>
                      <w:fldChar w:fldCharType="begin"/>
                    </w:r>
                    <w:r>
                      <w:rPr>
                        <w:rFonts w:hint="eastAsia" w:asciiTheme="minorEastAsia" w:hAnsiTheme="minorEastAsia" w:cstheme="minorEastAsia"/>
                        <w:sz w:val="24"/>
                      </w:rPr>
                      <w:instrText xml:space="preserve"> PAGE  \* MERGEFORMAT </w:instrText>
                    </w:r>
                    <w:r>
                      <w:rPr>
                        <w:rFonts w:hint="eastAsia" w:asciiTheme="minorEastAsia" w:hAnsiTheme="minorEastAsia" w:cstheme="minorEastAsia"/>
                        <w:sz w:val="24"/>
                      </w:rPr>
                      <w:fldChar w:fldCharType="separate"/>
                    </w:r>
                    <w:r>
                      <w:rPr>
                        <w:rFonts w:hint="eastAsia" w:asciiTheme="minorEastAsia" w:hAnsiTheme="minorEastAsia" w:cstheme="minorEastAsia"/>
                        <w:sz w:val="24"/>
                      </w:rPr>
                      <w:t>1</w:t>
                    </w:r>
                    <w:r>
                      <w:rPr>
                        <w:rFonts w:hint="eastAsia" w:asciiTheme="minorEastAsia" w:hAnsiTheme="minorEastAsia" w:cstheme="minorEastAsia"/>
                        <w:sz w:val="24"/>
                      </w:rPr>
                      <w:fldChar w:fldCharType="end"/>
                    </w:r>
                    <w:r>
                      <w:rPr>
                        <w:rFonts w:hint="eastAsia" w:asciiTheme="minorEastAsia" w:hAnsiTheme="minorEastAsia" w:cstheme="minorEastAsia"/>
                        <w:sz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6DFC3578"/>
    <w:rsid w:val="01263C7A"/>
    <w:rsid w:val="036F606A"/>
    <w:rsid w:val="040108ED"/>
    <w:rsid w:val="04533DF5"/>
    <w:rsid w:val="04F214D4"/>
    <w:rsid w:val="054C0190"/>
    <w:rsid w:val="07D63618"/>
    <w:rsid w:val="07DBD875"/>
    <w:rsid w:val="0E9A2BDA"/>
    <w:rsid w:val="1694235C"/>
    <w:rsid w:val="17BE2A2B"/>
    <w:rsid w:val="18F86A0A"/>
    <w:rsid w:val="1D534F9F"/>
    <w:rsid w:val="1DC76599"/>
    <w:rsid w:val="1EDBFB0D"/>
    <w:rsid w:val="1EFF766C"/>
    <w:rsid w:val="1F8906B2"/>
    <w:rsid w:val="1FF4697D"/>
    <w:rsid w:val="206E42B7"/>
    <w:rsid w:val="20830AF5"/>
    <w:rsid w:val="20B200AD"/>
    <w:rsid w:val="219D029F"/>
    <w:rsid w:val="237B0115"/>
    <w:rsid w:val="249E2782"/>
    <w:rsid w:val="262A6D06"/>
    <w:rsid w:val="2CF7E9CB"/>
    <w:rsid w:val="2EB7759E"/>
    <w:rsid w:val="30DE0BF3"/>
    <w:rsid w:val="32F65F08"/>
    <w:rsid w:val="34F58BBB"/>
    <w:rsid w:val="360B4C84"/>
    <w:rsid w:val="36421D91"/>
    <w:rsid w:val="373FB812"/>
    <w:rsid w:val="37537751"/>
    <w:rsid w:val="379C0A32"/>
    <w:rsid w:val="37D3366C"/>
    <w:rsid w:val="37FC47F4"/>
    <w:rsid w:val="3ABD2494"/>
    <w:rsid w:val="3B3D7900"/>
    <w:rsid w:val="3D8A3804"/>
    <w:rsid w:val="3DFDE62A"/>
    <w:rsid w:val="3EFB0F1D"/>
    <w:rsid w:val="3FAE03FB"/>
    <w:rsid w:val="3FDE1544"/>
    <w:rsid w:val="44364A87"/>
    <w:rsid w:val="47E7F575"/>
    <w:rsid w:val="47F16DC1"/>
    <w:rsid w:val="4B28547B"/>
    <w:rsid w:val="4BFF3450"/>
    <w:rsid w:val="4D7814A6"/>
    <w:rsid w:val="4DBB7693"/>
    <w:rsid w:val="4DE96DE4"/>
    <w:rsid w:val="4FAFD4CE"/>
    <w:rsid w:val="4FFF4C1D"/>
    <w:rsid w:val="51C6120B"/>
    <w:rsid w:val="53030B27"/>
    <w:rsid w:val="53D340C2"/>
    <w:rsid w:val="56517DDD"/>
    <w:rsid w:val="573E8ECF"/>
    <w:rsid w:val="585F4E51"/>
    <w:rsid w:val="5D73BDC7"/>
    <w:rsid w:val="5D7E71A8"/>
    <w:rsid w:val="5E944289"/>
    <w:rsid w:val="5F3D7BF8"/>
    <w:rsid w:val="5FEF0378"/>
    <w:rsid w:val="5FFD59E9"/>
    <w:rsid w:val="5FFF2E90"/>
    <w:rsid w:val="637864A7"/>
    <w:rsid w:val="63FF34CA"/>
    <w:rsid w:val="64E41F4C"/>
    <w:rsid w:val="653B106B"/>
    <w:rsid w:val="65D50447"/>
    <w:rsid w:val="65F7FC7E"/>
    <w:rsid w:val="678F3255"/>
    <w:rsid w:val="67FE2A2E"/>
    <w:rsid w:val="6839778E"/>
    <w:rsid w:val="684E3E5B"/>
    <w:rsid w:val="69351125"/>
    <w:rsid w:val="6A5F4BF6"/>
    <w:rsid w:val="6AA4041B"/>
    <w:rsid w:val="6B6630F4"/>
    <w:rsid w:val="6BEFA8EE"/>
    <w:rsid w:val="6C2B3FC5"/>
    <w:rsid w:val="6C73B83F"/>
    <w:rsid w:val="6D7FF495"/>
    <w:rsid w:val="6DBB7590"/>
    <w:rsid w:val="6DC20A4A"/>
    <w:rsid w:val="6DFC3578"/>
    <w:rsid w:val="6EFC194F"/>
    <w:rsid w:val="6F74FE5D"/>
    <w:rsid w:val="6F99E9A4"/>
    <w:rsid w:val="6F9FBABA"/>
    <w:rsid w:val="6FAF3965"/>
    <w:rsid w:val="6FDAB267"/>
    <w:rsid w:val="6FFB6264"/>
    <w:rsid w:val="6FFEEB6E"/>
    <w:rsid w:val="71799D3C"/>
    <w:rsid w:val="71D2EA7D"/>
    <w:rsid w:val="728D6D01"/>
    <w:rsid w:val="73CA29FD"/>
    <w:rsid w:val="73FB7361"/>
    <w:rsid w:val="75DF3B7A"/>
    <w:rsid w:val="75EB2F08"/>
    <w:rsid w:val="762F8DFF"/>
    <w:rsid w:val="764D738F"/>
    <w:rsid w:val="765B9590"/>
    <w:rsid w:val="76703ADC"/>
    <w:rsid w:val="76B7C7F4"/>
    <w:rsid w:val="76DB393F"/>
    <w:rsid w:val="76DDCBA7"/>
    <w:rsid w:val="776A390A"/>
    <w:rsid w:val="776F3090"/>
    <w:rsid w:val="777E4378"/>
    <w:rsid w:val="777FDDB9"/>
    <w:rsid w:val="77A0DAD3"/>
    <w:rsid w:val="77B5E196"/>
    <w:rsid w:val="77F2793F"/>
    <w:rsid w:val="77F506FE"/>
    <w:rsid w:val="77FF057E"/>
    <w:rsid w:val="786C12A0"/>
    <w:rsid w:val="793EC56A"/>
    <w:rsid w:val="795C0AC2"/>
    <w:rsid w:val="79DB3B7A"/>
    <w:rsid w:val="79FF6C6A"/>
    <w:rsid w:val="7A5E3E6B"/>
    <w:rsid w:val="7B5192AE"/>
    <w:rsid w:val="7B6FD269"/>
    <w:rsid w:val="7BBD2FB8"/>
    <w:rsid w:val="7BD71B34"/>
    <w:rsid w:val="7BF9FA73"/>
    <w:rsid w:val="7BFB49BD"/>
    <w:rsid w:val="7CE3DB79"/>
    <w:rsid w:val="7CFBD08A"/>
    <w:rsid w:val="7D5EB25E"/>
    <w:rsid w:val="7D6FE088"/>
    <w:rsid w:val="7DB76558"/>
    <w:rsid w:val="7DCEEBE3"/>
    <w:rsid w:val="7DED4175"/>
    <w:rsid w:val="7DFFD1F4"/>
    <w:rsid w:val="7DFFD6E8"/>
    <w:rsid w:val="7E7D81F7"/>
    <w:rsid w:val="7E85E886"/>
    <w:rsid w:val="7EA1645A"/>
    <w:rsid w:val="7ECB2C9C"/>
    <w:rsid w:val="7F2D3F75"/>
    <w:rsid w:val="7F7D2D61"/>
    <w:rsid w:val="7F7FC8BB"/>
    <w:rsid w:val="7FB2D4DA"/>
    <w:rsid w:val="7FB5E22C"/>
    <w:rsid w:val="7FD7DBAF"/>
    <w:rsid w:val="7FF352C0"/>
    <w:rsid w:val="7FFD1280"/>
    <w:rsid w:val="7FFF422C"/>
    <w:rsid w:val="813531D5"/>
    <w:rsid w:val="8F5F4076"/>
    <w:rsid w:val="95DB7BD5"/>
    <w:rsid w:val="AD0434B0"/>
    <w:rsid w:val="ADDFF4F9"/>
    <w:rsid w:val="AF6DCB29"/>
    <w:rsid w:val="AFD56106"/>
    <w:rsid w:val="AFE93BBB"/>
    <w:rsid w:val="B3EF36C6"/>
    <w:rsid w:val="B7F3D4A5"/>
    <w:rsid w:val="B7FB021D"/>
    <w:rsid w:val="BBE703F5"/>
    <w:rsid w:val="BBF7D6B5"/>
    <w:rsid w:val="BD8B03A7"/>
    <w:rsid w:val="BDEF570F"/>
    <w:rsid w:val="BEA3DAB5"/>
    <w:rsid w:val="BEB6F6CC"/>
    <w:rsid w:val="BEDE24D4"/>
    <w:rsid w:val="BF5FBB92"/>
    <w:rsid w:val="BFBFD869"/>
    <w:rsid w:val="BFC77CC2"/>
    <w:rsid w:val="BFD547CD"/>
    <w:rsid w:val="BFF6A9B7"/>
    <w:rsid w:val="BFFC8470"/>
    <w:rsid w:val="BFFF8012"/>
    <w:rsid w:val="C7EFC29A"/>
    <w:rsid w:val="CBBB97C7"/>
    <w:rsid w:val="CDBF6F3D"/>
    <w:rsid w:val="CDEF4D4D"/>
    <w:rsid w:val="CF9FBA38"/>
    <w:rsid w:val="CFFF97CB"/>
    <w:rsid w:val="D57F7687"/>
    <w:rsid w:val="D7FF17F2"/>
    <w:rsid w:val="D87D9990"/>
    <w:rsid w:val="DDFDC5DD"/>
    <w:rsid w:val="DF532AE7"/>
    <w:rsid w:val="DFB7EAEA"/>
    <w:rsid w:val="DFCDB457"/>
    <w:rsid w:val="E2DD7CF6"/>
    <w:rsid w:val="E3EEA4C9"/>
    <w:rsid w:val="E6EEC3E3"/>
    <w:rsid w:val="E6FCB1E0"/>
    <w:rsid w:val="E77FF368"/>
    <w:rsid w:val="E7B3CE79"/>
    <w:rsid w:val="E9AE5BD7"/>
    <w:rsid w:val="EBDF9433"/>
    <w:rsid w:val="EBE75682"/>
    <w:rsid w:val="EE776ECB"/>
    <w:rsid w:val="EF6FBBF8"/>
    <w:rsid w:val="EF7EA97B"/>
    <w:rsid w:val="EFCF949E"/>
    <w:rsid w:val="EFEF0896"/>
    <w:rsid w:val="EFF6E187"/>
    <w:rsid w:val="EFFF9F1F"/>
    <w:rsid w:val="EFFFC707"/>
    <w:rsid w:val="F1E7EF32"/>
    <w:rsid w:val="F4FFE43B"/>
    <w:rsid w:val="F57EF725"/>
    <w:rsid w:val="F5EF1C5E"/>
    <w:rsid w:val="F6BFC602"/>
    <w:rsid w:val="F6F9F0F5"/>
    <w:rsid w:val="F7BF31E2"/>
    <w:rsid w:val="F7D713C1"/>
    <w:rsid w:val="F7FF4DF5"/>
    <w:rsid w:val="F8FD36CF"/>
    <w:rsid w:val="F9ADC65D"/>
    <w:rsid w:val="F9AE4BA3"/>
    <w:rsid w:val="FA4E986D"/>
    <w:rsid w:val="FB8F3FA4"/>
    <w:rsid w:val="FBDBC8A5"/>
    <w:rsid w:val="FC9F5B2C"/>
    <w:rsid w:val="FCEFA0EC"/>
    <w:rsid w:val="FD7FABB1"/>
    <w:rsid w:val="FDDF4046"/>
    <w:rsid w:val="FDEFBDC2"/>
    <w:rsid w:val="FDF2C75F"/>
    <w:rsid w:val="FDF5AA00"/>
    <w:rsid w:val="FDFF52CD"/>
    <w:rsid w:val="FE7F6A1E"/>
    <w:rsid w:val="FECF8F98"/>
    <w:rsid w:val="FEDB6196"/>
    <w:rsid w:val="FEDD3A27"/>
    <w:rsid w:val="FEFBBF0D"/>
    <w:rsid w:val="FF1646DF"/>
    <w:rsid w:val="FF3F15F6"/>
    <w:rsid w:val="FF74864F"/>
    <w:rsid w:val="FF7CB3F8"/>
    <w:rsid w:val="FFBF170A"/>
    <w:rsid w:val="FFEE0477"/>
    <w:rsid w:val="FFF58943"/>
    <w:rsid w:val="FFF989BD"/>
    <w:rsid w:val="FFFD669C"/>
    <w:rsid w:val="FFFF81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99"/>
    <w:pPr>
      <w:ind w:left="420" w:leftChars="200"/>
    </w:pPr>
  </w:style>
  <w:style w:type="paragraph" w:styleId="3">
    <w:name w:val="annotation text"/>
    <w:basedOn w:val="1"/>
    <w:qFormat/>
    <w:uiPriority w:val="0"/>
    <w:pPr>
      <w:jc w:val="left"/>
    </w:pPr>
  </w:style>
  <w:style w:type="paragraph" w:styleId="4">
    <w:name w:val="Body Text Indent"/>
    <w:basedOn w:val="1"/>
    <w:qFormat/>
    <w:uiPriority w:val="0"/>
    <w:pPr>
      <w:widowControl w:val="0"/>
      <w:spacing w:after="120"/>
      <w:ind w:left="420" w:leftChars="200"/>
      <w:jc w:val="both"/>
    </w:pPr>
    <w:rPr>
      <w:rFonts w:ascii="Times New Roman" w:hAnsi="Times New Roman" w:eastAsia="仿宋_GB2312" w:cs="Times New Roman"/>
      <w:kern w:val="2"/>
      <w:sz w:val="32"/>
      <w:szCs w:val="24"/>
      <w:lang w:val="en-US" w:eastAsia="zh-CN" w:bidi="ar-SA"/>
    </w:rPr>
  </w:style>
  <w:style w:type="paragraph" w:styleId="5">
    <w:name w:val="Body Text Indent 2"/>
    <w:basedOn w:val="1"/>
    <w:unhideWhenUsed/>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4"/>
    <w:qFormat/>
    <w:uiPriority w:val="99"/>
    <w:pPr>
      <w:widowControl w:val="0"/>
      <w:spacing w:after="120"/>
      <w:ind w:left="420" w:leftChars="200" w:firstLine="420" w:firstLineChars="200"/>
      <w:jc w:val="both"/>
    </w:pPr>
    <w:rPr>
      <w:rFonts w:ascii="Times New Roman" w:hAnsi="Times New Roman" w:eastAsia="仿宋_GB2312" w:cs="Times New Roman"/>
      <w:kern w:val="2"/>
      <w:sz w:val="32"/>
      <w:szCs w:val="24"/>
      <w:lang w:val="en-US" w:eastAsia="zh-CN" w:bidi="ar-SA"/>
    </w:rPr>
  </w:style>
  <w:style w:type="character" w:styleId="12">
    <w:name w:val="Strong"/>
    <w:basedOn w:val="11"/>
    <w:qFormat/>
    <w:uiPriority w:val="0"/>
    <w:rPr>
      <w:b/>
    </w:rPr>
  </w:style>
  <w:style w:type="character" w:styleId="13">
    <w:name w:val="Emphasis"/>
    <w:basedOn w:val="11"/>
    <w:qFormat/>
    <w:uiPriority w:val="0"/>
    <w:rPr>
      <w:i/>
    </w:rPr>
  </w:style>
  <w:style w:type="paragraph" w:customStyle="1" w:styleId="14">
    <w:name w:val="BodyText1I2"/>
    <w:basedOn w:val="15"/>
    <w:next w:val="16"/>
    <w:qFormat/>
    <w:uiPriority w:val="0"/>
    <w:pPr>
      <w:spacing w:after="0" w:line="500" w:lineRule="exact"/>
      <w:ind w:left="0" w:leftChars="0" w:firstLine="420" w:firstLineChars="200"/>
      <w:jc w:val="both"/>
    </w:pPr>
    <w:rPr>
      <w:rFonts w:ascii="仿宋_GB2312" w:hAnsi="Times New Roman" w:eastAsia="仿宋_GB2312" w:cs="Times New Roman"/>
      <w:sz w:val="30"/>
    </w:rPr>
  </w:style>
  <w:style w:type="paragraph" w:customStyle="1" w:styleId="15">
    <w:name w:val="BodyTextIndent"/>
    <w:basedOn w:val="1"/>
    <w:qFormat/>
    <w:uiPriority w:val="0"/>
    <w:pPr>
      <w:spacing w:after="120"/>
      <w:ind w:left="420" w:leftChars="200"/>
    </w:pPr>
  </w:style>
  <w:style w:type="paragraph" w:customStyle="1" w:styleId="16">
    <w:name w:val="BodyText"/>
    <w:basedOn w:val="1"/>
    <w:next w:val="1"/>
    <w:qFormat/>
    <w:uiPriority w:val="0"/>
    <w:pPr>
      <w:ind w:left="2722"/>
      <w:jc w:val="both"/>
      <w:textAlignment w:val="baseline"/>
    </w:pPr>
    <w:rPr>
      <w:rFonts w:ascii="宋体" w:hAnsi="宋体" w:eastAsia="宋体"/>
      <w:kern w:val="0"/>
      <w:sz w:val="32"/>
      <w:szCs w:val="32"/>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5362</Words>
  <Characters>5416</Characters>
  <Lines>0</Lines>
  <Paragraphs>0</Paragraphs>
  <TotalTime>1</TotalTime>
  <ScaleCrop>false</ScaleCrop>
  <LinksUpToDate>false</LinksUpToDate>
  <CharactersWithSpaces>5416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2024-03-07T01:04:00Z</dcterms:created>
  <dc:creator>他。</dc:creator>
  <cp:lastModifiedBy>ysgz</cp:lastModifiedBy>
  <cp:lastPrinted>2024-04-04T18:35:00Z</cp:lastPrinted>
  <dcterms:modified xsi:type="dcterms:W3CDTF">2024-04-12T10:53:07Z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64ED536ABA5942D5B8DAF9057CF6DF16_13</vt:lpwstr>
  </property>
</Properties>
</file>