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肇庆市持续完善“全肇办”企业服务体系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打造一流营商环境行动方案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（</w:t>
      </w:r>
      <w:r>
        <w:rPr>
          <w:rFonts w:hint="default" w:ascii="Times New Roman" w:hAnsi="Times New Roman" w:eastAsia="方正小标宋简体" w:cs="Times New Roman"/>
          <w:spacing w:val="0"/>
          <w:w w:val="100"/>
          <w:sz w:val="44"/>
          <w:szCs w:val="44"/>
        </w:rPr>
        <w:t>2026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cs="Times New Roman"/>
        </w:rPr>
      </w:pPr>
    </w:p>
    <w:p>
      <w:pPr>
        <w:bidi w:val="0"/>
        <w:spacing w:line="600" w:lineRule="exact"/>
        <w:ind w:firstLine="680" w:firstLineChars="200"/>
        <w:rPr>
          <w:rFonts w:hint="default" w:ascii="Times New Roman" w:hAnsi="Times New Roman" w:eastAsia="方正仿宋简体" w:cs="Times New Roman"/>
          <w:szCs w:val="30"/>
        </w:rPr>
      </w:pPr>
      <w:r>
        <w:rPr>
          <w:rFonts w:hint="default" w:ascii="Times New Roman" w:hAnsi="Times New Roman" w:eastAsia="方正仿宋简体" w:cs="Times New Roman"/>
          <w:szCs w:val="30"/>
        </w:rPr>
        <w:t>为全面贯彻党的二十大和二十届历次全会精神，深入贯彻习近平总书记对广东系列重要讲话和重要指示精神，按照省关于营造市场化、法治化、国际化一流营商环境有关要求，牢固树立“企业第一”的理念，迭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szCs w:val="30"/>
        </w:rPr>
        <w:t>代升级“全肇办”企业服务体系，擦亮“全肇办”营商品牌，推动“肇庆服务、天天进步”。根据营商环境改革“一年一评估”、“一年一修订”、“一年一发布”的原则，制定本年度行动方案。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一、优化市场化一流营商环境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强化招标投标前端指导和后端监督，2026年开标至中标结果公告平均时长稳定在13个自然日以内，签订合同信息公开率达90%以上，招标投标全流程信息公开率达90%以上，实施不见面开标的项目比例达95%以上。</w:t>
      </w:r>
      <w:r>
        <w:rPr>
          <w:rFonts w:hint="default" w:ascii="Times New Roman" w:hAnsi="Times New Roman" w:eastAsia="黑体" w:cs="Times New Roman"/>
        </w:rPr>
        <w:t>（市政务和数据局）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优化政府采购全流程电子化服务，进一步推进政府采购远程开标和异地评标，2026年远程开标率达95%以上，采购项目电子化交易占比稳定在90%以上。落实预留采购份额、价格评审优惠、优先采购等措施，2026年全市政府采购项目中小企业中标金额占比稳定在50%以上。围绕政府采购领域“四类”违法违规行为、政府采购招投标领域突出问题，持续开展专项整治，实行追溯倒查制度，进一步建设统一开放、竞争有序的政府采购市场。</w:t>
      </w:r>
      <w:r>
        <w:rPr>
          <w:rFonts w:hint="default" w:ascii="Times New Roman" w:hAnsi="Times New Roman" w:eastAsia="黑体" w:cs="Times New Roman"/>
        </w:rPr>
        <w:t>（市财政局）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动态更新并公布涉企收费目录清单，对市、县两级非税收入收费情况实施实时在线监控，加强收费减免政策落地效果监管。</w:t>
      </w:r>
      <w:r>
        <w:rPr>
          <w:rFonts w:hint="default" w:ascii="Times New Roman" w:hAnsi="Times New Roman" w:eastAsia="黑体" w:cs="Times New Roman"/>
        </w:rPr>
        <w:t>（市财政局、市发展改革局按职责分工负责）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出台规范住所（经营场所）登记管理的政策措施，完善市场监管领域许可事项容缺受理制度。优化注销程序，推动长期未经营或停止经营企业和个体工商户退出市场。</w:t>
      </w:r>
      <w:r>
        <w:rPr>
          <w:rFonts w:hint="default" w:ascii="Times New Roman" w:hAnsi="Times New Roman" w:eastAsia="黑体" w:cs="Times New Roman"/>
        </w:rPr>
        <w:t>（市市场监管局）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5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加强公平竞争审查抽查，依法制止滥用行政权力排除、限制竞争行为，持续规范公平竞争的市场秩序。持续开展涉企收费监督检查，对涉企违规收费行为保持高压态势。</w:t>
      </w:r>
      <w:r>
        <w:rPr>
          <w:rFonts w:hint="default" w:ascii="Times New Roman" w:hAnsi="Times New Roman" w:eastAsia="黑体" w:cs="Times New Roman"/>
        </w:rPr>
        <w:t>（市市场监管局）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6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2026年保障熟地储备不少于8000亩，实现“拿地即动工”。严格执行出让公告审查机制，从源头上杜绝“毛地”出让。大力开展土地要素市场化配置综合改革，探索低效工业用地市场化回购和退出路径。</w:t>
      </w:r>
      <w:r>
        <w:rPr>
          <w:rFonts w:hint="default" w:ascii="Times New Roman" w:hAnsi="Times New Roman" w:eastAsia="黑体" w:cs="Times New Roman"/>
        </w:rPr>
        <w:t>（市自然资源局）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7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全面落实设备更新贷款、制造业和高新技术企业贷款财政贴息政策，推动企业加快设备更新和技术改造。加大“政银担”合作模式支持力度，引导政府性融资担保公司聚焦小微企业持续推进降费让利。</w:t>
      </w:r>
      <w:r>
        <w:rPr>
          <w:rFonts w:hint="default" w:ascii="Times New Roman" w:hAnsi="Times New Roman" w:eastAsia="黑体" w:cs="Times New Roman"/>
        </w:rPr>
        <w:t>（市财政局）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8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引导辖内银行机构加大民营小微企业首贷、续贷、信用贷支持力度，进一步加大力度打击非法存贷款中介、非法网贷平台和助贷机构、非法保险代理中介、信用卡不正当“反催收”中介，提高企业融资满意度。推进明示企业贷款综合融资成本试点工作，强化利率监测分析，引导金融机构提升存贷款理性定价能力，促进社会综合融资成本低位运行。</w:t>
      </w:r>
      <w:r>
        <w:rPr>
          <w:rFonts w:hint="default" w:ascii="Times New Roman" w:hAnsi="Times New Roman" w:eastAsia="黑体" w:cs="Times New Roman"/>
        </w:rPr>
        <w:t>（人行肇庆市分行、肇庆金融监管分局按职责分工负责）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9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进一步提升“肇就业”品牌影响力，2026年开展不低于200场招聘活动。</w:t>
      </w:r>
      <w:r>
        <w:rPr>
          <w:rFonts w:hint="default" w:ascii="Times New Roman" w:hAnsi="Times New Roman" w:eastAsia="黑体" w:cs="Times New Roman"/>
        </w:rPr>
        <w:t>（市人力资源社会保障局）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10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持续推进院校教学与产业需求深度融合，引导院校与企业开设“订单班”，2026年中职院校开设“订单班”不少于50个、技工院校开设“订单班”不少于5个，为企业培养技能人才3000人以上。扩大职业技能培训规模，推行项目制培训模式，精准培养市场急需、企业急用的技能人才，2026年开展职业技能培训5000人次以上。</w:t>
      </w:r>
      <w:r>
        <w:rPr>
          <w:rFonts w:hint="default" w:ascii="Times New Roman" w:hAnsi="Times New Roman" w:eastAsia="黑体" w:cs="Times New Roman"/>
        </w:rPr>
        <w:t>（市教育局、市人力资源社会保障局按职责分工负责）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11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进一步加强管道燃气基础设施建设，管道燃气普及率达72%以上，强化燃气行业监管，规范行业秩序。完善城镇管道燃气价格联动机制，促进管道燃气终端销售价格灵敏反</w:t>
      </w:r>
      <w:r>
        <w:rPr>
          <w:rFonts w:hint="default" w:ascii="Times New Roman" w:hAnsi="Times New Roman" w:eastAsia="方正仿宋简体" w:cs="Times New Roman"/>
          <w:spacing w:val="-11"/>
          <w:sz w:val="32"/>
          <w:szCs w:val="30"/>
        </w:rPr>
        <w:t>映市场供需变化。</w:t>
      </w:r>
      <w:r>
        <w:rPr>
          <w:rFonts w:hint="default" w:ascii="Times New Roman" w:hAnsi="Times New Roman" w:eastAsia="黑体" w:cs="Times New Roman"/>
          <w:spacing w:val="-11"/>
          <w:sz w:val="32"/>
        </w:rPr>
        <w:t>（市城管局、市发展改革局按职责分工负责）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12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推动“契约接电”服务，多方约定电缆管廊（沟）土建交付时间和架空线路走廊用地交付时间，进一步提升储备土地配套电力设施建设效率。落实红线外“零投资”政策。加大电网基础设施投资，进一步减少平均停电时间和频率，2026年全市平均停电时间（剔除重大事件日）下降至2.61小时/户以下，平均停电频率（剔除重大事件日）下降至0.86次/户以下。</w:t>
      </w:r>
      <w:r>
        <w:rPr>
          <w:rFonts w:hint="default" w:ascii="Times New Roman" w:hAnsi="Times New Roman" w:eastAsia="黑体" w:cs="Times New Roman"/>
        </w:rPr>
        <w:t>（广东电网公司肇庆供电局）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13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深化“四帮四找”服务机制（帮企业找政策、帮企业找资金、帮企业找平台、帮企业找市场），支持敢闯敢干的企业发展壮大。</w:t>
      </w:r>
      <w:r>
        <w:rPr>
          <w:rFonts w:hint="default" w:ascii="Times New Roman" w:hAnsi="Times New Roman" w:eastAsia="黑体" w:cs="Times New Roman"/>
        </w:rPr>
        <w:t>（市工业和信息化局）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14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出台推动服务业发展政策，打造制造业与服务业协同发展线上平台，推动制造业与服务业协同发展。</w:t>
      </w:r>
      <w:r>
        <w:rPr>
          <w:rFonts w:hint="default" w:ascii="Times New Roman" w:hAnsi="Times New Roman" w:eastAsia="黑体" w:cs="Times New Roman"/>
        </w:rPr>
        <w:t>（市发展改革局牵头，市各有关行业主管部门配合）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15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聚焦“三新一电”领域（新能源汽车及汽车零部件产业、新型储能与绿色能源产业、新材料产业和新一代电子信息技术产业），推动企业“协同互利”共赢，产业“链式联动”发展，降低产业链企业系统性成本。发挥肇庆资源禀赋和产业优势，为新技术、新产品、新业态等提供应用场景，最大限度为技术创新和市场探索“松绑”。</w:t>
      </w:r>
      <w:r>
        <w:rPr>
          <w:rFonts w:hint="default" w:ascii="Times New Roman" w:hAnsi="Times New Roman" w:eastAsia="黑体" w:cs="Times New Roman"/>
        </w:rPr>
        <w:t>（市发展改革局、市科技局、市工业和信息化局、市政务和数据局按职责分工负责）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二、优化法治化一流营商环境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16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全面推行“亮码入企”制度，执法人员入企检查须出示行政执法二维码，企业可随时追溯检查内容及执法人员信息，构建“亮证即亮码、亮码即定位、定位即监督”机制，切实保障企业合法权益。深化应用“亮码入企”，拓宽大数据分析功能，以“政府赋码、执法亮码、企业扫码”，实现对涉企行政检查全过程监督。</w:t>
      </w:r>
      <w:r>
        <w:rPr>
          <w:rFonts w:hint="default" w:ascii="Times New Roman" w:hAnsi="Times New Roman" w:eastAsia="黑体" w:cs="Times New Roman"/>
        </w:rPr>
        <w:t>（市司法局牵头，市直有关行政执法部门配合）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17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持续推动落实非现场执法、行政执法减免责清单制度等包容审慎监管执法方式，动态调整涉企“综合查一次”事项清单，清单事项数同比增加15%以上。</w:t>
      </w:r>
      <w:r>
        <w:rPr>
          <w:rFonts w:hint="default" w:ascii="Times New Roman" w:hAnsi="Times New Roman" w:eastAsia="黑体" w:cs="Times New Roman"/>
        </w:rPr>
        <w:t>（市司法局</w:t>
      </w:r>
      <w:r>
        <w:rPr>
          <w:rFonts w:hint="default" w:ascii="Times New Roman" w:hAnsi="Times New Roman" w:eastAsia="黑体" w:cs="Times New Roman"/>
        </w:rPr>
        <w:t>牵头</w:t>
      </w:r>
      <w:r>
        <w:rPr>
          <w:rFonts w:hint="default" w:ascii="Times New Roman" w:hAnsi="Times New Roman" w:eastAsia="黑体" w:cs="Times New Roman"/>
        </w:rPr>
        <w:t>，市直有关行政执法部门配合）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18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优化安全生产监管方式，利用“专家帮扶+科技赋能”模式，对非煤矿山、危化品、金属冶炼等重点企业开展“一对一”安全会诊，并加强“线上巡查+线下处置”工作衔接。加强年度安全生产监督检查计划的统筹管理，推动安全检查、消防检查、环保检查等由“多头查”转为“联合查”，提升综合监管效能。</w:t>
      </w:r>
      <w:r>
        <w:rPr>
          <w:rFonts w:hint="default" w:ascii="Times New Roman" w:hAnsi="Times New Roman" w:eastAsia="黑体" w:cs="Times New Roman"/>
        </w:rPr>
        <w:t>（市应急管理局）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19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在市场监管领域推行“信用+双随机”融合监管，实现智慧监管。强化“双随机、一公开”监管，2026年市场监管领域“双随机、一公开”抽查计划覆盖全部抽查事项的比率达100%。</w:t>
      </w:r>
      <w:r>
        <w:rPr>
          <w:rFonts w:hint="default" w:ascii="Times New Roman" w:hAnsi="Times New Roman" w:eastAsia="黑体" w:cs="Times New Roman"/>
        </w:rPr>
        <w:t>（市市场监管局）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20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完善生态环境领域违法行为公开道歉承诺从轻处罚程序，对正面清单企业原则上采取非现场监管方式。</w:t>
      </w:r>
      <w:r>
        <w:rPr>
          <w:rFonts w:hint="default" w:ascii="Times New Roman" w:hAnsi="Times New Roman" w:eastAsia="黑体" w:cs="Times New Roman"/>
        </w:rPr>
        <w:t>（市生态环境局）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21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强化“法治体检”服务，帮助企业合法合规经营。拓宽行政复议申请渠道，落实“容缺受理”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zCs w:val="30"/>
        </w:rPr>
        <w:t>“快审快办”办理机制。强化行政复议个案监督，坚决纠正侵犯企业合法权益的违法或者不当行政行为，加强行政复议与行政执法监督衔接，推动执法问题整改与类案规范。</w:t>
      </w:r>
      <w:r>
        <w:rPr>
          <w:rFonts w:hint="default" w:ascii="Times New Roman" w:hAnsi="Times New Roman" w:eastAsia="黑体" w:cs="Times New Roman"/>
        </w:rPr>
        <w:t>（市司法局）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22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健全执法监督体系，完善涉企刑事案件全流程监督机制，坚决防止以刑事手段干预经济纠纷，依法审慎采取查封、扣押、冻结等强制措施，保障企业正常经营秩序。推动经济犯罪案件接报案中心向县级延伸覆盖，提升涉企案件办理质效。</w:t>
      </w:r>
      <w:r>
        <w:rPr>
          <w:rFonts w:hint="default" w:ascii="Times New Roman" w:hAnsi="Times New Roman" w:eastAsia="黑体" w:cs="Times New Roman"/>
        </w:rPr>
        <w:t>（市公安局）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23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提升劳动人事争议处理质效，2026年劳动人事争议调解成功率达75%以上，劳动人事争议仲裁结案率达95%以上、终结率达70%以上，劳动保障监察举报投诉结案率达98%以上。</w:t>
      </w:r>
      <w:r>
        <w:rPr>
          <w:rFonts w:hint="default" w:ascii="Times New Roman" w:hAnsi="Times New Roman" w:eastAsia="黑体" w:cs="Times New Roman"/>
        </w:rPr>
        <w:t>（市人力资源社会保障局）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  <w:spacing w:val="-5"/>
          <w:sz w:val="32"/>
        </w:rPr>
      </w:pPr>
      <w:r>
        <w:rPr>
          <w:rFonts w:hint="default" w:ascii="Times New Roman" w:hAnsi="Times New Roman" w:eastAsia="方正仿宋简体" w:cs="Times New Roman"/>
          <w:szCs w:val="30"/>
        </w:rPr>
        <w:t>24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持续深化全过程调解工作，全面推广电子卷宗应用，优化执行团队架构，一审民商事案件从立案到结案平均用时（不含涉外、涉港澳台案件）缩短至80个自然日以内，首执案件结案平均用时、执行完毕率均优于全省平均水平。</w:t>
      </w:r>
      <w:r>
        <w:rPr>
          <w:rFonts w:hint="default" w:ascii="Times New Roman" w:hAnsi="Times New Roman" w:eastAsia="黑体" w:cs="Times New Roman"/>
          <w:spacing w:val="5"/>
          <w:sz w:val="32"/>
        </w:rPr>
        <w:t>（市法</w:t>
      </w:r>
      <w:r>
        <w:rPr>
          <w:rFonts w:hint="default" w:ascii="Times New Roman" w:hAnsi="Times New Roman" w:eastAsia="黑体" w:cs="Times New Roman"/>
          <w:spacing w:val="-5"/>
          <w:sz w:val="32"/>
        </w:rPr>
        <w:t>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25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构建破产案件繁简分流审理机制，出台《肇庆市中级人民法院关于推进破产案件快速审理的工作指引》，实现繁案精办、简案快审。优化对破产案件管理人的监督和奖惩措施，激发破产案件管理人积极性。压实长期未结案件清案责任，2026年实现3年以上长期未结案件清零。</w:t>
      </w:r>
      <w:r>
        <w:rPr>
          <w:rFonts w:hint="default" w:ascii="Times New Roman" w:hAnsi="Times New Roman" w:eastAsia="黑体" w:cs="Times New Roman"/>
        </w:rPr>
        <w:t>（市法院）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26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推动知识产权纠纷“一站式”解决，2026年知识产权民事一审案件服判息诉率达96%以上，专利侵权纠纷行政裁决案件结案率达80%以上。</w:t>
      </w:r>
      <w:r>
        <w:rPr>
          <w:rFonts w:hint="default" w:ascii="Times New Roman" w:hAnsi="Times New Roman" w:eastAsia="黑体" w:cs="Times New Roman"/>
        </w:rPr>
        <w:t>（市法院、市市场监管局按职责分工负责）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27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推动纪检监督“线上+线下”全域覆盖，推广“营商环境监测点”，拓宽线索收集渠道。运用大数据信息化手段赋能公权力监督，探索推广“数字廉”监督平台经验做法，最大限度减少权力寻租空间。纵深推进涉企执法专项监督工作，完善机制体制，做好“后半篇文章”。</w:t>
      </w:r>
      <w:r>
        <w:rPr>
          <w:rFonts w:hint="default" w:ascii="Times New Roman" w:hAnsi="Times New Roman" w:eastAsia="黑体" w:cs="Times New Roman"/>
        </w:rPr>
        <w:t>（市纪委监委机关）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三、优化国际化一流营商环境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28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启动大旺跨境电商国际货站二期建设，探索建设全球跨境电商集散分拨中心，高标准建设中国（肇庆）跨境电子商务综合试验区。</w:t>
      </w:r>
      <w:r>
        <w:rPr>
          <w:rFonts w:hint="default" w:ascii="Times New Roman" w:hAnsi="Times New Roman" w:eastAsia="黑体" w:cs="Times New Roman"/>
        </w:rPr>
        <w:t>（市商务局）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29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有序推进口岸查验基础设施设备智能化改造，加快H986大型查验设备的安装进度，有效提升口岸通关效率，持续免除查验</w:t>
      </w:r>
      <w:r>
        <w:rPr>
          <w:rFonts w:hint="default" w:ascii="Times New Roman" w:hAnsi="Times New Roman" w:eastAsia="方正仿宋简体" w:cs="Times New Roman"/>
          <w:szCs w:val="30"/>
        </w:rPr>
        <w:t>无</w:t>
      </w:r>
      <w:r>
        <w:rPr>
          <w:rFonts w:hint="default" w:ascii="Times New Roman" w:hAnsi="Times New Roman" w:eastAsia="方正仿宋简体" w:cs="Times New Roman"/>
          <w:szCs w:val="30"/>
        </w:rPr>
        <w:t>问题外贸企业吊装移位仓储费用，降低外贸企业通关物流成本。</w:t>
      </w:r>
      <w:r>
        <w:rPr>
          <w:rFonts w:hint="default" w:ascii="Times New Roman" w:hAnsi="Times New Roman" w:eastAsia="黑体" w:cs="Times New Roman"/>
        </w:rPr>
        <w:t>（市商务局，肇庆海关、肇庆出入境边防检查站、肇庆海事局按职责分工负责）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30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持续加大海关AEO（经认证的经营者）企业培育力度，2026年新增通过认证企业不少于2家。</w:t>
      </w:r>
      <w:r>
        <w:rPr>
          <w:rFonts w:hint="default" w:ascii="Times New Roman" w:hAnsi="Times New Roman" w:eastAsia="黑体" w:cs="Times New Roman"/>
        </w:rPr>
        <w:t>（肇庆海关）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31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引导企业用好“粤贸全球”、“粤贸全国”以及广交会、进博会、全球智能机械与电子产品博览会等展会平台开拓国际市场。加强出口风险保障，扩大出口信用保险覆盖面，降低企业出口风险。</w:t>
      </w:r>
      <w:r>
        <w:rPr>
          <w:rFonts w:hint="default" w:ascii="Times New Roman" w:hAnsi="Times New Roman" w:eastAsia="黑体" w:cs="Times New Roman"/>
        </w:rPr>
        <w:t>（市商务局）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32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深入实施“湾区认证”，巩固现有“湾区认证”成果，拓展“湾区认证”采信应用场景，2026年积极探索将“湾区认证”标准应用于五金制品、养老护理等领域。</w:t>
      </w:r>
      <w:r>
        <w:rPr>
          <w:rFonts w:hint="default" w:ascii="Times New Roman" w:hAnsi="Times New Roman" w:eastAsia="黑体" w:cs="Times New Roman"/>
          <w:spacing w:val="-5"/>
          <w:sz w:val="32"/>
        </w:rPr>
        <w:t>（市市场监管局）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33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深化与港澳商事调解制度衔接，指导现有商事调解组织完成合规性登记，加强与法院协作联动。</w:t>
      </w:r>
      <w:r>
        <w:rPr>
          <w:rFonts w:hint="default" w:ascii="Times New Roman" w:hAnsi="Times New Roman" w:eastAsia="黑体" w:cs="Times New Roman"/>
        </w:rPr>
        <w:t>（市司法局）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34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建立本市外籍人才名单，提供签证证件预约办、加急办等便利服务，提升外籍人才服务水平。</w:t>
      </w:r>
      <w:r>
        <w:rPr>
          <w:rFonts w:hint="default" w:ascii="Times New Roman" w:hAnsi="Times New Roman" w:eastAsia="黑体" w:cs="Times New Roman"/>
        </w:rPr>
        <w:t>（市公安局）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35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进一步完善涉外法律服务体系，为企业提供涉外风险防范、知识产权保护、合规体系建设等综合服务，增强企业海外风险应对能力。</w:t>
      </w:r>
      <w:r>
        <w:rPr>
          <w:rFonts w:hint="default" w:ascii="Times New Roman" w:hAnsi="Times New Roman" w:eastAsia="黑体" w:cs="Times New Roman"/>
        </w:rPr>
        <w:t>（市贸促会）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36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深耕重点国际市场，拓展RCEP及“一带一路”市场，年内组织不少于1批次企业赴境外参展对接。强化海外服务网络建设，依托肇庆国际商会，指导肇庆国际商会在东盟重点国家设立其联络点或代表处。</w:t>
      </w:r>
      <w:r>
        <w:rPr>
          <w:rFonts w:hint="default" w:ascii="Times New Roman" w:hAnsi="Times New Roman" w:eastAsia="黑体" w:cs="Times New Roman"/>
        </w:rPr>
        <w:t>（市贸促会）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37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搭建高端合作对接平台，争取邀请不少于1批次港澳及东盟相关机构来肇考察，推动产业合作。</w:t>
      </w:r>
      <w:r>
        <w:rPr>
          <w:rFonts w:hint="default" w:ascii="Times New Roman" w:hAnsi="Times New Roman" w:eastAsia="黑体" w:cs="Times New Roman"/>
        </w:rPr>
        <w:t>（市贸促会）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四、优化营商“微”环境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38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按照“审批备案数量最少”要求，全面清理涉企行政审批备案事项，取消非必要、重复类事项，精简冗余环节，形成“最少”审批备案事项清单，从源头上减少企业办事成本。</w:t>
      </w:r>
      <w:r>
        <w:rPr>
          <w:rFonts w:hint="default" w:ascii="Times New Roman" w:hAnsi="Times New Roman" w:eastAsia="黑体" w:cs="Times New Roman"/>
        </w:rPr>
        <w:t>（市政务和数据局）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39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紧扣“政务服务速度最快”目标，优化涉企备案事项办理流程，压减不必要环节，提升工作人员审批效能，推动办理时限整体压缩10%以上，让企业少跑腿、快办事。</w:t>
      </w:r>
      <w:r>
        <w:rPr>
          <w:rFonts w:hint="default" w:ascii="Times New Roman" w:hAnsi="Times New Roman" w:eastAsia="黑体" w:cs="Times New Roman"/>
        </w:rPr>
        <w:t>（市政务和数据局）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40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聚焦“产业生态环境最好”导向，围绕产业项目落地全流程，统筹推动审批环节系统优化、提速增效，压缩产业项目审批用时，推动产业项目早落地、早投产。</w:t>
      </w:r>
      <w:r>
        <w:rPr>
          <w:rFonts w:hint="default" w:ascii="Times New Roman" w:hAnsi="Times New Roman" w:eastAsia="黑体" w:cs="Times New Roman"/>
        </w:rPr>
        <w:t>（市政务和数据局牵头，市自然资源局、市住房城乡建设局配合）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41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持续拓展“跨域通办”服务范围，主动对接省内外城市扩大合作范围，2026年新增20项高频事项实现“跨省通办”“省内通办”。聚焦企业全生命周期高频场景，2026年新推出20个高频“一件事”集成服务场景。</w:t>
      </w:r>
      <w:r>
        <w:rPr>
          <w:rFonts w:hint="default" w:ascii="Times New Roman" w:hAnsi="Times New Roman" w:eastAsia="黑体" w:cs="Times New Roman"/>
          <w:spacing w:val="-5"/>
          <w:sz w:val="32"/>
        </w:rPr>
        <w:t>（市政务和数据局）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42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推动公安服务事项跨警种跨部门业务协同，深化“一窗通办”改革，扩大“跨省通办”“免证办”覆盖范围。深化大型活动审批改革，推行联审联批、一次审批全市通用。</w:t>
      </w:r>
      <w:r>
        <w:rPr>
          <w:rFonts w:hint="default" w:ascii="Times New Roman" w:hAnsi="Times New Roman" w:eastAsia="黑体" w:cs="Times New Roman"/>
        </w:rPr>
        <w:t>（市公安局）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43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聚焦企业惠企政策知晓难、申报繁琐问题，出台政策兑现与政务公开实施方案，建立“政策制定—公开解读—申报兑现—跟踪问效”全链条标准化管理体系，以政务公开强化政策兑现全流程监督，切实保障惠企政策直达快享、免申即享。</w:t>
      </w:r>
      <w:r>
        <w:rPr>
          <w:rFonts w:hint="default" w:ascii="Times New Roman" w:hAnsi="Times New Roman" w:eastAsia="黑体" w:cs="Times New Roman"/>
        </w:rPr>
        <w:t>（市政务和数据局）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44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全面提升热线诉求办理效能，推动紧急求助类事项即时响应处理，咨询类事项2个工作日内办结回复，一般求助、建议事项5个工作日内办结，投诉、举报事项10个工作日内办结，争取办结满意率达95%以上。全力推进12345热线“民意满意办”与“即接即办”改革，提升涉企服务水平。</w:t>
      </w:r>
      <w:r>
        <w:rPr>
          <w:rFonts w:hint="default" w:ascii="Times New Roman" w:hAnsi="Times New Roman" w:eastAsia="黑体" w:cs="Times New Roman"/>
        </w:rPr>
        <w:t>（市政务和数据局）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45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建立市政施工事前沟通、全程公示、滚动施工机制，开工前听取商户意见并优化方案，施工中规范围蔽、预留通道、动态恢复，现场公示项目信息与联系人，变被动处置为主动服务，最大限度降低施工对商户经营影响。</w:t>
      </w:r>
      <w:r>
        <w:rPr>
          <w:rFonts w:hint="default" w:ascii="Times New Roman" w:hAnsi="Times New Roman" w:eastAsia="黑体" w:cs="Times New Roman"/>
        </w:rPr>
        <w:t>（市住房城乡建设局、市国资委、市城管局、市代建局按职责分工负责）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46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建立通信线路协同处置与快速响应机制，实行片区包干、网格运维，对基站故障、线路损坏等问题及时排查、限时处置，全程跟踪督办、闭环回访，为企业生产经营提供稳定可靠的信息化支撑。</w:t>
      </w:r>
      <w:r>
        <w:rPr>
          <w:rFonts w:hint="default" w:ascii="Times New Roman" w:hAnsi="Times New Roman" w:eastAsia="黑体" w:cs="Times New Roman"/>
        </w:rPr>
        <w:t>（市工业和信息化局、市通建办牵头，广东电网公司肇庆供电局配合）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47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聚焦商户门前停车乱、停车难问题，加强高峰期巡查执法，推行首违不罚、柔性管理，联合摸排增设临停泊位，对符合车位施划条件的区域应划尽划，科学增设免费临停泊位、限时装卸货泊位，切实改善商户经营通行条件。</w:t>
      </w:r>
      <w:r>
        <w:rPr>
          <w:rFonts w:hint="default" w:ascii="Times New Roman" w:hAnsi="Times New Roman" w:eastAsia="黑体" w:cs="Times New Roman"/>
        </w:rPr>
        <w:t>（市公安局、市城管局按职责分工负责）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48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加强教育、医疗等公共服务项目建设，优化教育和医疗资源配置，用心用情为高层次人才及其直系亲属解决“家庭小事”。加大人才公寓筹集和保障力度，让各类人才“有得住、住得好”。因地制宜发展宿舍型保障性租赁住房，2026年新增保障性租赁住房不少于700套，为企业做好配套服务。</w:t>
      </w:r>
      <w:r>
        <w:rPr>
          <w:rFonts w:hint="default" w:ascii="Times New Roman" w:hAnsi="Times New Roman" w:eastAsia="黑体" w:cs="Times New Roman"/>
        </w:rPr>
        <w:t>（市教育局、市卫生健康局、市住房城乡建设局按职责分工负责）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49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优化商业布局，推进核心商圈提质升级，完善农村商业网络，推动城乡商业深度融合，为商户提供良好商业氛围。推动文体商旅深度融合发展，放大赛事、演唱会等活动溢出效应，引导商圈和头部商家联动举办促销活动，激发“票根经济”活力，2026年开发文旅消费新场景不少于8个，为各类商户打造消费新场景。</w:t>
      </w:r>
      <w:r>
        <w:rPr>
          <w:rFonts w:hint="default" w:ascii="Times New Roman" w:hAnsi="Times New Roman" w:eastAsia="黑体" w:cs="Times New Roman"/>
        </w:rPr>
        <w:t>（市商务局、市文广旅体局按职责分工负责）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简体" w:cs="Times New Roman"/>
          <w:szCs w:val="30"/>
        </w:rPr>
        <w:t>50</w:t>
      </w:r>
      <w:r>
        <w:rPr>
          <w:rFonts w:hint="default" w:ascii="Times New Roman" w:hAnsi="Times New Roman" w:eastAsia="方正仿宋简体" w:cs="Times New Roman"/>
          <w:szCs w:val="30"/>
          <w:lang w:eastAsia="zh-CN"/>
        </w:rPr>
        <w:t>．</w:t>
      </w:r>
      <w:r>
        <w:rPr>
          <w:rFonts w:hint="default" w:ascii="Times New Roman" w:hAnsi="Times New Roman" w:eastAsia="方正仿宋简体" w:cs="Times New Roman"/>
          <w:szCs w:val="30"/>
        </w:rPr>
        <w:t>加大优化营商环境改革创新举措宣传力度，持续弘扬优秀企业家精神，提高企业家社会荣誉感和归属感，推动政府和企业“双向奔赴”。用心陪伴企业成长，对大小企业一视同仁，平等对待。对企业“无事不扰，有求必应”，用心解决企业诉求。</w:t>
      </w:r>
      <w:r>
        <w:rPr>
          <w:rFonts w:hint="default" w:ascii="Times New Roman" w:hAnsi="Times New Roman" w:eastAsia="黑体" w:cs="Times New Roman"/>
        </w:rPr>
        <w:t>（市委宣传部、市发展改革局、市工商联、市各有关单位按职责分工负责）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</w:rPr>
      </w:pPr>
    </w:p>
    <w:p>
      <w:pPr>
        <w:pStyle w:val="2"/>
        <w:spacing w:line="600" w:lineRule="exact"/>
        <w:rPr>
          <w:rFonts w:hint="default" w:ascii="Times New Roman" w:hAnsi="Times New Roman" w:eastAsia="方正仿宋简体" w:cs="Times New Roman"/>
        </w:rPr>
      </w:pPr>
    </w:p>
    <w:p>
      <w:pPr>
        <w:pStyle w:val="3"/>
        <w:spacing w:line="600" w:lineRule="exact"/>
        <w:rPr>
          <w:rFonts w:hint="default" w:ascii="Times New Roman" w:hAnsi="Times New Roman" w:eastAsia="方正仿宋简体" w:cs="Times New Roman"/>
        </w:rPr>
      </w:pPr>
    </w:p>
    <w:p>
      <w:pPr>
        <w:pStyle w:val="5"/>
        <w:spacing w:line="600" w:lineRule="exact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985" w:right="1531" w:bottom="1928" w:left="1531" w:header="851" w:footer="1531" w:gutter="0"/>
      <w:cols w:space="720" w:num="1"/>
      <w:docGrid w:type="linesAndChars" w:linePitch="587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EU-BZ-S92">
    <w:altName w:val="Noto Serif CJK JP"/>
    <w:panose1 w:val="02020503000000020003"/>
    <w:charset w:val="86"/>
    <w:family w:val="auto"/>
    <w:pitch w:val="default"/>
    <w:sig w:usb0="00000000" w:usb1="00000000" w:usb2="05000016" w:usb3="00000000" w:csb0="003E0001" w:csb1="00000000"/>
  </w:font>
  <w:font w:name="方正仿宋简体">
    <w:altName w:val="方正仿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erif CJK JP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="1588" w:wrap="around" w:vAnchor="text" w:hAnchor="margin" w:xAlign="outside" w:y="1"/>
      <w:jc w:val="center"/>
      <w:rPr>
        <w:rStyle w:val="14"/>
        <w:rFonts w:hint="eastAsia"/>
        <w:sz w:val="28"/>
        <w:szCs w:val="28"/>
      </w:rPr>
    </w:pPr>
    <w:r>
      <w:rPr>
        <w:rStyle w:val="14"/>
        <w:rFonts w:hint="eastAsia"/>
        <w:sz w:val="28"/>
        <w:szCs w:val="28"/>
      </w:rPr>
      <w:t xml:space="preserve">— </w:t>
    </w:r>
    <w:r>
      <w:rPr>
        <w:rStyle w:val="14"/>
        <w:rFonts w:ascii="宋体" w:hAnsi="宋体" w:eastAsia="宋体"/>
        <w:sz w:val="28"/>
        <w:szCs w:val="28"/>
      </w:rPr>
      <w:fldChar w:fldCharType="begin"/>
    </w:r>
    <w:r>
      <w:rPr>
        <w:rStyle w:val="14"/>
        <w:rFonts w:ascii="宋体" w:hAnsi="宋体" w:eastAsia="宋体"/>
        <w:sz w:val="28"/>
        <w:szCs w:val="28"/>
      </w:rPr>
      <w:instrText xml:space="preserve">PAGE  </w:instrText>
    </w:r>
    <w:r>
      <w:rPr>
        <w:rStyle w:val="14"/>
        <w:rFonts w:ascii="宋体" w:hAnsi="宋体" w:eastAsia="宋体"/>
        <w:sz w:val="28"/>
        <w:szCs w:val="28"/>
      </w:rPr>
      <w:fldChar w:fldCharType="separate"/>
    </w:r>
    <w:r>
      <w:rPr>
        <w:rStyle w:val="14"/>
        <w:rFonts w:ascii="宋体" w:hAnsi="宋体" w:eastAsia="宋体"/>
        <w:sz w:val="28"/>
        <w:szCs w:val="28"/>
      </w:rPr>
      <w:t>1</w:t>
    </w:r>
    <w:r>
      <w:rPr>
        <w:rStyle w:val="14"/>
        <w:rFonts w:ascii="宋体" w:hAnsi="宋体" w:eastAsia="宋体"/>
        <w:sz w:val="28"/>
        <w:szCs w:val="28"/>
      </w:rPr>
      <w:fldChar w:fldCharType="end"/>
    </w:r>
    <w:r>
      <w:rPr>
        <w:rStyle w:val="14"/>
        <w:rFonts w:hint="eastAsia"/>
        <w:sz w:val="28"/>
        <w:szCs w:val="28"/>
      </w:rPr>
      <w:t xml:space="preserve"> —</w:t>
    </w: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trackRevisions w:val="1"/>
  <w:documentProtection w:enforcement="0"/>
  <w:defaultTabStop w:val="421"/>
  <w:hyphenationZone w:val="360"/>
  <w:drawingGridHorizontalSpacing w:val="170"/>
  <w:drawingGridVerticalSpacing w:val="587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E48"/>
    <w:rsid w:val="00004EB0"/>
    <w:rsid w:val="00034BF4"/>
    <w:rsid w:val="00062EEE"/>
    <w:rsid w:val="00070C8C"/>
    <w:rsid w:val="000B2B9A"/>
    <w:rsid w:val="000C181D"/>
    <w:rsid w:val="00180B14"/>
    <w:rsid w:val="0018473E"/>
    <w:rsid w:val="001C6D07"/>
    <w:rsid w:val="001D4F2C"/>
    <w:rsid w:val="002118D9"/>
    <w:rsid w:val="00214C67"/>
    <w:rsid w:val="00224111"/>
    <w:rsid w:val="0022617F"/>
    <w:rsid w:val="00253994"/>
    <w:rsid w:val="002549E8"/>
    <w:rsid w:val="00255937"/>
    <w:rsid w:val="002715F2"/>
    <w:rsid w:val="00285ED5"/>
    <w:rsid w:val="002D0987"/>
    <w:rsid w:val="00322C4F"/>
    <w:rsid w:val="00325F62"/>
    <w:rsid w:val="00333E48"/>
    <w:rsid w:val="003816F7"/>
    <w:rsid w:val="00384DE4"/>
    <w:rsid w:val="003924EA"/>
    <w:rsid w:val="003A07B4"/>
    <w:rsid w:val="003E4D2A"/>
    <w:rsid w:val="00422684"/>
    <w:rsid w:val="004363DB"/>
    <w:rsid w:val="00436F1F"/>
    <w:rsid w:val="004374EB"/>
    <w:rsid w:val="00466C65"/>
    <w:rsid w:val="00482A7B"/>
    <w:rsid w:val="004C7628"/>
    <w:rsid w:val="004F32C0"/>
    <w:rsid w:val="00544EEB"/>
    <w:rsid w:val="0055663C"/>
    <w:rsid w:val="0057447F"/>
    <w:rsid w:val="005A2F0C"/>
    <w:rsid w:val="005B46DB"/>
    <w:rsid w:val="00610E20"/>
    <w:rsid w:val="00621EC0"/>
    <w:rsid w:val="00631AD1"/>
    <w:rsid w:val="006754F8"/>
    <w:rsid w:val="006B3737"/>
    <w:rsid w:val="006D338D"/>
    <w:rsid w:val="006E6588"/>
    <w:rsid w:val="006F7ADA"/>
    <w:rsid w:val="0071686E"/>
    <w:rsid w:val="007474D5"/>
    <w:rsid w:val="0076710C"/>
    <w:rsid w:val="0078786E"/>
    <w:rsid w:val="007B2451"/>
    <w:rsid w:val="007E735F"/>
    <w:rsid w:val="00891004"/>
    <w:rsid w:val="0089173D"/>
    <w:rsid w:val="008E343B"/>
    <w:rsid w:val="008E423D"/>
    <w:rsid w:val="00931767"/>
    <w:rsid w:val="009701A6"/>
    <w:rsid w:val="009934EA"/>
    <w:rsid w:val="009978C2"/>
    <w:rsid w:val="009A190D"/>
    <w:rsid w:val="009B170A"/>
    <w:rsid w:val="009D0E35"/>
    <w:rsid w:val="009D505D"/>
    <w:rsid w:val="009D5E70"/>
    <w:rsid w:val="00A25859"/>
    <w:rsid w:val="00A279F5"/>
    <w:rsid w:val="00A73A3F"/>
    <w:rsid w:val="00AE2ED6"/>
    <w:rsid w:val="00AF7D41"/>
    <w:rsid w:val="00B17413"/>
    <w:rsid w:val="00B861EF"/>
    <w:rsid w:val="00B95D01"/>
    <w:rsid w:val="00B96BBA"/>
    <w:rsid w:val="00C17E0F"/>
    <w:rsid w:val="00C35A68"/>
    <w:rsid w:val="00CB7A2B"/>
    <w:rsid w:val="00D14923"/>
    <w:rsid w:val="00D40546"/>
    <w:rsid w:val="00D81EFF"/>
    <w:rsid w:val="00D82198"/>
    <w:rsid w:val="00DA18D8"/>
    <w:rsid w:val="00DC2941"/>
    <w:rsid w:val="00DC4674"/>
    <w:rsid w:val="00DC48BC"/>
    <w:rsid w:val="00DD1516"/>
    <w:rsid w:val="00DF6482"/>
    <w:rsid w:val="00E04CCB"/>
    <w:rsid w:val="00E063A6"/>
    <w:rsid w:val="00E331CA"/>
    <w:rsid w:val="00E76161"/>
    <w:rsid w:val="00EC35F4"/>
    <w:rsid w:val="00F15B39"/>
    <w:rsid w:val="00F52B6E"/>
    <w:rsid w:val="00F6223D"/>
    <w:rsid w:val="00F646F6"/>
    <w:rsid w:val="00F65ACB"/>
    <w:rsid w:val="00F778C2"/>
    <w:rsid w:val="00FF759C"/>
    <w:rsid w:val="4DBEBD9D"/>
    <w:rsid w:val="7BFF3E14"/>
    <w:rsid w:val="7FDE200C"/>
    <w:rsid w:val="7FFE4F0B"/>
    <w:rsid w:val="97A74BC0"/>
    <w:rsid w:val="B66DCD6C"/>
    <w:rsid w:val="D7B7B993"/>
    <w:rsid w:val="EEDFD270"/>
    <w:rsid w:val="F5FF401D"/>
    <w:rsid w:val="FBC36DBF"/>
    <w:rsid w:val="FCF989BF"/>
    <w:rsid w:val="FFF31ACB"/>
    <w:rsid w:val="FFFFB8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7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link w:val="13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/>
    </w:rPr>
  </w:style>
  <w:style w:type="paragraph" w:customStyle="1" w:styleId="3">
    <w:name w:val="Default"/>
    <w:basedOn w:val="4"/>
    <w:next w:val="5"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customStyle="1" w:styleId="4">
    <w:name w:val="纯文本1"/>
    <w:basedOn w:val="1"/>
    <w:qFormat/>
    <w:uiPriority w:val="0"/>
    <w:pPr>
      <w:suppressAutoHyphens/>
      <w:bidi w:val="0"/>
      <w:adjustRightInd w:val="0"/>
    </w:pPr>
    <w:rPr>
      <w:rFonts w:ascii="宋体" w:hAnsi="Courier New" w:eastAsia="宋体" w:cs="Times New Roman"/>
      <w:snapToGrid w:val="0"/>
      <w:color w:val="auto"/>
    </w:rPr>
  </w:style>
  <w:style w:type="paragraph" w:customStyle="1" w:styleId="5">
    <w:name w:val="6'"/>
    <w:next w:val="6"/>
    <w:qFormat/>
    <w:uiPriority w:val="0"/>
    <w:pPr>
      <w:widowControl w:val="0"/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rFonts w:ascii="Times New Roman" w:hAnsi="Times New Roman" w:eastAsia="仿宋_GB2312" w:cs="Times New Roman"/>
      <w:spacing w:val="20"/>
      <w:kern w:val="28"/>
      <w:sz w:val="32"/>
      <w:szCs w:val="20"/>
      <w:lang w:val="en-US" w:eastAsia="zh-CN" w:bidi="ar-SA"/>
    </w:rPr>
  </w:style>
  <w:style w:type="paragraph" w:customStyle="1" w:styleId="6">
    <w:name w:val="AOHead3"/>
    <w:next w:val="1"/>
    <w:qFormat/>
    <w:uiPriority w:val="0"/>
    <w:pPr>
      <w:widowControl/>
      <w:spacing w:line="360" w:lineRule="auto"/>
      <w:ind w:left="1260"/>
      <w:jc w:val="both"/>
      <w:outlineLvl w:val="2"/>
    </w:pPr>
    <w:rPr>
      <w:rFonts w:ascii="Times New Roman" w:hAnsi="Times New Roman" w:eastAsia="仿宋_GB2312" w:cs="Times New Roman"/>
      <w:color w:val="0000FF"/>
      <w:kern w:val="2"/>
      <w:sz w:val="24"/>
      <w:szCs w:val="32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 Char Char"/>
    <w:basedOn w:val="1"/>
    <w:link w:val="12"/>
    <w:qFormat/>
    <w:uiPriority w:val="0"/>
    <w:pPr>
      <w:tabs>
        <w:tab w:val="left" w:pos="360"/>
      </w:tabs>
      <w:spacing w:line="360" w:lineRule="auto"/>
      <w:ind w:firstLine="482"/>
    </w:pPr>
    <w:rPr>
      <w:rFonts w:eastAsia="宋体"/>
      <w:sz w:val="21"/>
      <w:szCs w:val="20"/>
    </w:rPr>
  </w:style>
  <w:style w:type="character" w:styleId="14">
    <w:name w:val="page number"/>
    <w:basedOn w:val="12"/>
    <w:qFormat/>
    <w:uiPriority w:val="0"/>
  </w:style>
  <w:style w:type="paragraph" w:customStyle="1" w:styleId="15">
    <w:name w:val="简标宋1"/>
    <w:basedOn w:val="1"/>
    <w:link w:val="16"/>
    <w:qFormat/>
    <w:uiPriority w:val="0"/>
    <w:pPr>
      <w:spacing w:line="600" w:lineRule="exact"/>
      <w:jc w:val="center"/>
    </w:pPr>
    <w:rPr>
      <w:rFonts w:ascii="创艺简标宋" w:eastAsia="创艺简标宋"/>
      <w:sz w:val="44"/>
      <w:szCs w:val="44"/>
    </w:rPr>
  </w:style>
  <w:style w:type="character" w:customStyle="1" w:styleId="16">
    <w:name w:val="简标宋1 Char"/>
    <w:link w:val="15"/>
    <w:qFormat/>
    <w:uiPriority w:val="0"/>
    <w:rPr>
      <w:rFonts w:ascii="创艺简标宋" w:eastAsia="创艺简标宋"/>
      <w:sz w:val="44"/>
      <w:szCs w:val="44"/>
    </w:rPr>
  </w:style>
  <w:style w:type="paragraph" w:customStyle="1" w:styleId="17">
    <w:name w:val="黑体1"/>
    <w:basedOn w:val="1"/>
    <w:link w:val="18"/>
    <w:qFormat/>
    <w:uiPriority w:val="0"/>
    <w:rPr>
      <w:rFonts w:ascii="黑体" w:hAnsi="黑体" w:eastAsia="黑体"/>
    </w:rPr>
  </w:style>
  <w:style w:type="character" w:customStyle="1" w:styleId="18">
    <w:name w:val="黑体1 Char"/>
    <w:link w:val="17"/>
    <w:qFormat/>
    <w:uiPriority w:val="0"/>
    <w:rPr>
      <w:rFonts w:ascii="黑体" w:hAnsi="黑体" w:eastAsia="黑体"/>
      <w:sz w:val="32"/>
      <w:szCs w:val="30"/>
    </w:rPr>
  </w:style>
  <w:style w:type="paragraph" w:customStyle="1" w:styleId="19">
    <w:name w:val="楷体1"/>
    <w:basedOn w:val="1"/>
    <w:link w:val="20"/>
    <w:qFormat/>
    <w:uiPriority w:val="0"/>
    <w:rPr>
      <w:rFonts w:ascii="楷体_GB2312" w:eastAsia="楷体_GB2312"/>
    </w:rPr>
  </w:style>
  <w:style w:type="character" w:customStyle="1" w:styleId="20">
    <w:name w:val="楷体1 Char"/>
    <w:link w:val="19"/>
    <w:qFormat/>
    <w:uiPriority w:val="0"/>
    <w:rPr>
      <w:rFonts w:ascii="楷体_GB2312" w:eastAsia="楷体_GB2312"/>
      <w:sz w:val="32"/>
      <w:szCs w:val="30"/>
    </w:rPr>
  </w:style>
  <w:style w:type="paragraph" w:customStyle="1" w:styleId="21">
    <w:name w:val="简标宋小标题1"/>
    <w:basedOn w:val="1"/>
    <w:link w:val="22"/>
    <w:qFormat/>
    <w:uiPriority w:val="0"/>
    <w:pPr>
      <w:jc w:val="center"/>
    </w:pPr>
    <w:rPr>
      <w:rFonts w:ascii="创艺简标宋" w:eastAsia="创艺简标宋"/>
      <w:sz w:val="40"/>
      <w:szCs w:val="40"/>
    </w:rPr>
  </w:style>
  <w:style w:type="character" w:customStyle="1" w:styleId="22">
    <w:name w:val="简标宋小标题1 Char"/>
    <w:link w:val="21"/>
    <w:qFormat/>
    <w:uiPriority w:val="0"/>
    <w:rPr>
      <w:rFonts w:ascii="创艺简标宋" w:eastAsia="创艺简标宋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C:\Documents%20and%20Settings\Administrator\Application%20Data\Microsoft\Templates\2012&#24180;A4&#25991;&#20214;&#29256;&#24515;(3F,22.26)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2012年A4文件版心(3F,22.26)</Template>
  <Company>MC SYSTEM</Company>
  <Pages>30</Pages>
  <Words>4</Words>
  <Characters>28</Characters>
  <Lines>1</Lines>
  <Paragraphs>1</Paragraphs>
  <TotalTime>179</TotalTime>
  <ScaleCrop>false</ScaleCrop>
  <LinksUpToDate>false</LinksUpToDate>
  <CharactersWithSpaces>31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2012-01-19T02:56:00Z</dcterms:created>
  <dc:creator>xndj</dc:creator>
  <cp:lastModifiedBy>fgj</cp:lastModifiedBy>
  <cp:lastPrinted>2026-08-03T17:56:00Z</cp:lastPrinted>
  <dcterms:modified xsi:type="dcterms:W3CDTF">2026-08-10T10:57:23Z</dcterms:modified>
  <dc:title> 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  <property fmtid="{D5CDD505-2E9C-101B-9397-08002B2CF9AE}" pid="3" name="ICV">
    <vt:lpwstr>C839541F2CDCBD348F196C6A9C972E64</vt:lpwstr>
  </property>
</Properties>
</file>