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  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河南省绿色制造公共服务平台建设方案</w:t>
      </w:r>
      <w:r>
        <w:rPr>
          <w:rFonts w:hint="eastAsia" w:ascii="黑体" w:hAnsi="黑体" w:eastAsia="黑体" w:cs="黑体"/>
          <w:sz w:val="32"/>
          <w:szCs w:val="32"/>
        </w:rPr>
        <w:t>编写提纲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bookmarkStart w:id="0" w:name="_Toc7336_WPSOffice_Level2"/>
      <w:bookmarkStart w:id="1" w:name="_Toc13469_WPSOffice_Level2"/>
      <w:bookmarkStart w:id="2" w:name="_Toc2551_WPSOffice_Level2"/>
      <w:bookmarkStart w:id="3" w:name="_Toc11319_WPSOffice_Level2"/>
      <w:bookmarkStart w:id="4" w:name="_Toc23825_WPSOffice_Level2"/>
      <w:bookmarkStart w:id="5" w:name="_Toc28369_WPSOffice_Level2"/>
      <w:bookmarkStart w:id="6" w:name="_Toc5027_WPSOffice_Level2"/>
      <w:bookmarkStart w:id="7" w:name="_Toc6953_WPSOffice_Level2"/>
      <w:r>
        <w:rPr>
          <w:rFonts w:hint="eastAsia" w:ascii="黑体" w:hAnsi="黑体" w:eastAsia="黑体" w:cs="黑体"/>
          <w:sz w:val="32"/>
          <w:szCs w:val="32"/>
        </w:rPr>
        <w:t>一、平台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hint="eastAsia" w:ascii="黑体" w:hAnsi="黑体" w:eastAsia="黑体" w:cs="黑体"/>
          <w:sz w:val="32"/>
          <w:szCs w:val="32"/>
        </w:rPr>
        <w:t>建设背景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平台建设的必要性和重要性，以及相关背景情况。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default" w:ascii="黑体" w:hAnsi="黑体" w:eastAsia="黑体" w:cs="黑体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default" w:ascii="黑体" w:hAnsi="黑体" w:eastAsia="黑体" w:cs="黑体"/>
          <w:sz w:val="32"/>
          <w:szCs w:val="32"/>
        </w:rPr>
        <w:t>、平台基本情况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平台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服务功能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软硬件设施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、服务人才的数量、层次、结构及培训情况，与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行业或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内的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相关机构（如联盟、区域组织、商会、科研院所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企业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和高校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等）的合作关系和交流情况，对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行业或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区域资源整合、推广、辐射及带动服务的能力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已开展的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促进制造业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绿色低碳转型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的相关服务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default" w:ascii="黑体" w:hAnsi="黑体" w:eastAsia="黑体" w:cs="黑体"/>
          <w:sz w:val="32"/>
          <w:szCs w:val="32"/>
        </w:rPr>
        <w:t>、平台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的功能定位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包括但不限于平台的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功能设计、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服务方向和模式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、预期可实现目标、预期成效等内容。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default" w:ascii="黑体" w:hAnsi="黑体" w:eastAsia="黑体" w:cs="黑体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default" w:ascii="黑体" w:hAnsi="黑体" w:eastAsia="黑体" w:cs="黑体"/>
          <w:sz w:val="32"/>
          <w:szCs w:val="32"/>
        </w:rPr>
        <w:t>、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平台</w:t>
      </w:r>
      <w:r>
        <w:rPr>
          <w:rFonts w:hint="default" w:ascii="黑体" w:hAnsi="黑体" w:eastAsia="黑体" w:cs="黑体"/>
          <w:sz w:val="32"/>
          <w:szCs w:val="32"/>
        </w:rPr>
        <w:t>建成后的管理与运营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包括但不限于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服务平台的市场化运营模式和服务质量保证措施等管理运行机制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8" w:name="_Toc9463_WPSOffice_Level2"/>
      <w:bookmarkStart w:id="9" w:name="_Toc4257_WPSOffice_Level2"/>
      <w:bookmarkStart w:id="10" w:name="_Toc5015_WPSOffice_Level2"/>
      <w:bookmarkStart w:id="11" w:name="_Toc25280_WPSOffice_Level2"/>
      <w:bookmarkStart w:id="12" w:name="_Toc18280_WPSOffice_Level2"/>
      <w:bookmarkStart w:id="13" w:name="_Toc8861_WPSOffice_Level2"/>
      <w:bookmarkStart w:id="14" w:name="_Toc10000_WPSOffice_Level2"/>
      <w:bookmarkStart w:id="15" w:name="_Toc31205_WPSOffice_Level2"/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default" w:ascii="黑体" w:hAnsi="黑体" w:eastAsia="黑体" w:cs="黑体"/>
          <w:sz w:val="32"/>
          <w:szCs w:val="32"/>
        </w:rPr>
        <w:t>、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下步工作计划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平台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发展目标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重点工作计划等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60" w:lineRule="exact"/>
        <w:ind w:left="0" w:leftChars="0" w:firstLine="0" w:firstLineChars="0"/>
        <w:rPr>
          <w:rFonts w:hint="eastAsia" w:ascii="Times New Roman" w:hAnsi="Times New Roman" w:eastAsia="仿宋" w:cs="Times New Roman"/>
          <w:sz w:val="32"/>
          <w:lang w:val="en-US" w:eastAsia="zh-CN"/>
        </w:rPr>
      </w:pPr>
      <w:bookmarkStart w:id="16" w:name="title"/>
      <w:bookmarkEnd w:id="16"/>
      <w:bookmarkStart w:id="17" w:name="fwWord"/>
      <w:bookmarkEnd w:id="17"/>
      <w:bookmarkStart w:id="18" w:name="writtenDate"/>
      <w:bookmarkEnd w:id="18"/>
    </w:p>
    <w:p>
      <w:bookmarkStart w:id="19" w:name="_GoBack"/>
      <w:bookmarkEnd w:id="19"/>
    </w:p>
    <w:sectPr>
      <w:footerReference r:id="rId3" w:type="default"/>
      <w:pgSz w:w="11906" w:h="16838"/>
      <w:pgMar w:top="1417" w:right="1418" w:bottom="1417" w:left="1418" w:header="1020" w:footer="1304" w:gutter="0"/>
      <w:pgNumType w:start="2"/>
      <w:cols w:space="0" w:num="1"/>
      <w:rtlGutter w:val="0"/>
      <w:docGrid w:type="lines" w:linePitch="4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rap="around" w:vAnchor="text" w:hAnchor="margin" w:xAlign="outside" w:y="1"/>
      <w:widowControl w:val="0"/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  <w:rPr>
        <w:rFonts w:hint="default" w:ascii="Times New Roman" w:hAnsi="Times New Roman" w:eastAsia="宋体" w:cs="Times New Roman"/>
        <w:kern w:val="2"/>
        <w:sz w:val="28"/>
        <w:szCs w:val="28"/>
        <w:lang w:val="en-US" w:eastAsia="zh-CN" w:bidi="ar-SA"/>
      </w:rPr>
    </w:pPr>
    <w:r>
      <w:rPr>
        <w:rFonts w:hint="default" w:ascii="Times New Roman" w:hAnsi="Times New Roman" w:eastAsia="宋体" w:cs="Times New Roman"/>
        <w:kern w:val="2"/>
        <w:sz w:val="28"/>
        <w:szCs w:val="28"/>
        <w:lang w:val="en-US" w:eastAsia="zh-CN" w:bidi="ar-SA"/>
      </w:rPr>
      <w:t xml:space="preserve">— </w:t>
    </w:r>
    <w:r>
      <w:rPr>
        <w:rFonts w:hint="default" w:ascii="Times New Roman" w:hAnsi="Times New Roman" w:eastAsia="宋体" w:cs="Times New Roman"/>
        <w:kern w:val="2"/>
        <w:sz w:val="28"/>
        <w:szCs w:val="28"/>
        <w:lang w:val="en-US" w:eastAsia="zh-CN" w:bidi="ar-SA"/>
      </w:rPr>
      <w:fldChar w:fldCharType="begin"/>
    </w:r>
    <w:r>
      <w:rPr>
        <w:rFonts w:hint="default" w:ascii="Times New Roman" w:hAnsi="Times New Roman" w:eastAsia="宋体" w:cs="Times New Roman"/>
        <w:kern w:val="2"/>
        <w:sz w:val="28"/>
        <w:szCs w:val="28"/>
        <w:lang w:val="en-US" w:eastAsia="zh-CN" w:bidi="ar-SA"/>
      </w:rPr>
      <w:instrText xml:space="preserve">PAGE  </w:instrText>
    </w:r>
    <w:r>
      <w:rPr>
        <w:rFonts w:hint="default" w:ascii="Times New Roman" w:hAnsi="Times New Roman" w:eastAsia="宋体" w:cs="Times New Roman"/>
        <w:kern w:val="2"/>
        <w:sz w:val="28"/>
        <w:szCs w:val="28"/>
        <w:lang w:val="en-US" w:eastAsia="zh-CN" w:bidi="ar-SA"/>
      </w:rPr>
      <w:fldChar w:fldCharType="separate"/>
    </w:r>
    <w:r>
      <w:rPr>
        <w:rFonts w:hint="default" w:ascii="Times New Roman" w:hAnsi="Times New Roman" w:eastAsia="宋体" w:cs="Times New Roman"/>
        <w:kern w:val="2"/>
        <w:sz w:val="28"/>
        <w:szCs w:val="28"/>
        <w:lang w:val="en-US" w:eastAsia="zh-CN" w:bidi="ar-SA"/>
      </w:rPr>
      <w:t>2</w:t>
    </w:r>
    <w:r>
      <w:rPr>
        <w:rFonts w:hint="default" w:ascii="Times New Roman" w:hAnsi="Times New Roman" w:eastAsia="宋体" w:cs="Times New Roman"/>
        <w:kern w:val="2"/>
        <w:sz w:val="28"/>
        <w:szCs w:val="28"/>
        <w:lang w:val="en-US" w:eastAsia="zh-CN" w:bidi="ar-SA"/>
      </w:rPr>
      <w:fldChar w:fldCharType="end"/>
    </w:r>
    <w:r>
      <w:rPr>
        <w:rFonts w:hint="default" w:ascii="Times New Roman" w:hAnsi="Times New Roman" w:eastAsia="宋体" w:cs="Times New Roman"/>
        <w:kern w:val="2"/>
        <w:sz w:val="28"/>
        <w:szCs w:val="28"/>
        <w:lang w:val="en-US" w:eastAsia="zh-CN" w:bidi="ar-SA"/>
      </w:rPr>
      <w:t xml:space="preserve"> —</w:t>
    </w:r>
  </w:p>
  <w:p>
    <w:pPr>
      <w:widowControl w:val="0"/>
      <w:tabs>
        <w:tab w:val="center" w:pos="4153"/>
        <w:tab w:val="right" w:pos="8306"/>
      </w:tabs>
      <w:snapToGrid w:val="0"/>
      <w:spacing w:line="240" w:lineRule="auto"/>
      <w:ind w:right="360" w:firstLine="360" w:firstLineChars="0"/>
      <w:jc w:val="left"/>
      <w:rPr>
        <w:rFonts w:hint="default" w:ascii="Times New Roman" w:hAnsi="Times New Roman" w:eastAsia="宋体" w:cs="Times New Roman"/>
        <w:kern w:val="2"/>
        <w:sz w:val="28"/>
        <w:szCs w:val="2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05570A"/>
    <w:rsid w:val="190557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2024-01-29T07:14:00Z</dcterms:created>
  <dc:creator>尘夏</dc:creator>
  <cp:lastModifiedBy>尘夏</cp:lastModifiedBy>
  <dcterms:modified xsi:type="dcterms:W3CDTF">2024-01-29T07:15:24Z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