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BD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79EBB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B9F9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A56E38A">
      <w:pPr>
        <w:pStyle w:val="10"/>
        <w:widowControl/>
        <w:shd w:val="clear" w:color="auto" w:fill="FFFFFF"/>
        <w:spacing w:before="0" w:beforeAutospacing="0" w:after="0" w:afterAutospacing="0" w:line="600" w:lineRule="exact"/>
        <w:jc w:val="center"/>
        <w:rPr>
          <w:rStyle w:val="14"/>
          <w:rFonts w:ascii="Times New Roman" w:hAnsi="Times New Roman" w:eastAsia="方正小标宋简体"/>
          <w:b w:val="0"/>
          <w:bCs/>
          <w:sz w:val="44"/>
          <w:szCs w:val="44"/>
          <w:shd w:val="clear" w:color="auto" w:fill="FFFFFF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关于对《</w:t>
      </w:r>
      <w:r>
        <w:rPr>
          <w:rStyle w:val="14"/>
          <w:rFonts w:hint="eastAsia" w:ascii="Times New Roman" w:hAnsi="Times New Roman" w:eastAsia="方正小标宋简体"/>
          <w:b w:val="0"/>
          <w:bCs/>
          <w:sz w:val="44"/>
          <w:szCs w:val="44"/>
          <w:shd w:val="clear" w:color="auto" w:fill="FFFFFF"/>
        </w:rPr>
        <w:t>贵州省“人工智能+制造”实施方案</w:t>
      </w:r>
    </w:p>
    <w:p w14:paraId="73603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（征求意见稿）》公开征求意见的公告</w:t>
      </w:r>
    </w:p>
    <w:p w14:paraId="0F65D71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</w:rPr>
      </w:pPr>
    </w:p>
    <w:p w14:paraId="232997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</w:pPr>
      <w:r>
        <w:rPr>
          <w:rFonts w:hint="eastAsia" w:cs="Times New Roman"/>
          <w:lang w:val="en-US" w:eastAsia="zh-CN"/>
        </w:rPr>
        <w:t>根据</w:t>
      </w:r>
      <w:r>
        <w:rPr>
          <w:rFonts w:hint="eastAsia" w:ascii="Times New Roman" w:hAnsi="Times New Roman"/>
          <w:kern w:val="2"/>
          <w:sz w:val="32"/>
          <w:szCs w:val="32"/>
        </w:rPr>
        <w:t>国务院《关于深入实施“人工智能+”行动的意见》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（国发〔2025〕11号）以及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工业和信息化部</w:t>
      </w:r>
      <w:r>
        <w:rPr>
          <w:rFonts w:hint="eastAsia" w:ascii="Times New Roman" w:hAnsi="Times New Roman"/>
          <w:kern w:val="2"/>
          <w:sz w:val="32"/>
          <w:szCs w:val="32"/>
        </w:rPr>
        <w:t>等八部门《</w:t>
      </w:r>
      <w:bookmarkStart w:id="0" w:name="OLE_LINK6"/>
      <w:r>
        <w:rPr>
          <w:rFonts w:hint="eastAsia" w:ascii="Times New Roman" w:hAnsi="Times New Roman"/>
          <w:kern w:val="2"/>
          <w:sz w:val="32"/>
          <w:szCs w:val="32"/>
        </w:rPr>
        <w:t>“人工智能+制造”专项行动实施意见</w:t>
      </w:r>
      <w:bookmarkEnd w:id="0"/>
      <w:r>
        <w:rPr>
          <w:rFonts w:hint="eastAsia" w:ascii="Times New Roman" w:hAnsi="Times New Roman"/>
          <w:kern w:val="2"/>
          <w:sz w:val="32"/>
          <w:szCs w:val="32"/>
        </w:rPr>
        <w:t>》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（工信部联科〔2025〕279号）</w:t>
      </w:r>
      <w:r>
        <w:rPr>
          <w:rFonts w:hint="eastAsia" w:cs="Times New Roman"/>
          <w:lang w:val="en-US" w:eastAsia="zh-CN"/>
        </w:rPr>
        <w:t>有关要求，贵州省工业和信息化厅结合我省实际，起草了《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贵州省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“人工智能+制造”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实施方案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（征求意见稿）</w:t>
      </w:r>
      <w:r>
        <w:rPr>
          <w:rFonts w:hint="eastAsia" w:cs="Times New Roman"/>
          <w:lang w:val="en-US" w:eastAsia="zh-CN"/>
        </w:rPr>
        <w:t>》，现面向社会公开征求意见，公示时间：2026年4月13日—2026年5月13日。公示期间，如有意见或建议，请于2026年5月13日前书面反馈至省工业和信息化厅信息技术发展</w:t>
      </w:r>
      <w:r>
        <w:rPr>
          <w:rFonts w:hint="eastAsia" w:cs="Times New Roman"/>
          <w:lang w:eastAsia="zh-CN"/>
        </w:rPr>
        <w:t>处</w:t>
      </w:r>
      <w:r>
        <w:rPr>
          <w:rFonts w:hint="eastAsia" w:cs="Times New Roman"/>
          <w:lang w:val="en-US" w:eastAsia="zh-CN"/>
        </w:rPr>
        <w:t>。</w:t>
      </w:r>
    </w:p>
    <w:p w14:paraId="14F0BB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0" w:leftChars="200" w:hanging="960" w:hangingChars="300"/>
        <w:jc w:val="both"/>
        <w:textAlignment w:val="auto"/>
        <w:rPr>
          <w:rFonts w:hint="default" w:cs="Times New Roman"/>
          <w:lang w:val="en-US" w:eastAsia="zh-CN"/>
        </w:rPr>
      </w:pPr>
      <w:r>
        <w:rPr>
          <w:rFonts w:hint="eastAsia" w:cs="Times New Roman"/>
          <w:lang w:eastAsia="zh-CN"/>
        </w:rPr>
        <w:t>联系电话：</w:t>
      </w:r>
      <w:r>
        <w:rPr>
          <w:rFonts w:hint="eastAsia" w:cs="Times New Roman"/>
          <w:lang w:val="en-US" w:eastAsia="zh-CN"/>
        </w:rPr>
        <w:t>18917253400</w:t>
      </w:r>
    </w:p>
    <w:p w14:paraId="1C9531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0" w:leftChars="200" w:hanging="960" w:hangingChars="300"/>
        <w:jc w:val="both"/>
        <w:textAlignment w:val="auto"/>
        <w:rPr>
          <w:rFonts w:hint="eastAsia" w:cs="Times New Roman"/>
          <w:lang w:eastAsia="zh-CN"/>
        </w:rPr>
      </w:pPr>
      <w:r>
        <w:rPr>
          <w:rFonts w:hint="eastAsia" w:cs="Times New Roman"/>
          <w:lang w:eastAsia="zh-CN"/>
        </w:rPr>
        <w:t>联系邮箱：</w:t>
      </w:r>
      <w:r>
        <w:rPr>
          <w:rFonts w:hint="eastAsia" w:cs="Times New Roman"/>
          <w:lang w:val="en-US" w:eastAsia="zh-CN"/>
        </w:rPr>
        <w:t>806798575</w:t>
      </w:r>
      <w:r>
        <w:rPr>
          <w:rFonts w:hint="eastAsia" w:cs="Times New Roman"/>
          <w:lang w:eastAsia="zh-CN"/>
        </w:rPr>
        <w:t>@</w:t>
      </w:r>
      <w:r>
        <w:rPr>
          <w:rFonts w:hint="eastAsia" w:cs="Times New Roman"/>
          <w:lang w:val="en-US" w:eastAsia="zh-CN"/>
        </w:rPr>
        <w:t>qq</w:t>
      </w:r>
      <w:r>
        <w:rPr>
          <w:rFonts w:hint="eastAsia" w:cs="Times New Roman"/>
          <w:lang w:eastAsia="zh-CN"/>
        </w:rPr>
        <w:t>.com</w:t>
      </w:r>
    </w:p>
    <w:p w14:paraId="0BD34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</w:rPr>
      </w:pPr>
    </w:p>
    <w:p w14:paraId="6F35F62B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贵州省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“人工智能+制造”</w:t>
      </w:r>
      <w:r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实施方案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（征求意见稿）</w:t>
      </w:r>
    </w:p>
    <w:p w14:paraId="37D03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p w14:paraId="04AF5F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贵州省工业和信息化厅</w:t>
      </w:r>
    </w:p>
    <w:p w14:paraId="763949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600" w:leftChars="200" w:right="1280" w:rightChars="400" w:hanging="960" w:hangingChars="30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cs="Times New Roman"/>
          <w:lang w:val="en-US" w:eastAsia="zh-CN"/>
        </w:rPr>
        <w:t xml:space="preserve">                            </w:t>
      </w: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年</w:t>
      </w:r>
      <w:r>
        <w:rPr>
          <w:rFonts w:hint="eastAsia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  <w:lang w:val="en-US" w:eastAsia="zh-CN"/>
        </w:rPr>
        <w:t>月</w:t>
      </w:r>
      <w:r>
        <w:rPr>
          <w:rFonts w:hint="eastAsia" w:cs="Times New Roman"/>
          <w:lang w:val="en-US" w:eastAsia="zh-CN"/>
        </w:rPr>
        <w:t>13</w:t>
      </w:r>
      <w:r>
        <w:rPr>
          <w:rFonts w:hint="default" w:ascii="Times New Roman" w:hAnsi="Times New Roman" w:cs="Times New Roman"/>
          <w:lang w:val="en-US" w:eastAsia="zh-CN"/>
        </w:rPr>
        <w:t>日</w:t>
      </w:r>
    </w:p>
    <w:p w14:paraId="23C3427E">
      <w:pPr>
        <w:pStyle w:val="2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 w14:paraId="5027BA75">
      <w:pPr>
        <w:pStyle w:val="11"/>
        <w:jc w:val="both"/>
        <w:rPr>
          <w:rFonts w:hint="eastAsia" w:ascii="黑体" w:hAnsi="黑体" w:eastAsia="黑体" w:cs="黑体"/>
          <w:b w:val="0"/>
          <w:bCs w:val="0"/>
          <w:lang w:val="en-US" w:eastAsia="zh-CN"/>
        </w:rPr>
      </w:pPr>
    </w:p>
    <w:p w14:paraId="53CE6287">
      <w:pPr>
        <w:pStyle w:val="10"/>
        <w:widowControl/>
        <w:shd w:val="clear" w:color="auto" w:fill="FFFFFF"/>
        <w:spacing w:before="0" w:beforeAutospacing="0" w:after="0" w:afterAutospacing="0" w:line="600" w:lineRule="exact"/>
        <w:jc w:val="center"/>
        <w:rPr>
          <w:rStyle w:val="14"/>
          <w:rFonts w:ascii="Times New Roman" w:hAnsi="Times New Roman" w:eastAsia="方正小标宋简体"/>
          <w:b w:val="0"/>
          <w:bCs/>
          <w:sz w:val="44"/>
          <w:szCs w:val="44"/>
          <w:shd w:val="clear" w:color="auto" w:fill="FFFFFF"/>
        </w:rPr>
      </w:pPr>
      <w:r>
        <w:rPr>
          <w:rStyle w:val="14"/>
          <w:rFonts w:hint="eastAsia" w:ascii="Times New Roman" w:hAnsi="Times New Roman" w:eastAsia="方正小标宋简体"/>
          <w:b w:val="0"/>
          <w:bCs/>
          <w:sz w:val="44"/>
          <w:szCs w:val="44"/>
          <w:shd w:val="clear" w:color="auto" w:fill="FFFFFF"/>
        </w:rPr>
        <w:t>贵州省“人工智能+制造”实施方案</w:t>
      </w:r>
    </w:p>
    <w:p w14:paraId="6263EB57">
      <w:pPr>
        <w:pStyle w:val="10"/>
        <w:widowControl/>
        <w:shd w:val="clear" w:color="auto" w:fill="FFFFFF"/>
        <w:spacing w:before="0" w:beforeAutospacing="0" w:after="0" w:afterAutospacing="0" w:line="600" w:lineRule="exact"/>
        <w:jc w:val="center"/>
        <w:rPr>
          <w:rStyle w:val="14"/>
          <w:rFonts w:hint="eastAsia" w:ascii="Times New Roman" w:hAnsi="Times New Roman" w:eastAsia="方正小标宋简体" w:cs="方正小标宋简体"/>
          <w:b w:val="0"/>
          <w:bCs/>
          <w:sz w:val="44"/>
          <w:szCs w:val="44"/>
          <w:shd w:val="clear" w:color="auto" w:fill="FFFFFF"/>
          <w:lang w:eastAsia="zh-CN"/>
        </w:rPr>
      </w:pPr>
      <w:r>
        <w:rPr>
          <w:rStyle w:val="14"/>
          <w:rFonts w:hint="eastAsia" w:ascii="Times New Roman" w:hAnsi="Times New Roman" w:eastAsia="方正小标宋简体"/>
          <w:b w:val="0"/>
          <w:bCs/>
          <w:sz w:val="44"/>
          <w:szCs w:val="44"/>
          <w:shd w:val="clear" w:color="auto" w:fill="FFFFFF"/>
          <w:lang w:eastAsia="zh-CN"/>
        </w:rPr>
        <w:t>（</w:t>
      </w:r>
      <w:r>
        <w:rPr>
          <w:rStyle w:val="14"/>
          <w:rFonts w:hint="eastAsia" w:ascii="Times New Roman" w:hAnsi="Times New Roman" w:eastAsia="方正小标宋简体"/>
          <w:b w:val="0"/>
          <w:bCs/>
          <w:sz w:val="44"/>
          <w:szCs w:val="44"/>
          <w:shd w:val="clear" w:color="auto" w:fill="FFFFFF"/>
          <w:lang w:val="en-US" w:eastAsia="zh-CN"/>
        </w:rPr>
        <w:t>征求意见稿）</w:t>
      </w:r>
    </w:p>
    <w:p w14:paraId="2E484A03">
      <w:pPr>
        <w:pStyle w:val="10"/>
        <w:widowControl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/>
          <w:kern w:val="2"/>
          <w:sz w:val="32"/>
          <w:szCs w:val="32"/>
        </w:rPr>
      </w:pPr>
    </w:p>
    <w:p w14:paraId="264C3407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/>
          <w:kern w:val="2"/>
          <w:sz w:val="32"/>
          <w:szCs w:val="32"/>
        </w:rPr>
        <w:t>为贯彻落实国务院《关于深入实施“人工智能+”行动的意见》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以及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工业和信息化部</w:t>
      </w:r>
      <w:r>
        <w:rPr>
          <w:rFonts w:hint="eastAsia" w:ascii="Times New Roman" w:hAnsi="Times New Roman"/>
          <w:kern w:val="2"/>
          <w:sz w:val="32"/>
          <w:szCs w:val="32"/>
        </w:rPr>
        <w:t>等八部门《“人工智能+制造”专项行动实施意见》，落实省委、省政府关于人工智能有关部署，加快推进人工智能技术在制造业融合应用，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打造新质生产力，</w:t>
      </w:r>
      <w:r>
        <w:rPr>
          <w:rFonts w:hint="eastAsia" w:ascii="Times New Roman" w:hAnsi="Times New Roman"/>
          <w:kern w:val="2"/>
          <w:sz w:val="32"/>
          <w:szCs w:val="32"/>
        </w:rPr>
        <w:t>赋能全省新型工业化高质量发展，制定本方案。</w:t>
      </w:r>
    </w:p>
    <w:p w14:paraId="5474A956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  <w:shd w:val="clear" w:color="auto" w:fill="FFFFFF"/>
        </w:rPr>
        <w:t>一、总体要求</w:t>
      </w:r>
    </w:p>
    <w:p w14:paraId="1A913C4F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（一）指导思想。</w:t>
      </w:r>
      <w:r>
        <w:rPr>
          <w:rFonts w:hint="eastAsia" w:ascii="Times New Roman" w:hAnsi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以习近平新时代中国特色社会主义思想为指导，深入贯彻党的二十大和二十届历次全会精神，</w:t>
      </w:r>
      <w:r>
        <w:rPr>
          <w:rFonts w:hint="eastAsia" w:ascii="Times New Roman" w:hAnsi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全面贯彻</w:t>
      </w:r>
      <w:r>
        <w:rPr>
          <w:rFonts w:hint="eastAsia" w:ascii="Times New Roman" w:hAnsi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落实习近平总书记关于数字经济发展重要论述和对贵州“做强做优数字经济”重要指示精神，顺应新一轮科技革命和产业变革趋势，</w:t>
      </w:r>
      <w:r>
        <w:rPr>
          <w:rFonts w:hint="eastAsia" w:ascii="Times New Roman" w:hAnsi="Times New Roman"/>
          <w:kern w:val="2"/>
          <w:sz w:val="32"/>
          <w:szCs w:val="32"/>
        </w:rPr>
        <w:t>积极主动服务和融入国家战略，以人工智能和制造业深度融合为主线，以智能制造为主攻方向，以场景应用为牵引，加速推动工业高端化、智能化、绿色化发展，助力建设</w:t>
      </w:r>
      <w:bookmarkStart w:id="1" w:name="OLE_LINK10"/>
      <w:bookmarkStart w:id="2" w:name="OLE_LINK11"/>
      <w:r>
        <w:rPr>
          <w:rFonts w:hint="eastAsia" w:ascii="Times New Roman" w:hAnsi="Times New Roman"/>
          <w:kern w:val="2"/>
          <w:sz w:val="32"/>
          <w:szCs w:val="32"/>
        </w:rPr>
        <w:t>“6+3”现代化工业</w:t>
      </w:r>
      <w:bookmarkEnd w:id="1"/>
      <w:r>
        <w:rPr>
          <w:rFonts w:hint="eastAsia" w:ascii="Times New Roman" w:hAnsi="Times New Roman"/>
          <w:kern w:val="2"/>
          <w:sz w:val="32"/>
          <w:szCs w:val="32"/>
        </w:rPr>
        <w:t>体系</w:t>
      </w:r>
      <w:bookmarkEnd w:id="2"/>
      <w:r>
        <w:rPr>
          <w:rFonts w:hint="eastAsia" w:ascii="Times New Roman" w:hAnsi="Times New Roman"/>
          <w:kern w:val="2"/>
          <w:sz w:val="32"/>
          <w:szCs w:val="32"/>
        </w:rPr>
        <w:t>，为中国式现代化贵州实践提供强有力支撑。</w:t>
      </w:r>
    </w:p>
    <w:p w14:paraId="50C36409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（二）发展目标。</w:t>
      </w:r>
      <w:r>
        <w:rPr>
          <w:rFonts w:hint="eastAsia" w:ascii="Times New Roman" w:hAnsi="Times New Roman"/>
          <w:kern w:val="2"/>
          <w:sz w:val="32"/>
          <w:szCs w:val="32"/>
        </w:rPr>
        <w:t>通过三年发展，全省工业领域数字化、网络化、智能化水平显著提升，人工智能场景应用和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标杆</w:t>
      </w:r>
      <w:r>
        <w:rPr>
          <w:rFonts w:hint="eastAsia" w:ascii="Times New Roman" w:hAnsi="Times New Roman"/>
          <w:kern w:val="2"/>
          <w:sz w:val="32"/>
          <w:szCs w:val="32"/>
        </w:rPr>
        <w:t>打造取得明显进展。</w:t>
      </w:r>
    </w:p>
    <w:p w14:paraId="72E19617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/>
          <w:kern w:val="2"/>
          <w:sz w:val="32"/>
          <w:szCs w:val="32"/>
        </w:rPr>
        <w:t>——到2026年底，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通过人工智能技术挖掘传统产业发展潜力，加快推进</w:t>
      </w:r>
      <w:r>
        <w:rPr>
          <w:rFonts w:hint="eastAsia" w:ascii="Times New Roman" w:hAnsi="Times New Roman"/>
          <w:kern w:val="2"/>
          <w:sz w:val="32"/>
          <w:szCs w:val="32"/>
        </w:rPr>
        <w:t>工业领域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智能化改造、</w:t>
      </w:r>
      <w:r>
        <w:rPr>
          <w:rFonts w:hint="eastAsia" w:ascii="Times New Roman" w:hAnsi="Times New Roman"/>
          <w:kern w:val="2"/>
          <w:sz w:val="32"/>
          <w:szCs w:val="32"/>
        </w:rPr>
        <w:t>数字化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转型</w:t>
      </w:r>
      <w:r>
        <w:rPr>
          <w:rFonts w:hint="eastAsia" w:ascii="Times New Roman" w:hAnsi="Times New Roman"/>
          <w:kern w:val="2"/>
          <w:sz w:val="32"/>
          <w:szCs w:val="32"/>
        </w:rPr>
        <w:t>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培育</w:t>
      </w:r>
      <w:r>
        <w:rPr>
          <w:rFonts w:hint="eastAsia" w:ascii="Times New Roman" w:hAnsi="Times New Roman"/>
          <w:kern w:val="2"/>
          <w:sz w:val="32"/>
          <w:szCs w:val="32"/>
        </w:rPr>
        <w:t>一批先进级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、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卓越级</w:t>
      </w:r>
      <w:r>
        <w:rPr>
          <w:rFonts w:hint="eastAsia" w:ascii="Times New Roman" w:hAnsi="Times New Roman"/>
          <w:kern w:val="2"/>
          <w:sz w:val="32"/>
          <w:szCs w:val="32"/>
        </w:rPr>
        <w:t>智能工厂，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促进新一代智能终端和智能体在制造环节推广应用，打造</w:t>
      </w:r>
      <w:r>
        <w:rPr>
          <w:rFonts w:hint="eastAsia" w:ascii="Times New Roman" w:hAnsi="Times New Roman"/>
          <w:kern w:val="2"/>
          <w:sz w:val="32"/>
          <w:szCs w:val="32"/>
        </w:rPr>
        <w:t>一批成效明显的人工智能应用典型案例，形成点状带动作用。</w:t>
      </w:r>
    </w:p>
    <w:p w14:paraId="5347F4FA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/>
          <w:kern w:val="2"/>
          <w:sz w:val="32"/>
          <w:szCs w:val="32"/>
        </w:rPr>
        <w:t>——到2027年底，人工智能技术深度嵌入制造业研发设计、生产制造、营销服务等核心环节，标杆项目数量快速增长，</w:t>
      </w:r>
      <w:r>
        <w:rPr>
          <w:rFonts w:ascii="Times New Roman" w:hAnsi="Times New Roman"/>
          <w:kern w:val="2"/>
          <w:sz w:val="32"/>
          <w:szCs w:val="32"/>
        </w:rPr>
        <w:t>带动</w:t>
      </w:r>
      <w:r>
        <w:rPr>
          <w:rFonts w:hint="eastAsia" w:ascii="Times New Roman" w:hAnsi="Times New Roman"/>
          <w:kern w:val="2"/>
          <w:sz w:val="32"/>
          <w:szCs w:val="32"/>
        </w:rPr>
        <w:t>引领作用明显增强，培育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一批</w:t>
      </w:r>
      <w:r>
        <w:rPr>
          <w:rFonts w:hint="eastAsia" w:ascii="Times New Roman" w:hAnsi="Times New Roman"/>
          <w:kern w:val="2"/>
          <w:sz w:val="32"/>
          <w:szCs w:val="32"/>
        </w:rPr>
        <w:t>工业领域人工智能大模型应用场景，打造一批行业高质量数据集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助力激发新兴产业和未来产业创新活力。</w:t>
      </w:r>
    </w:p>
    <w:p w14:paraId="0A8E0825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/>
          <w:kern w:val="2"/>
          <w:sz w:val="32"/>
          <w:szCs w:val="32"/>
        </w:rPr>
        <w:t>——到2028年底，人工智能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赋能</w:t>
      </w:r>
      <w:r>
        <w:rPr>
          <w:rFonts w:hint="eastAsia" w:ascii="Times New Roman" w:hAnsi="Times New Roman"/>
          <w:kern w:val="2"/>
          <w:sz w:val="32"/>
          <w:szCs w:val="32"/>
        </w:rPr>
        <w:t>“6+3”现代化工业体系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建设成效明显</w:t>
      </w:r>
      <w:r>
        <w:rPr>
          <w:rFonts w:hint="eastAsia" w:ascii="Times New Roman" w:hAnsi="Times New Roman"/>
          <w:kern w:val="2"/>
          <w:sz w:val="32"/>
          <w:szCs w:val="32"/>
        </w:rPr>
        <w:t>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实现面向制造业的大、中、小模型协同创新，推动模型轻量化部署在工业场景落地应用，</w:t>
      </w:r>
      <w:r>
        <w:rPr>
          <w:rFonts w:hint="eastAsia" w:ascii="Times New Roman" w:hAnsi="Times New Roman"/>
          <w:kern w:val="2"/>
          <w:sz w:val="32"/>
          <w:szCs w:val="32"/>
        </w:rPr>
        <w:t>打造一批具有贵州特色、具备行业特征的</w:t>
      </w:r>
      <w:bookmarkStart w:id="3" w:name="OLE_LINK1"/>
      <w:r>
        <w:rPr>
          <w:rFonts w:hint="eastAsia" w:ascii="Times New Roman" w:hAnsi="Times New Roman"/>
          <w:kern w:val="2"/>
          <w:sz w:val="32"/>
          <w:szCs w:val="32"/>
        </w:rPr>
        <w:t>垂类大模型解决方案</w:t>
      </w:r>
      <w:bookmarkEnd w:id="3"/>
      <w:r>
        <w:rPr>
          <w:rFonts w:hint="eastAsia" w:ascii="Times New Roman" w:hAnsi="Times New Roman"/>
          <w:kern w:val="2"/>
          <w:sz w:val="32"/>
          <w:szCs w:val="32"/>
        </w:rPr>
        <w:t>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培育领航级智能工厂，</w:t>
      </w:r>
      <w:r>
        <w:rPr>
          <w:rFonts w:hint="eastAsia" w:ascii="Times New Roman" w:hAnsi="Times New Roman"/>
          <w:kern w:val="2"/>
          <w:sz w:val="32"/>
          <w:szCs w:val="32"/>
        </w:rPr>
        <w:t>逐步形成行业协同发展的规模效应。</w:t>
      </w:r>
    </w:p>
    <w:p w14:paraId="05DB2772">
      <w:pPr>
        <w:spacing w:line="600" w:lineRule="exact"/>
        <w:ind w:firstLine="640" w:firstLineChars="200"/>
        <w:outlineLvl w:val="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eastAsia="黑体" w:cs="Times New Roman"/>
          <w:szCs w:val="32"/>
        </w:rPr>
        <w:t>二、夯实赋能底座</w:t>
      </w:r>
    </w:p>
    <w:p w14:paraId="4384F623">
      <w:pPr>
        <w:pStyle w:val="5"/>
        <w:shd w:val="clear" w:color="auto" w:fill="FFFFFF"/>
        <w:spacing w:line="600" w:lineRule="exact"/>
        <w:ind w:firstLine="640" w:firstLineChars="200"/>
        <w:jc w:val="both"/>
        <w:outlineLvl w:val="1"/>
        <w:rPr>
          <w:rFonts w:hint="eastAsia" w:ascii="Times New Roman" w:hAnsi="Times New Roman" w:eastAsia="仿宋_GB2312" w:cs="Times New Roman"/>
          <w:color w:val="000000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Cs w:val="32"/>
        </w:rPr>
        <w:t>（三）强化算力供给。</w:t>
      </w:r>
      <w:r>
        <w:rPr>
          <w:rFonts w:hint="eastAsia" w:ascii="Times New Roman" w:hAnsi="Times New Roman" w:cs="Times New Roman"/>
          <w:color w:val="000000"/>
          <w:szCs w:val="32"/>
        </w:rPr>
        <w:t>依托全国一体化算力网络国家（贵州）枢纽节点，鼓励智算中心采用先进硬件设备、高效计算及网络架构，适配并部署智能芯片，夯实工业智算能力。建设城域毫秒用算网络，提升城域范围毫秒级算力通达能力，</w:t>
      </w:r>
      <w:r>
        <w:rPr>
          <w:rFonts w:hint="eastAsia" w:ascii="Times New Roman" w:hAnsi="Times New Roman" w:cs="Times New Roman"/>
          <w:color w:val="000000"/>
          <w:szCs w:val="32"/>
          <w:lang w:val="en-US" w:eastAsia="zh-CN"/>
        </w:rPr>
        <w:t>支撑</w:t>
      </w:r>
      <w:r>
        <w:rPr>
          <w:rFonts w:hint="eastAsia" w:ascii="Times New Roman" w:hAnsi="Times New Roman" w:cs="Times New Roman"/>
          <w:color w:val="000000"/>
          <w:szCs w:val="32"/>
        </w:rPr>
        <w:t>“人工智能+”场景</w:t>
      </w:r>
      <w:r>
        <w:rPr>
          <w:rFonts w:hint="eastAsia" w:ascii="Times New Roman" w:hAnsi="Times New Roman" w:cs="Times New Roman"/>
          <w:color w:val="000000"/>
          <w:szCs w:val="32"/>
          <w:lang w:val="en-US" w:eastAsia="zh-CN"/>
        </w:rPr>
        <w:t>应用</w:t>
      </w:r>
      <w:r>
        <w:rPr>
          <w:rFonts w:hint="eastAsia" w:ascii="Times New Roman" w:hAnsi="Times New Roman" w:cs="Times New Roman"/>
          <w:color w:val="000000"/>
          <w:szCs w:val="32"/>
        </w:rPr>
        <w:t>。</w:t>
      </w:r>
      <w:r>
        <w:rPr>
          <w:rFonts w:hint="eastAsia"/>
        </w:rPr>
        <w:t>培育专业化算力运营商，开拓算力市场，打造供给高效化、调度机制化的算力服务新生态</w:t>
      </w:r>
      <w:r>
        <w:rPr>
          <w:rFonts w:hint="eastAsia"/>
          <w:lang w:eastAsia="zh-CN"/>
        </w:rPr>
        <w:t>，</w:t>
      </w:r>
      <w:r>
        <w:rPr>
          <w:rFonts w:hint="eastAsia" w:ascii="Times New Roman" w:hAnsi="Times New Roman" w:cs="Times New Roman"/>
          <w:color w:val="000000"/>
          <w:szCs w:val="32"/>
        </w:rPr>
        <w:t>加快推广低成本、轻量化、易部署、绿色化的普惠算力解决方案</w:t>
      </w:r>
      <w:r>
        <w:rPr>
          <w:rFonts w:hint="eastAsia" w:ascii="Times New Roman" w:hAnsi="Times New Roman" w:cs="Times New Roman"/>
          <w:color w:val="000000"/>
          <w:szCs w:val="32"/>
          <w:lang w:eastAsia="zh-CN"/>
        </w:rPr>
        <w:t>。</w:t>
      </w:r>
    </w:p>
    <w:p w14:paraId="5EE37F9E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（四）挖掘数据价值。</w:t>
      </w:r>
      <w:r>
        <w:rPr>
          <w:rFonts w:hint="eastAsia" w:ascii="Times New Roman" w:hAnsi="Times New Roman"/>
          <w:kern w:val="2"/>
          <w:sz w:val="32"/>
          <w:szCs w:val="32"/>
        </w:rPr>
        <w:t>鼓励企业开展数据采集分析和治理工作，完善数据管理体系，建设适配生产经营的高质量数据集。推动企业开展数据产权登记、数据资产登记和数据资产入表，持续推动数据资产质押融资、数据资产作价入股等创新实践。支持企业探索数据流通、共享、交换、交易、利益分成等新型商业模式。</w:t>
      </w:r>
    </w:p>
    <w:p w14:paraId="58A3C79C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（五）推动模型应用</w:t>
      </w:r>
      <w:r>
        <w:rPr>
          <w:rFonts w:hint="eastAsia" w:ascii="Times New Roman" w:hAnsi="Times New Roman"/>
          <w:kern w:val="2"/>
          <w:sz w:val="32"/>
          <w:szCs w:val="32"/>
        </w:rPr>
        <w:t>。支持人工智能服务商与研究机构合作开发人工智能大模型解决方案，形成“数据技术+专业知识”互补模式，增强大模型在特定工业场景的适配性。鼓励企业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及</w:t>
      </w:r>
      <w:r>
        <w:rPr>
          <w:rFonts w:hint="eastAsia" w:ascii="Times New Roman" w:hAnsi="Times New Roman"/>
          <w:kern w:val="2"/>
          <w:sz w:val="32"/>
          <w:szCs w:val="32"/>
        </w:rPr>
        <w:t>产业链上下游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主体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、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人工智能服务商</w:t>
      </w:r>
      <w:r>
        <w:rPr>
          <w:rFonts w:hint="eastAsia" w:ascii="Times New Roman" w:hAnsi="Times New Roman"/>
          <w:kern w:val="2"/>
          <w:sz w:val="32"/>
          <w:szCs w:val="32"/>
        </w:rPr>
        <w:t>共建创新联合体，推进人工智能应用推广和技术攻关，探索不同模型间接口开放、数据互通、业务联动等协同模式。推动模型轻量化部署，加快在制造领域落地应用。</w:t>
      </w:r>
    </w:p>
    <w:p w14:paraId="1E2D8523">
      <w:pPr>
        <w:spacing w:line="600" w:lineRule="exact"/>
        <w:ind w:firstLine="640" w:firstLineChars="200"/>
        <w:outlineLvl w:val="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eastAsia="黑体" w:cs="Times New Roman"/>
          <w:szCs w:val="32"/>
        </w:rPr>
        <w:t>三、推动应用实践</w:t>
      </w:r>
    </w:p>
    <w:p w14:paraId="535964E8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（六）普及数字化</w:t>
      </w:r>
      <w:r>
        <w:rPr>
          <w:rFonts w:hint="eastAsia" w:ascii="Times New Roman" w:hAnsi="Times New Roman" w:eastAsia="楷体_GB2312"/>
          <w:kern w:val="2"/>
          <w:sz w:val="32"/>
          <w:szCs w:val="32"/>
          <w:lang w:val="en-US" w:eastAsia="zh-CN"/>
        </w:rPr>
        <w:t>转型</w:t>
      </w:r>
      <w:r>
        <w:rPr>
          <w:rFonts w:hint="eastAsia" w:ascii="Times New Roman" w:hAnsi="Times New Roman" w:eastAsia="楷体_GB2312"/>
          <w:kern w:val="2"/>
          <w:sz w:val="32"/>
          <w:szCs w:val="32"/>
        </w:rPr>
        <w:t>。</w:t>
      </w:r>
      <w:r>
        <w:rPr>
          <w:rFonts w:hint="eastAsia" w:ascii="Times New Roman" w:hAnsi="Times New Roman"/>
          <w:kern w:val="2"/>
          <w:sz w:val="32"/>
          <w:szCs w:val="32"/>
        </w:rPr>
        <w:t>支持企业加快信息系统升级和老旧设备更新，分梯度形成一批数字化改造标杆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项目</w:t>
      </w:r>
      <w:r>
        <w:rPr>
          <w:rFonts w:hint="eastAsia" w:ascii="Times New Roman" w:hAnsi="Times New Roman"/>
          <w:kern w:val="2"/>
          <w:sz w:val="32"/>
          <w:szCs w:val="32"/>
        </w:rPr>
        <w:t>。支持按需选用“小快轻准”技术产品和解决方案，实现生产管理环节的低成本优化。支持大中小企业协同融通，引导大企业开放平台、中小企业用平台，通过订单分配、众包众创、供应链协同等方式实现资源共享和能力互通。</w:t>
      </w:r>
    </w:p>
    <w:p w14:paraId="27810647">
      <w:pPr>
        <w:pStyle w:val="10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（七）加快智能化</w:t>
      </w:r>
      <w:r>
        <w:rPr>
          <w:rFonts w:hint="eastAsia" w:ascii="Times New Roman" w:hAnsi="Times New Roman" w:eastAsia="楷体_GB2312"/>
          <w:kern w:val="2"/>
          <w:sz w:val="32"/>
          <w:szCs w:val="32"/>
          <w:lang w:val="en-US" w:eastAsia="zh-CN"/>
        </w:rPr>
        <w:t>改造</w:t>
      </w:r>
      <w:r>
        <w:rPr>
          <w:rFonts w:hint="eastAsia" w:ascii="Times New Roman" w:hAnsi="Times New Roman" w:eastAsia="楷体_GB2312"/>
          <w:kern w:val="2"/>
          <w:sz w:val="32"/>
          <w:szCs w:val="32"/>
        </w:rPr>
        <w:t>。</w:t>
      </w:r>
      <w:r>
        <w:rPr>
          <w:rFonts w:hint="eastAsia" w:ascii="Times New Roman" w:hAnsi="Times New Roman"/>
          <w:kern w:val="2"/>
          <w:sz w:val="32"/>
          <w:szCs w:val="32"/>
        </w:rPr>
        <w:t>支持企业探索全流程人工智能应用，加快部署工业机器人、数控机床、智能传感、视觉检测等智能化设备，分梯度打造智能工厂。重点引导企业在研发设计环节打造生成式设计、智能辅助研发、智能模拟验证等场景，形成低成本、高效能的新型研发设计模式；在生产制造环节打造实时控制、工艺优化、智能排产、自主调度等场景，实现生产过程分析、决策、执行智能化；在营销服务环节打造智能客服、数字人、商品建模等场景，探索个性化推荐、定制化售后、服务化延伸；在运营管理环节打造市场提前预测、订单智能处理、库存预警处置等场景，提升供应链管理水平。</w:t>
      </w:r>
    </w:p>
    <w:p w14:paraId="32950E01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（八）加强大模型推广。</w:t>
      </w:r>
      <w:r>
        <w:rPr>
          <w:rFonts w:hint="eastAsia" w:ascii="Times New Roman" w:hAnsi="Times New Roman"/>
          <w:kern w:val="2"/>
          <w:sz w:val="32"/>
          <w:szCs w:val="32"/>
        </w:rPr>
        <w:t>面向“6+3”产业领域，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针对性</w:t>
      </w:r>
      <w:r>
        <w:rPr>
          <w:rFonts w:hint="eastAsia" w:ascii="Times New Roman" w:hAnsi="Times New Roman"/>
          <w:kern w:val="2"/>
          <w:sz w:val="32"/>
          <w:szCs w:val="32"/>
        </w:rPr>
        <w:t>打造一批大模型典型应用场景，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结合行业特点</w:t>
      </w:r>
      <w:r>
        <w:rPr>
          <w:rFonts w:hint="eastAsia" w:ascii="Times New Roman" w:hAnsi="Times New Roman"/>
          <w:kern w:val="2"/>
          <w:sz w:val="32"/>
          <w:szCs w:val="32"/>
        </w:rPr>
        <w:t>进行复制推广。重点推动数智产业集群打造算力智能调度、数据高质量标注、行业大模型定制等场景，加快数字产业化、产业数字化深度融合；推动新型综合能源产业集群打造瓦斯智能预警、煤矿安全监管、源网荷储协同等场景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加快建设</w:t>
      </w:r>
      <w:r>
        <w:rPr>
          <w:rFonts w:hint="eastAsia" w:ascii="Times New Roman" w:hAnsi="Times New Roman"/>
          <w:kern w:val="2"/>
          <w:sz w:val="32"/>
          <w:szCs w:val="32"/>
        </w:rPr>
        <w:t>“数字能源”；推动新能源新材料产业集群打造材料模拟研发、</w:t>
      </w:r>
      <w:r>
        <w:rPr>
          <w:rFonts w:hint="eastAsia" w:ascii="Times New Roman" w:hAnsi="Times New Roman"/>
          <w:color w:val="000000"/>
          <w:sz w:val="32"/>
          <w:szCs w:val="32"/>
        </w:rPr>
        <w:t>中试仿真验证、</w:t>
      </w:r>
      <w:r>
        <w:rPr>
          <w:rFonts w:hint="eastAsia" w:ascii="Times New Roman" w:hAnsi="Times New Roman"/>
          <w:kern w:val="2"/>
          <w:sz w:val="32"/>
          <w:szCs w:val="32"/>
        </w:rPr>
        <w:t>缺陷视觉识别、电池寿命预测等场景，支撑“电动贵州”发展；推动优势矿产资源精深加工产业集群打造矿石品位寻优、冶炼能耗优化、尾矿资源化利用、供应链全局协同等场景，深入推进“富矿精开”；推动酱香白酒产业集群实现微生物模拟、智能勾调、发酵控制、包装质检、防伪溯源等场景，实现“智慧酿造”；推动先进装备制造产业集群打造零部件生成式设计、排程动态优化、装备远程运维、供应链风险预警等场景，加快产业高端化升级、服务化转型；推动纺织服装特色产业打造面料辅助设计、图案自动生产、智能化排产、个性化定制等场景，发挥</w:t>
      </w:r>
      <w:r>
        <w:rPr>
          <w:rFonts w:hint="eastAsia" w:ascii="仿宋_GB2312" w:hAnsi="仿宋_GB2312" w:cs="仿宋_GB2312"/>
          <w:sz w:val="32"/>
        </w:rPr>
        <w:t>民族特色优势</w:t>
      </w:r>
      <w:r>
        <w:rPr>
          <w:rFonts w:hint="eastAsia" w:ascii="Times New Roman" w:hAnsi="Times New Roman"/>
          <w:kern w:val="2"/>
          <w:sz w:val="32"/>
          <w:szCs w:val="32"/>
        </w:rPr>
        <w:t>；推动生态食品特色产业打造发酵智能控制、产品质量溯源、市场需求预测、智慧营销服务等场景，助力</w:t>
      </w:r>
      <w:r>
        <w:rPr>
          <w:rFonts w:hint="eastAsia" w:ascii="仿宋_GB2312" w:hAnsi="仿宋_GB2312" w:cs="仿宋_GB2312"/>
          <w:sz w:val="32"/>
        </w:rPr>
        <w:t>“贵州食品”品牌推广</w:t>
      </w:r>
      <w:r>
        <w:rPr>
          <w:rFonts w:hint="eastAsia" w:ascii="Times New Roman" w:hAnsi="Times New Roman"/>
          <w:kern w:val="2"/>
          <w:sz w:val="32"/>
          <w:szCs w:val="32"/>
        </w:rPr>
        <w:t>；推动健康医药特色产业打造民族药机理挖掘、中药材智能鉴别、药食同源模拟研发等场景，加快“</w:t>
      </w:r>
      <w:r>
        <w:rPr>
          <w:rFonts w:hint="eastAsia" w:ascii="Times New Roman" w:hAnsi="Times New Roman"/>
          <w:snapToGrid w:val="0"/>
          <w:sz w:val="32"/>
          <w:szCs w:val="32"/>
          <w:shd w:val="clear" w:color="auto" w:fill="FFFFFF"/>
          <w:lang w:bidi="ar"/>
        </w:rPr>
        <w:t>健康贵州”建设</w:t>
      </w:r>
      <w:r>
        <w:rPr>
          <w:rFonts w:hint="eastAsia" w:ascii="Times New Roman" w:hAnsi="Times New Roman"/>
          <w:kern w:val="2"/>
          <w:sz w:val="32"/>
          <w:szCs w:val="32"/>
        </w:rPr>
        <w:t>。</w:t>
      </w:r>
    </w:p>
    <w:p w14:paraId="2CF1CECE">
      <w:pPr>
        <w:spacing w:line="600" w:lineRule="exact"/>
        <w:ind w:firstLine="640" w:firstLineChars="200"/>
        <w:outlineLvl w:val="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eastAsia="黑体" w:cs="Times New Roman"/>
          <w:szCs w:val="32"/>
        </w:rPr>
        <w:t>四、强化发展支撑</w:t>
      </w:r>
    </w:p>
    <w:p w14:paraId="539774C0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（九）完善数字基础。</w:t>
      </w:r>
      <w:r>
        <w:rPr>
          <w:rFonts w:hint="eastAsia" w:ascii="Times New Roman" w:hAnsi="Times New Roman"/>
          <w:kern w:val="2"/>
          <w:sz w:val="32"/>
          <w:szCs w:val="32"/>
        </w:rPr>
        <w:t>推动企业生产设备数字化改造、网络化连接，打造高质量内网体系。推进骨干网、城域网和接入网升级改造，提供高性能、高可靠、高灵活、高安全的外网服务。支持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围绕</w:t>
      </w:r>
      <w:r>
        <w:rPr>
          <w:rFonts w:hint="eastAsia" w:ascii="Times New Roman" w:hAnsi="Times New Roman"/>
          <w:kern w:val="2"/>
          <w:sz w:val="32"/>
          <w:szCs w:val="32"/>
        </w:rPr>
        <w:t>“6+3”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现代化工业体系</w:t>
      </w:r>
      <w:r>
        <w:rPr>
          <w:rFonts w:hint="eastAsia" w:ascii="Times New Roman" w:hAnsi="Times New Roman"/>
          <w:kern w:val="2"/>
          <w:sz w:val="32"/>
          <w:szCs w:val="32"/>
        </w:rPr>
        <w:t>建设行业级工业互联网平台、工业互联网标识解析二级节点，实现经验推广和服务延伸。支持化工、酱酒、新材料等数据密集型行业企业打造高质量行业数据集，结合产业链优势探索建设可信数据空间。</w:t>
      </w:r>
    </w:p>
    <w:p w14:paraId="7466C143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（十）</w:t>
      </w:r>
      <w:r>
        <w:rPr>
          <w:rFonts w:hint="eastAsia" w:ascii="楷体_GB2312" w:hAnsi="楷体_GB2312" w:eastAsia="楷体_GB2312" w:cs="楷体_GB2312"/>
          <w:kern w:val="2"/>
          <w:sz w:val="32"/>
          <w:szCs w:val="32"/>
        </w:rPr>
        <w:t>培育关联产业。</w:t>
      </w:r>
      <w:r>
        <w:rPr>
          <w:rFonts w:hint="eastAsia" w:ascii="Times New Roman" w:hAnsi="Times New Roman"/>
          <w:kern w:val="2"/>
          <w:sz w:val="32"/>
          <w:szCs w:val="32"/>
        </w:rPr>
        <w:t>加快布局数字产业集群，发展大数据、云计算、区块链等软件服务业，</w:t>
      </w:r>
      <w:bookmarkStart w:id="4" w:name="OLE_LINK8"/>
      <w:r>
        <w:rPr>
          <w:rFonts w:hint="eastAsia" w:ascii="Times New Roman" w:hAnsi="Times New Roman"/>
          <w:kern w:val="2"/>
          <w:sz w:val="32"/>
          <w:szCs w:val="32"/>
        </w:rPr>
        <w:t>培育</w:t>
      </w:r>
      <w:r>
        <w:rPr>
          <w:rFonts w:hint="eastAsia" w:ascii="仿宋_GB2312" w:hAnsi="仿宋_GB2312" w:cs="仿宋_GB2312"/>
          <w:sz w:val="32"/>
        </w:rPr>
        <w:t>数据标注、数据交易、智算服务</w:t>
      </w:r>
      <w:bookmarkEnd w:id="4"/>
      <w:r>
        <w:rPr>
          <w:rFonts w:hint="eastAsia" w:ascii="仿宋_GB2312" w:hAnsi="仿宋_GB2312" w:cs="仿宋_GB2312"/>
          <w:sz w:val="32"/>
        </w:rPr>
        <w:t>等数据产业，完善“数商”生态，</w:t>
      </w:r>
      <w:r>
        <w:rPr>
          <w:rFonts w:hint="eastAsia" w:ascii="Times New Roman" w:hAnsi="Times New Roman"/>
          <w:kern w:val="2"/>
          <w:sz w:val="32"/>
          <w:szCs w:val="32"/>
        </w:rPr>
        <w:t>提升人工智能配套“软实力”。发展电子元器件、服务器、集成电路、通信网络设备等电子信息制造业，培育配套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支撑</w:t>
      </w:r>
      <w:r>
        <w:rPr>
          <w:rFonts w:hint="eastAsia" w:ascii="Times New Roman" w:hAnsi="Times New Roman"/>
          <w:kern w:val="2"/>
          <w:sz w:val="32"/>
          <w:szCs w:val="32"/>
        </w:rPr>
        <w:t>产业，提升产业链供应链韧性。</w:t>
      </w:r>
    </w:p>
    <w:p w14:paraId="25112D8A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（十一）发展智能产品。</w:t>
      </w:r>
      <w:r>
        <w:rPr>
          <w:rFonts w:hint="eastAsia" w:ascii="Times New Roman" w:hAnsi="Times New Roman"/>
          <w:color w:val="000000"/>
          <w:sz w:val="32"/>
          <w:szCs w:val="32"/>
        </w:rPr>
        <w:t>发展智能机器人、</w:t>
      </w:r>
      <w:bookmarkStart w:id="5" w:name="OLE_LINK2"/>
      <w:r>
        <w:rPr>
          <w:rFonts w:hint="eastAsia" w:ascii="Times New Roman" w:hAnsi="Times New Roman"/>
          <w:color w:val="000000"/>
          <w:sz w:val="32"/>
          <w:szCs w:val="32"/>
        </w:rPr>
        <w:t>无人机</w:t>
      </w:r>
      <w:bookmarkEnd w:id="5"/>
      <w:r>
        <w:rPr>
          <w:rFonts w:hint="eastAsia" w:ascii="Times New Roman" w:hAnsi="Times New Roman"/>
          <w:color w:val="000000"/>
          <w:sz w:val="32"/>
          <w:szCs w:val="32"/>
        </w:rPr>
        <w:t>、智能专用设备等产业，加快</w:t>
      </w:r>
      <w:bookmarkStart w:id="6" w:name="OLE_LINK9"/>
      <w:r>
        <w:rPr>
          <w:rFonts w:hint="eastAsia" w:ascii="Times New Roman" w:hAnsi="Times New Roman"/>
          <w:color w:val="000000"/>
          <w:sz w:val="32"/>
          <w:szCs w:val="32"/>
        </w:rPr>
        <w:t>工业智能体、具身智能等技术</w:t>
      </w:r>
      <w:bookmarkEnd w:id="6"/>
      <w:r>
        <w:rPr>
          <w:rFonts w:hint="eastAsia" w:ascii="Times New Roman" w:hAnsi="Times New Roman"/>
          <w:color w:val="000000"/>
          <w:sz w:val="32"/>
          <w:szCs w:val="32"/>
        </w:rPr>
        <w:t>在工业场景中的应用。</w:t>
      </w:r>
      <w:r>
        <w:rPr>
          <w:rFonts w:hint="eastAsia" w:ascii="Times New Roman" w:hAnsi="Times New Roman"/>
          <w:kern w:val="2"/>
          <w:sz w:val="32"/>
          <w:szCs w:val="32"/>
        </w:rPr>
        <w:t>发展新能源汽车及核心零部件，探索打造智能网联汽车产业生态圈。</w:t>
      </w:r>
      <w:r>
        <w:rPr>
          <w:rFonts w:hint="eastAsia" w:ascii="Times New Roman" w:hAnsi="Times New Roman"/>
          <w:color w:val="000000"/>
          <w:sz w:val="32"/>
          <w:szCs w:val="32"/>
        </w:rPr>
        <w:t>以场景应用为牵引，</w:t>
      </w:r>
      <w:r>
        <w:rPr>
          <w:rFonts w:ascii="Times New Roman" w:hAnsi="Times New Roman"/>
          <w:color w:val="000000"/>
          <w:sz w:val="32"/>
          <w:szCs w:val="32"/>
        </w:rPr>
        <w:t>加强智能综采设备、煤机装备电动化、矿山成套装备研发</w:t>
      </w:r>
      <w:r>
        <w:rPr>
          <w:rFonts w:hint="eastAsia" w:ascii="Times New Roman" w:hAnsi="Times New Roman"/>
          <w:color w:val="000000"/>
          <w:sz w:val="32"/>
          <w:szCs w:val="32"/>
        </w:rPr>
        <w:t>，</w:t>
      </w:r>
      <w:r>
        <w:rPr>
          <w:rFonts w:hint="eastAsia" w:ascii="Times New Roman" w:hAnsi="Times New Roman"/>
          <w:kern w:val="2"/>
          <w:sz w:val="32"/>
          <w:szCs w:val="32"/>
        </w:rPr>
        <w:t>培育手机、电脑、平板、智能家居、可穿戴设备等智能终端产业</w:t>
      </w:r>
      <w:r>
        <w:rPr>
          <w:rFonts w:hint="eastAsia" w:ascii="Times New Roman" w:hAnsi="Times New Roman"/>
          <w:color w:val="000000"/>
          <w:sz w:val="32"/>
          <w:szCs w:val="32"/>
        </w:rPr>
        <w:t>。</w:t>
      </w:r>
    </w:p>
    <w:p w14:paraId="1F0CC6E6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（十二）强化科技创新。</w:t>
      </w:r>
      <w:r>
        <w:rPr>
          <w:rFonts w:hint="eastAsia" w:ascii="Times New Roman" w:hAnsi="Times New Roman"/>
          <w:kern w:val="2"/>
          <w:sz w:val="32"/>
          <w:szCs w:val="32"/>
        </w:rPr>
        <w:t>以核心技术突破为牵引，持续深化工业领域多模态数据融合算法研究，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提升</w:t>
      </w:r>
      <w:r>
        <w:rPr>
          <w:rFonts w:hint="eastAsia" w:ascii="Times New Roman" w:hAnsi="Times New Roman"/>
          <w:kern w:val="2"/>
          <w:sz w:val="32"/>
          <w:szCs w:val="32"/>
        </w:rPr>
        <w:t>各类技术与工业数据、工业场景的适配性及生态的开放性。支持市场主体联合共建促进中心、创新中心、技术中心、实验室等载体，加快技术攻关和成果转化。聚焦“6+3”产业领域科技创新需求，</w:t>
      </w:r>
      <w:r>
        <w:rPr>
          <w:rFonts w:ascii="Times New Roman" w:hAnsi="Times New Roman"/>
          <w:sz w:val="32"/>
        </w:rPr>
        <w:t>健全产学研用协同机制</w:t>
      </w:r>
      <w:r>
        <w:rPr>
          <w:rFonts w:hint="eastAsia" w:ascii="Times New Roman" w:hAnsi="Times New Roman"/>
          <w:sz w:val="32"/>
        </w:rPr>
        <w:t>，实现人工智能技术从基础研发到场景应用的闭环，降低创新门槛。</w:t>
      </w:r>
    </w:p>
    <w:p w14:paraId="48372F22">
      <w:pPr>
        <w:spacing w:line="600" w:lineRule="exact"/>
        <w:ind w:firstLine="640" w:firstLineChars="200"/>
        <w:outlineLvl w:val="0"/>
        <w:rPr>
          <w:rFonts w:ascii="Times New Roman" w:hAnsi="Times New Roman" w:cs="Times New Roman"/>
          <w:szCs w:val="32"/>
        </w:rPr>
      </w:pPr>
      <w:r>
        <w:rPr>
          <w:rFonts w:hint="eastAsia" w:ascii="Times New Roman" w:hAnsi="Times New Roman" w:eastAsia="黑体" w:cs="Times New Roman"/>
          <w:szCs w:val="32"/>
        </w:rPr>
        <w:t>五、提升服务水平</w:t>
      </w:r>
    </w:p>
    <w:p w14:paraId="0818136E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（十三）强化服务指引。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深入开展人工智能赋能新型工业化“深度行”行动，</w:t>
      </w:r>
      <w:r>
        <w:rPr>
          <w:rFonts w:hint="eastAsia" w:ascii="Times New Roman" w:hAnsi="Times New Roman"/>
          <w:kern w:val="2"/>
          <w:sz w:val="32"/>
          <w:szCs w:val="32"/>
        </w:rPr>
        <w:t>运用制造业数字化转型通用评估指标体系开展入企诊断工作，为企业数字化改造、智能化升级提供措施建议和解决方案，推动规上企业和“专精特新”中小企业加快应用人工智能技术。加大“人工智能+制造”相关政策文件、研究成果、创新产品和应用场景的推广力度，帮助企业“看样学样”开展应用实践。</w:t>
      </w:r>
    </w:p>
    <w:p w14:paraId="1EAE21E7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hint="eastAsia"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（十四）汇聚服务资源。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鼓励人工智能企业、工业互联网企业集聚工具、技术、平台等资源，打造生态伙伴型服务商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针对行业个性化需求，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  <w:lang w:val="en-US" w:eastAsia="zh-CN"/>
        </w:rPr>
        <w:t>汇聚产业创新资源，加快形成一批可复制、可推广的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人工智能解决方案。</w:t>
      </w:r>
    </w:p>
    <w:p w14:paraId="19576493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（十五）促进供需对接。</w:t>
      </w:r>
      <w:r>
        <w:rPr>
          <w:rFonts w:hint="eastAsia" w:ascii="Times New Roman" w:hAnsi="Times New Roman"/>
          <w:color w:val="000000"/>
          <w:sz w:val="32"/>
          <w:szCs w:val="32"/>
        </w:rPr>
        <w:t>通过“政府搭台、各方参与、企业受益”模式，</w:t>
      </w:r>
      <w:r>
        <w:rPr>
          <w:rFonts w:hint="eastAsia" w:ascii="Times New Roman" w:hAnsi="Times New Roman"/>
          <w:color w:val="000000"/>
          <w:sz w:val="32"/>
          <w:szCs w:val="32"/>
          <w:highlight w:val="none"/>
        </w:rPr>
        <w:t>面向产业集群、工业园区组织开展场景级精准供需对接活动</w:t>
      </w:r>
      <w:r>
        <w:rPr>
          <w:rFonts w:hint="eastAsia" w:ascii="Times New Roman" w:hAnsi="Times New Roman"/>
          <w:color w:val="000000"/>
          <w:sz w:val="32"/>
          <w:szCs w:val="32"/>
        </w:rPr>
        <w:t>，促进企业信息互通与结对合作。发挥联盟协会等行业组织“桥梁”作用，针对性开展</w:t>
      </w:r>
      <w:r>
        <w:rPr>
          <w:rFonts w:hint="eastAsia" w:ascii="Times New Roman" w:hAnsi="Times New Roman"/>
          <w:color w:val="000000"/>
          <w:sz w:val="32"/>
          <w:szCs w:val="32"/>
          <w:lang w:val="en-US" w:eastAsia="zh-CN"/>
        </w:rPr>
        <w:t>人工智能</w:t>
      </w:r>
      <w:r>
        <w:rPr>
          <w:rFonts w:hint="eastAsia" w:ascii="Times New Roman" w:hAnsi="Times New Roman"/>
          <w:color w:val="000000"/>
          <w:sz w:val="32"/>
          <w:szCs w:val="32"/>
        </w:rPr>
        <w:t>应用推广</w:t>
      </w:r>
      <w:r>
        <w:rPr>
          <w:rFonts w:hint="eastAsia" w:ascii="Times New Roman" w:hAnsi="Times New Roman"/>
          <w:color w:val="000000"/>
          <w:sz w:val="32"/>
          <w:szCs w:val="32"/>
          <w:lang w:val="en-US" w:eastAsia="zh-CN"/>
        </w:rPr>
        <w:t>工作，</w:t>
      </w:r>
      <w:r>
        <w:rPr>
          <w:rFonts w:hint="eastAsia" w:ascii="Times New Roman" w:hAnsi="Times New Roman"/>
          <w:color w:val="000000"/>
          <w:sz w:val="32"/>
          <w:szCs w:val="32"/>
        </w:rPr>
        <w:t>营造多方协同互助的良好生态。</w:t>
      </w:r>
    </w:p>
    <w:p w14:paraId="48BA2415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（十六）加强安全防护。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深化工业互联网安全分类分级管理，推动企业开展清单管理和贯标工作。</w:t>
      </w:r>
      <w:r>
        <w:rPr>
          <w:rFonts w:hint="eastAsia" w:ascii="Times New Roman" w:hAnsi="Times New Roman"/>
          <w:kern w:val="2"/>
          <w:sz w:val="32"/>
          <w:szCs w:val="32"/>
        </w:rPr>
        <w:t>开展数据安全评估诊断、技能培训、工业数据安全攻防演练等活动，引导企业推进工业数据分类分级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/>
          <w:kern w:val="2"/>
          <w:sz w:val="32"/>
          <w:szCs w:val="32"/>
        </w:rPr>
        <w:t>加强数据规划管理和开发利用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/>
          <w:kern w:val="2"/>
          <w:sz w:val="32"/>
          <w:szCs w:val="32"/>
        </w:rPr>
        <w:t>夯实人工智能应用基础。发展边界防护、安全审计、数字认证、态势感知等工业信息安全产业，</w:t>
      </w:r>
      <w:r>
        <w:rPr>
          <w:rFonts w:ascii="Times New Roman" w:hAnsi="Times New Roman"/>
          <w:kern w:val="2"/>
          <w:sz w:val="32"/>
          <w:szCs w:val="32"/>
        </w:rPr>
        <w:t>强化工业领域安全技术供给与保障能力</w:t>
      </w:r>
      <w:r>
        <w:rPr>
          <w:rFonts w:hint="eastAsia" w:ascii="Times New Roman" w:hAnsi="Times New Roman"/>
          <w:kern w:val="2"/>
          <w:sz w:val="32"/>
          <w:szCs w:val="32"/>
        </w:rPr>
        <w:t>，培育数据安全服务业态</w:t>
      </w:r>
      <w:r>
        <w:rPr>
          <w:rFonts w:hint="eastAsia" w:ascii="Times New Roman" w:hAnsi="Times New Roman"/>
          <w:color w:val="000000"/>
          <w:sz w:val="32"/>
          <w:szCs w:val="32"/>
        </w:rPr>
        <w:t>。</w:t>
      </w:r>
    </w:p>
    <w:p w14:paraId="28071AD0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0"/>
        <w:rPr>
          <w:rFonts w:ascii="Times New Roman" w:hAnsi="Times New Roman" w:eastAsia="黑体"/>
          <w:kern w:val="2"/>
          <w:sz w:val="32"/>
          <w:szCs w:val="32"/>
        </w:rPr>
      </w:pPr>
      <w:r>
        <w:rPr>
          <w:rFonts w:hint="eastAsia" w:ascii="Times New Roman" w:hAnsi="Times New Roman" w:eastAsia="黑体"/>
          <w:kern w:val="2"/>
          <w:sz w:val="32"/>
          <w:szCs w:val="32"/>
        </w:rPr>
        <w:t>六、保障措施</w:t>
      </w:r>
    </w:p>
    <w:p w14:paraId="339C6798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（十七）强化组织保障。</w:t>
      </w:r>
      <w:r>
        <w:rPr>
          <w:rFonts w:hint="eastAsia" w:ascii="Times New Roman" w:hAnsi="Times New Roman"/>
          <w:kern w:val="2"/>
          <w:sz w:val="32"/>
          <w:szCs w:val="32"/>
        </w:rPr>
        <w:t>加强省级部门横向联动，建立健全“人工智能+制造”工作协同机制，布局支持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相关产业培育、</w:t>
      </w:r>
      <w:r>
        <w:rPr>
          <w:rFonts w:hint="eastAsia" w:ascii="Times New Roman" w:hAnsi="Times New Roman"/>
          <w:kern w:val="2"/>
          <w:sz w:val="32"/>
          <w:szCs w:val="32"/>
        </w:rPr>
        <w:t>技术研发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、</w:t>
      </w:r>
      <w:r>
        <w:rPr>
          <w:rFonts w:hint="eastAsia" w:ascii="Times New Roman" w:hAnsi="Times New Roman"/>
          <w:kern w:val="2"/>
          <w:sz w:val="32"/>
          <w:szCs w:val="32"/>
        </w:rPr>
        <w:t>应用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赋能等</w:t>
      </w:r>
      <w:r>
        <w:rPr>
          <w:rFonts w:hint="eastAsia" w:ascii="Times New Roman" w:hAnsi="Times New Roman"/>
          <w:kern w:val="2"/>
          <w:sz w:val="32"/>
          <w:szCs w:val="32"/>
        </w:rPr>
        <w:t>任务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，</w:t>
      </w:r>
      <w:r>
        <w:rPr>
          <w:rFonts w:hint="eastAsia" w:ascii="Times New Roman" w:hAnsi="Times New Roman"/>
          <w:kern w:val="2"/>
          <w:sz w:val="32"/>
          <w:szCs w:val="32"/>
        </w:rPr>
        <w:t>按照项目化、清单化方向推进相关工作，协调解决发展中的重大问题。各市（州）、贵安新区建立动态调度机制，定期报送工作推进情况。</w:t>
      </w:r>
    </w:p>
    <w:p w14:paraId="123EF761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（十八）强化政策支持。</w:t>
      </w:r>
      <w:r>
        <w:rPr>
          <w:rFonts w:hint="eastAsia" w:ascii="Times New Roman" w:hAnsi="Times New Roman"/>
          <w:kern w:val="2"/>
          <w:sz w:val="32"/>
          <w:szCs w:val="32"/>
        </w:rPr>
        <w:t>发挥省级专项资金、基金等引导撬动作用，加大对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人工智能应用</w:t>
      </w:r>
      <w:r>
        <w:rPr>
          <w:rFonts w:hint="eastAsia" w:ascii="Times New Roman" w:hAnsi="Times New Roman"/>
          <w:kern w:val="2"/>
          <w:sz w:val="32"/>
          <w:szCs w:val="32"/>
        </w:rPr>
        <w:t>的财政资金支持力度。鼓励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各市（州）及贵安新区</w:t>
      </w:r>
      <w:r>
        <w:rPr>
          <w:rFonts w:hint="eastAsia" w:ascii="Times New Roman" w:hAnsi="Times New Roman"/>
          <w:kern w:val="2"/>
          <w:sz w:val="32"/>
          <w:szCs w:val="32"/>
        </w:rPr>
        <w:t>在省级财政补助的基础上，给予一定比例的配套补助。结合我省发展实际，</w:t>
      </w:r>
      <w:r>
        <w:rPr>
          <w:rFonts w:hint="eastAsia" w:ascii="Times New Roman" w:hAnsi="Times New Roman"/>
          <w:sz w:val="32"/>
          <w:szCs w:val="32"/>
        </w:rPr>
        <w:t>争取智能工厂、高标准数字园区、中小企业数字化转型、新型技术改造等</w:t>
      </w:r>
      <w:r>
        <w:rPr>
          <w:rFonts w:hint="eastAsia"/>
          <w:sz w:val="32"/>
          <w:szCs w:val="32"/>
          <w:lang w:val="en-US" w:eastAsia="zh-CN"/>
        </w:rPr>
        <w:t>国家</w:t>
      </w:r>
      <w:r>
        <w:rPr>
          <w:rFonts w:hint="eastAsia" w:ascii="Times New Roman" w:hAnsi="Times New Roman"/>
          <w:sz w:val="32"/>
          <w:szCs w:val="32"/>
        </w:rPr>
        <w:t>有关政策支持。</w:t>
      </w:r>
      <w:r>
        <w:rPr>
          <w:rFonts w:hint="eastAsia" w:ascii="Times New Roman" w:hAnsi="Times New Roman"/>
          <w:kern w:val="2"/>
          <w:sz w:val="32"/>
          <w:szCs w:val="32"/>
        </w:rPr>
        <w:t>加强政策宣贯，确保市场主体应知尽知、应享尽享。</w:t>
      </w:r>
    </w:p>
    <w:p w14:paraId="14A510D1">
      <w:pPr>
        <w:pStyle w:val="10"/>
        <w:numPr>
          <w:ilvl w:val="255"/>
          <w:numId w:val="0"/>
        </w:numPr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outlineLvl w:val="1"/>
        <w:rPr>
          <w:rFonts w:ascii="Times New Roman" w:hAnsi="Times New Roman" w:eastAsia="楷体_GB2312"/>
          <w:kern w:val="2"/>
          <w:sz w:val="32"/>
          <w:szCs w:val="32"/>
        </w:rPr>
      </w:pPr>
      <w:r>
        <w:rPr>
          <w:rFonts w:hint="eastAsia" w:ascii="Times New Roman" w:hAnsi="Times New Roman" w:eastAsia="楷体_GB2312"/>
          <w:kern w:val="2"/>
          <w:sz w:val="32"/>
          <w:szCs w:val="32"/>
        </w:rPr>
        <w:t>（十九）强化要素保障。</w:t>
      </w:r>
      <w:r>
        <w:rPr>
          <w:rFonts w:hint="eastAsia" w:ascii="Times New Roman" w:hAnsi="Times New Roman"/>
          <w:kern w:val="2"/>
          <w:sz w:val="32"/>
          <w:szCs w:val="32"/>
        </w:rPr>
        <w:t>支持</w:t>
      </w:r>
      <w:bookmarkStart w:id="7" w:name="_GoBack"/>
      <w:bookmarkEnd w:id="7"/>
      <w:r>
        <w:rPr>
          <w:rFonts w:hint="eastAsia" w:ascii="Times New Roman" w:hAnsi="Times New Roman"/>
          <w:kern w:val="2"/>
          <w:sz w:val="32"/>
          <w:szCs w:val="32"/>
        </w:rPr>
        <w:t>省内校企合作，建立产业学院、实训基地，开展“订单化、定向化”人才培养。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支持</w:t>
      </w:r>
      <w:r>
        <w:rPr>
          <w:rFonts w:hint="eastAsia" w:ascii="Times New Roman" w:hAnsi="Times New Roman"/>
          <w:kern w:val="2"/>
          <w:sz w:val="32"/>
          <w:szCs w:val="32"/>
        </w:rPr>
        <w:t>企业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通过</w:t>
      </w:r>
      <w:r>
        <w:rPr>
          <w:rFonts w:hint="eastAsia" w:ascii="Times New Roman" w:hAnsi="Times New Roman"/>
          <w:kern w:val="2"/>
          <w:sz w:val="32"/>
          <w:szCs w:val="32"/>
        </w:rPr>
        <w:t>科研或工程项目，引进人工智能领域高层次人才。鼓励企业探索首席数据官制度，建立</w:t>
      </w:r>
      <w:r>
        <w:rPr>
          <w:rFonts w:hint="eastAsia" w:ascii="Times New Roman" w:hAnsi="Times New Roman"/>
          <w:kern w:val="2"/>
          <w:sz w:val="32"/>
          <w:szCs w:val="32"/>
          <w:lang w:val="en-US" w:eastAsia="zh-CN"/>
        </w:rPr>
        <w:t>完善</w:t>
      </w:r>
      <w:r>
        <w:rPr>
          <w:rFonts w:hint="eastAsia" w:ascii="Times New Roman" w:hAnsi="Times New Roman"/>
          <w:kern w:val="2"/>
          <w:sz w:val="32"/>
          <w:szCs w:val="32"/>
        </w:rPr>
        <w:t>数据管理体系</w:t>
      </w:r>
      <w:r>
        <w:rPr>
          <w:rFonts w:hint="eastAsia" w:ascii="Times New Roman" w:hAnsi="Times New Roman"/>
          <w:kern w:val="2"/>
          <w:sz w:val="32"/>
          <w:szCs w:val="32"/>
          <w:lang w:eastAsia="zh-CN"/>
        </w:rPr>
        <w:t>。</w:t>
      </w:r>
      <w:r>
        <w:rPr>
          <w:rFonts w:hint="eastAsia" w:ascii="Times New Roman" w:hAnsi="Times New Roman"/>
          <w:kern w:val="2"/>
          <w:sz w:val="32"/>
          <w:szCs w:val="32"/>
        </w:rPr>
        <w:t>鼓励金融机构针对高新技术企业，开展信用保险、贸易融资、产业链融资等新型业务模式，缓解企业资金压力。</w:t>
      </w:r>
    </w:p>
    <w:p w14:paraId="1B82EDD5">
      <w:pPr>
        <w:pStyle w:val="7"/>
        <w:widowControl/>
        <w:shd w:val="clear" w:color="auto" w:fill="FFFFFF"/>
        <w:adjustRightInd w:val="0"/>
        <w:snapToGrid w:val="0"/>
        <w:spacing w:line="600" w:lineRule="exact"/>
        <w:ind w:firstLine="640" w:firstLineChars="200"/>
        <w:jc w:val="left"/>
        <w:outlineLvl w:val="1"/>
        <w:rPr>
          <w:rFonts w:ascii="Times New Roman" w:hAnsi="Times New Roman" w:cs="Times New Roman"/>
          <w:snapToGrid w:val="0"/>
        </w:rPr>
      </w:pPr>
      <w:r>
        <w:rPr>
          <w:rFonts w:hint="eastAsia" w:ascii="Times New Roman" w:hAnsi="Times New Roman" w:eastAsia="楷体_GB2312" w:cs="Times New Roman"/>
          <w:szCs w:val="32"/>
        </w:rPr>
        <w:t>（二十）强化氛围营造。</w:t>
      </w:r>
      <w:r>
        <w:rPr>
          <w:rFonts w:hint="eastAsia" w:ascii="Times New Roman" w:hAnsi="Times New Roman" w:cs="Times New Roman"/>
          <w:szCs w:val="40"/>
        </w:rPr>
        <w:t>依托“数博会”等重要平台，</w:t>
      </w:r>
      <w:r>
        <w:rPr>
          <w:rFonts w:hint="eastAsia" w:ascii="Times New Roman" w:hAnsi="Times New Roman" w:cs="Times New Roman"/>
          <w:kern w:val="0"/>
          <w:szCs w:val="32"/>
        </w:rPr>
        <w:t>开展人工智能会议、论坛、赛事等生态活动，持续强化我省在数字领域的影响力。</w:t>
      </w:r>
      <w:r>
        <w:rPr>
          <w:rFonts w:hint="eastAsia" w:ascii="Times New Roman" w:hAnsi="Times New Roman" w:cs="Times New Roman"/>
          <w:szCs w:val="40"/>
        </w:rPr>
        <w:t>持续</w:t>
      </w:r>
      <w:r>
        <w:rPr>
          <w:rFonts w:hint="eastAsia" w:ascii="Times New Roman" w:hAnsi="Times New Roman" w:cs="Times New Roman"/>
          <w:kern w:val="0"/>
          <w:szCs w:val="32"/>
        </w:rPr>
        <w:t>组织学习培训、现场考察、经验交流等活动，</w:t>
      </w:r>
      <w:r>
        <w:rPr>
          <w:rFonts w:hint="eastAsia" w:ascii="Times New Roman" w:hAnsi="Times New Roman" w:cs="Times New Roman"/>
          <w:szCs w:val="40"/>
        </w:rPr>
        <w:t>提高市场主体认知水平和实践能力。发挥各类媒体作用，宣传</w:t>
      </w:r>
      <w:r>
        <w:rPr>
          <w:rFonts w:hint="eastAsia" w:ascii="Times New Roman" w:hAnsi="Times New Roman" w:cs="Times New Roman"/>
          <w:szCs w:val="32"/>
        </w:rPr>
        <w:t>“人工智能+制造”推进</w:t>
      </w:r>
      <w:r>
        <w:rPr>
          <w:rFonts w:hint="eastAsia" w:ascii="Times New Roman" w:hAnsi="Times New Roman" w:cs="Times New Roman"/>
          <w:kern w:val="0"/>
          <w:szCs w:val="32"/>
        </w:rPr>
        <w:t>成效，</w:t>
      </w:r>
      <w:r>
        <w:rPr>
          <w:rFonts w:hint="eastAsia" w:ascii="Times New Roman" w:hAnsi="Times New Roman" w:cs="Times New Roman"/>
          <w:szCs w:val="40"/>
        </w:rPr>
        <w:t>营造良好发展环境。</w:t>
      </w:r>
    </w:p>
    <w:p w14:paraId="1D27D1BA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B27AE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4C26E7">
                          <w:pPr>
                            <w:pStyle w:val="8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4C26E7">
                    <w:pPr>
                      <w:pStyle w:val="8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1282A"/>
    <w:rsid w:val="0C057848"/>
    <w:rsid w:val="0DB67674"/>
    <w:rsid w:val="0FE77324"/>
    <w:rsid w:val="104019DF"/>
    <w:rsid w:val="24BD373E"/>
    <w:rsid w:val="2BCCDDAB"/>
    <w:rsid w:val="2D3C366E"/>
    <w:rsid w:val="347B6F8F"/>
    <w:rsid w:val="3ADB59A6"/>
    <w:rsid w:val="3EBC016B"/>
    <w:rsid w:val="425A2175"/>
    <w:rsid w:val="45BFB2EC"/>
    <w:rsid w:val="4CB701F8"/>
    <w:rsid w:val="533B2BBF"/>
    <w:rsid w:val="5377FA74"/>
    <w:rsid w:val="53B11E10"/>
    <w:rsid w:val="5479292E"/>
    <w:rsid w:val="56B121F6"/>
    <w:rsid w:val="59DF5486"/>
    <w:rsid w:val="5C1178F0"/>
    <w:rsid w:val="5EFFA33F"/>
    <w:rsid w:val="60AE7C2C"/>
    <w:rsid w:val="6A45563E"/>
    <w:rsid w:val="6BC87862"/>
    <w:rsid w:val="7A335D77"/>
    <w:rsid w:val="7A6D0E65"/>
    <w:rsid w:val="7EF72349"/>
    <w:rsid w:val="9AFD5F66"/>
    <w:rsid w:val="B7F7CB97"/>
    <w:rsid w:val="BFFD3AC7"/>
    <w:rsid w:val="EBE7AFAE"/>
    <w:rsid w:val="EFBD0761"/>
    <w:rsid w:val="F77EA092"/>
    <w:rsid w:val="FBEFD9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500" w:lineRule="exact"/>
      <w:ind w:left="0" w:leftChars="0" w:firstLine="420"/>
    </w:pPr>
    <w:rPr>
      <w:rFonts w:hAnsi="Times New Roman" w:cs="Times New Roman"/>
      <w:sz w:val="30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1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32"/>
      <w:szCs w:val="24"/>
      <w:lang w:val="en-US" w:eastAsia="zh-CN" w:bidi="ar-SA"/>
    </w:r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11">
    <w:name w:val="Title"/>
    <w:basedOn w:val="1"/>
    <w:next w:val="1"/>
    <w:qFormat/>
    <w:uiPriority w:val="99"/>
    <w:pPr>
      <w:jc w:val="center"/>
      <w:outlineLvl w:val="0"/>
    </w:pPr>
    <w:rPr>
      <w:rFonts w:ascii="Arial" w:hAnsi="Arial"/>
      <w:b/>
      <w:bCs/>
      <w:szCs w:val="32"/>
    </w:rPr>
  </w:style>
  <w:style w:type="character" w:styleId="14">
    <w:name w:val="Strong"/>
    <w:basedOn w:val="1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0daf3f49-d715-43cc-8454-27bdff05fb50</errorID>
      <errorWord>关于对</errorWord>
      <group>L1_Word</group>
      <groupName>字词问题</groupName>
      <ability>L2_Typo</ability>
      <abilityName>字词错误</abilityName>
      <candidateList>
        <item>关于</item>
      </candidateList>
      <explain/>
      <paraID>2A56E38A</paraID>
      <start>0</start>
      <end>3</end>
      <status>unmodified</status>
      <modifiedWord/>
      <trackRevisions>false</trackRevisions>
    </reviewItem>
    <reviewItem>
      <errorID>ae992c5b-9504-4d43-9b8d-ece53819249f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23299795</paraID>
      <start>165</start>
      <end>166</end>
      <status>modified</status>
      <modifiedWord>—</modifiedWord>
      <trackRevisions>false</trackRevisions>
    </reviewItem>
    <reviewItem>
      <errorID>874430ca-85c1-4880-90be-c44097bdcc77</errorID>
      <errorWord>现代化工业体系</errorWord>
      <group>L1_Political</group>
      <groupName>政治性问题</groupName>
      <ability>L2_Keyword</ability>
      <abilityName>固定表述</abilityName>
      <candidateList>
        <item>现代化产业体系</item>
      </candidateList>
      <explain>词汇“现代化产业体系”在特定场景下为固定表述形式，请确认此处的“现代化工业体系”是否存在不当。</explain>
      <paraID>1A913C4F</paraID>
      <start>191</start>
      <end>198</end>
      <status>unmodified</status>
      <modifiedWord/>
      <trackRevisions>false</trackRevisions>
    </reviewItem>
    <reviewItem>
      <errorID>de5c1571-ce19-48ee-81a8-f071a3c35cd9</errorID>
      <errorWord>现代化工业体系</errorWord>
      <group>L1_Political</group>
      <groupName>政治性问题</groupName>
      <ability>L2_Keyword</ability>
      <abilityName>固定表述</abilityName>
      <candidateList>
        <item>现代化产业体系</item>
      </candidateList>
      <explain>词汇“现代化产业体系”在特定场景下为固定表述形式，请确认此处的“现代化工业体系”是否存在不当。</explain>
      <paraID> A8E0825</paraID>
      <start>21</start>
      <end>28</end>
      <status>unmodified</status>
      <modifiedWord/>
      <trackRevisions>false</trackRevisions>
    </reviewItem>
    <reviewItem>
      <errorID>dff0dd41-d960-473b-9ecb-c9e9299ed1bb</errorID>
      <errorWord>数智产业集群</errorWord>
      <group>L1_Political</group>
      <groupName>政治性问题</groupName>
      <ability>L2_Keyword</ability>
      <abilityName>固定表述</abilityName>
      <candidateList>
        <item>数字产业集群</item>
      </candidateList>
      <explain>词汇“数字产业集群”在特定场景下为固定表述形式，请确认此处的“数智产业集群”是否存在不当。</explain>
      <paraID>32950E01</paraID>
      <start>57</start>
      <end>63</end>
      <status>unmodified</status>
      <modifiedWord/>
      <trackRevisions>false</trackRevisions>
    </reviewItem>
    <reviewItem>
      <errorID>f912f07e-ff52-4858-85ae-6126871358cf</errorID>
      <errorWord>，</errorWord>
      <group>L1_Grammar</group>
      <groupName>语法问题</groupName>
      <ability>L2_Grammar</ability>
      <abilityName>语法错误</abilityName>
      <candidateList>
        <item>应用，</item>
      </candidateList>
      <explain/>
      <paraID>32950E01</paraID>
      <start>316</start>
      <end>317</end>
      <status>unmodified</status>
      <modifiedWord/>
      <trackRevisions>false</trackRevisions>
    </reviewItem>
    <reviewItem>
      <errorID>1c9f414a-ed4b-4e98-aedd-dfc17ac9ead9</errorID>
      <errorWord>基础</errorWord>
      <group>L1_Grammar</group>
      <groupName>语法问题</groupName>
      <ability>L2_Grammar</ability>
      <abilityName>语法错误</abilityName>
      <candidateList>
        <item>基础设施</item>
      </candidateList>
      <explain/>
      <paraID>539774C0</paraID>
      <start>7</start>
      <end>9</end>
      <status>unmodified</status>
      <modifiedWord/>
      <trackRevisions>false</trackRevisions>
    </reviewItem>
    <reviewItem>
      <errorID>b92d427d-959d-46d1-a700-17dbed862187</errorID>
      <errorWord>现代化工业体系</errorWord>
      <group>L1_Political</group>
      <groupName>政治性问题</groupName>
      <ability>L2_Keyword</ability>
      <abilityName>固定表述</abilityName>
      <candidateList>
        <item>现代化产业体系</item>
      </candidateList>
      <explain>词汇“现代化产业体系”在特定场景下为固定表述形式，请确认此处的“现代化工业体系”是否存在不当。</explain>
      <paraID>539774C0</paraID>
      <start>90</start>
      <end>97</end>
      <status>unmodified</status>
      <modifiedWord/>
      <trackRevisions>false</trackRevisions>
    </reviewItem>
    <reviewItem>
      <errorID>57aea7f5-953f-4759-9b4d-7ad10b4291ad</errorID>
      <errorWord>。</errorWord>
      <group>L1_Grammar</group>
      <groupName>语法问题</groupName>
      <ability>L2_Grammar</ability>
      <abilityName>语法错误</abilityName>
      <candidateList>
        <item>。此句无错误。</item>
      </candidateList>
      <explain/>
      <paraID>1EAE21E7</paraID>
      <start>93</start>
      <end>94</end>
      <status>unmodified</status>
      <modifiedWord/>
      <trackRevisions>false</trackRevisions>
    </reviewItem>
    <reviewItem>
      <errorID>1b3b1e3c-371e-42be-b00e-657dc3480f46</errorID>
      <errorWord>。</errorWord>
      <group>L1_Grammar</group>
      <groupName>语法问题</groupName>
      <ability>L2_Grammar</ability>
      <abilityName>语法错误</abilityName>
      <candidateList>
        <item>。此句无错误。</item>
      </candidateList>
      <explain/>
      <paraID>19576493</paraID>
      <start>120</start>
      <end>121</end>
      <status>unmodified</status>
      <modifiedWord/>
      <trackRevisions>false</trackRevisions>
    </reviewItem>
    <reviewItem>
      <errorID>663e2ebd-702f-43cc-9b3a-c1a5ca610d1a</errorID>
      <errorWord>。</errorWord>
      <group>L1_Grammar</group>
      <groupName>语法问题</groupName>
      <ability>L2_Grammar</ability>
      <abilityName>语法错误</abilityName>
      <candidateList>
        <item>。此句无错误。</item>
      </candidateList>
      <explain/>
      <paraID>48BA2415</paraID>
      <start>172</start>
      <end>173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d32446-e90f-44f1-9581-22f5bfa8a8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4333</Words>
  <Characters>4402</Characters>
  <Lines>0</Lines>
  <Paragraphs>0</Paragraphs>
  <TotalTime>0</TotalTime>
  <ScaleCrop>false</ScaleCrop>
  <LinksUpToDate>false</LinksUpToDate>
  <CharactersWithSpaces>4430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2025-03-09T16:46:00Z</dcterms:created>
  <dc:creator>ysgz</dc:creator>
  <cp:lastModifiedBy>The Coin</cp:lastModifiedBy>
  <cp:lastPrinted>2025-06-11T02:07:00Z</cp:lastPrinted>
  <dcterms:modified xsi:type="dcterms:W3CDTF">2026-04-13T02:33:15Z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FE1C3AA91E394AA3B6BC3BDA49D36669_13</vt:lpwstr>
  </property>
  <property fmtid="{D5CDD505-2E9C-101B-9397-08002B2CF9AE}" pid="4" name="KSOTemplateDocerSaveRecord">
    <vt:lpwstr>eyJoZGlkIjoiODY2NmE1ZWMxYzI0OWZjNDg1ZjE0ODhlNmZkMWM3ODYiLCJ1c2VySWQiOiI0NDAyMjE0ODUifQ==</vt:lpwstr>
  </property>
</Properties>
</file>