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515F8A">
      <w:pPr>
        <w:pStyle w:val="3"/>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黑体" w:hAnsi="黑体" w:eastAsia="黑体" w:cs="黑体"/>
          <w:sz w:val="32"/>
          <w:szCs w:val="32"/>
          <w:lang w:val="en-US" w:eastAsia="zh-CN"/>
        </w:rPr>
      </w:pPr>
    </w:p>
    <w:p w14:paraId="61768C2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sz w:val="48"/>
          <w:szCs w:val="48"/>
          <w:lang w:val="en-US" w:eastAsia="zh-CN"/>
        </w:rPr>
      </w:pPr>
      <w:bookmarkStart w:id="0" w:name="OLE_LINK8"/>
      <w:r>
        <w:rPr>
          <w:rFonts w:hint="eastAsia" w:ascii="方正小标宋_GBK" w:hAnsi="方正小标宋_GBK" w:eastAsia="方正小标宋_GBK" w:cs="方正小标宋_GBK"/>
          <w:sz w:val="48"/>
          <w:szCs w:val="48"/>
          <w:highlight w:val="none"/>
          <w:lang w:val="en-US" w:eastAsia="zh-CN"/>
        </w:rPr>
        <w:t>《</w:t>
      </w:r>
      <w:bookmarkStart w:id="1" w:name="OLE_LINK13"/>
      <w:r>
        <w:rPr>
          <w:rFonts w:hint="eastAsia" w:ascii="方正小标宋_GBK" w:hAnsi="方正小标宋_GBK" w:eastAsia="方正小标宋_GBK" w:cs="方正小标宋_GBK"/>
          <w:sz w:val="48"/>
          <w:szCs w:val="48"/>
          <w:highlight w:val="none"/>
          <w:lang w:val="en-US" w:eastAsia="zh-CN"/>
        </w:rPr>
        <w:t>鹰潭市通信设施迁改补偿暂行办法（送审稿）</w:t>
      </w:r>
      <w:bookmarkEnd w:id="1"/>
      <w:r>
        <w:rPr>
          <w:rFonts w:hint="eastAsia" w:ascii="方正小标宋_GBK" w:hAnsi="方正小标宋_GBK" w:eastAsia="方正小标宋_GBK" w:cs="方正小标宋_GBK"/>
          <w:sz w:val="48"/>
          <w:szCs w:val="48"/>
          <w:highlight w:val="none"/>
          <w:lang w:val="en-US" w:eastAsia="zh-CN"/>
        </w:rPr>
        <w:t>》起</w:t>
      </w:r>
      <w:r>
        <w:rPr>
          <w:rFonts w:hint="eastAsia" w:ascii="方正小标宋_GBK" w:hAnsi="方正小标宋_GBK" w:eastAsia="方正小标宋_GBK" w:cs="方正小标宋_GBK"/>
          <w:sz w:val="48"/>
          <w:szCs w:val="48"/>
          <w:lang w:val="en-US" w:eastAsia="zh-CN"/>
        </w:rPr>
        <w:t>草说明</w:t>
      </w:r>
    </w:p>
    <w:bookmarkEnd w:id="0"/>
    <w:p w14:paraId="4A4D849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eastAsia="方正小标宋简体" w:cs="黑体"/>
          <w:bCs/>
          <w:sz w:val="44"/>
          <w:szCs w:val="44"/>
        </w:rPr>
      </w:pPr>
    </w:p>
    <w:p w14:paraId="7286BE5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一、起草背景</w:t>
      </w:r>
    </w:p>
    <w:p w14:paraId="70B323C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随着市政建设、公路施工、征地拆迁及老旧小区改造项目增多，通信设施迁改频繁，为避免迁改“一事一议”导致的补偿争议，亟需统一、规范迁改补偿流程。同时通信设施迁改补偿工作已纳入省级年度目标管理考核，省内其他地市（如新余市、抚州市等）已出台类似办法。为保障通信设施正常运行，平衡通信设施迁改过程中公共利益与企业成本，明确补偿范围、费用构成、赔补方法，市工信局、市通发办结合本地实际，吸收其他地区经验，起草了《</w:t>
      </w:r>
      <w:bookmarkStart w:id="2" w:name="OLE_LINK17"/>
      <w:r>
        <w:rPr>
          <w:rFonts w:hint="eastAsia" w:ascii="仿宋_GB2312" w:hAnsi="仿宋_GB2312" w:eastAsia="仿宋_GB2312" w:cs="仿宋_GB2312"/>
          <w:color w:val="000000"/>
          <w:kern w:val="2"/>
          <w:sz w:val="32"/>
          <w:szCs w:val="32"/>
          <w:lang w:val="en-US" w:eastAsia="zh-CN" w:bidi="ar-SA"/>
        </w:rPr>
        <w:t>鹰潭市通信设施迁改补偿暂行办法（送审稿）</w:t>
      </w:r>
      <w:bookmarkEnd w:id="2"/>
      <w:r>
        <w:rPr>
          <w:rFonts w:hint="eastAsia" w:ascii="仿宋_GB2312" w:hAnsi="仿宋_GB2312" w:eastAsia="仿宋_GB2312" w:cs="仿宋_GB2312"/>
          <w:color w:val="000000"/>
          <w:kern w:val="2"/>
          <w:sz w:val="32"/>
          <w:szCs w:val="32"/>
          <w:lang w:val="en-US" w:eastAsia="zh-CN" w:bidi="ar-SA"/>
        </w:rPr>
        <w:t>》。</w:t>
      </w:r>
    </w:p>
    <w:p w14:paraId="321246B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二、</w:t>
      </w:r>
      <w:r>
        <w:rPr>
          <w:rFonts w:hint="eastAsia" w:ascii="黑体" w:hAnsi="黑体" w:eastAsia="黑体" w:cs="黑体"/>
          <w:sz w:val="32"/>
          <w:szCs w:val="32"/>
        </w:rPr>
        <w:t>起草过程</w:t>
      </w:r>
    </w:p>
    <w:p w14:paraId="56605DF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市工信局、市通发办</w:t>
      </w:r>
      <w:r>
        <w:rPr>
          <w:rFonts w:hint="eastAsia" w:ascii="仿宋_GB2312" w:hAnsi="仿宋_GB2312" w:eastAsia="仿宋_GB2312" w:cs="仿宋_GB2312"/>
          <w:color w:val="000000"/>
          <w:kern w:val="2"/>
          <w:sz w:val="32"/>
          <w:szCs w:val="32"/>
          <w:lang w:val="en-US" w:eastAsia="zh-CN" w:bidi="ar-SA"/>
        </w:rPr>
        <w:t>高度重视《鹰潭市通信设施迁改补偿暂行办法（送审稿）》编制工作，方</w:t>
      </w:r>
      <w:r>
        <w:rPr>
          <w:rFonts w:hint="eastAsia" w:ascii="仿宋_GB2312" w:hAnsi="仿宋_GB2312" w:eastAsia="仿宋_GB2312" w:cs="仿宋_GB2312"/>
          <w:color w:val="000000"/>
          <w:kern w:val="2"/>
          <w:sz w:val="32"/>
          <w:szCs w:val="32"/>
          <w:highlight w:val="none"/>
          <w:lang w:val="en-US" w:eastAsia="zh-CN" w:bidi="ar-SA"/>
        </w:rPr>
        <w:t>案起草过程中充分结合《中华人民共和国电信条例》《广播电视管理条例》《广播电视设施保护条例》《江西省电信条例》《江西省广播电视管理条例》</w:t>
      </w:r>
      <w:r>
        <w:rPr>
          <w:rFonts w:hint="eastAsia" w:ascii="仿宋_GB2312" w:hAnsi="仿宋_GB2312" w:eastAsia="仿宋_GB2312" w:cs="仿宋_GB2312"/>
          <w:color w:val="000000"/>
          <w:kern w:val="0"/>
          <w:sz w:val="32"/>
          <w:szCs w:val="32"/>
          <w:highlight w:val="none"/>
          <w:lang w:val="en-US" w:eastAsia="zh-CN" w:bidi="ar"/>
        </w:rPr>
        <w:t>等</w:t>
      </w:r>
      <w:r>
        <w:rPr>
          <w:rFonts w:hint="eastAsia" w:ascii="仿宋_GB2312" w:hAnsi="仿宋_GB2312" w:eastAsia="仿宋_GB2312" w:cs="仿宋_GB2312"/>
          <w:color w:val="000000"/>
          <w:kern w:val="2"/>
          <w:sz w:val="32"/>
          <w:szCs w:val="32"/>
          <w:highlight w:val="none"/>
          <w:lang w:val="en-US" w:eastAsia="zh-CN" w:bidi="ar-SA"/>
        </w:rPr>
        <w:t>相关文件，调阅相关资料，经多次讨论形成《鹰潭市通信</w:t>
      </w:r>
      <w:r>
        <w:rPr>
          <w:rFonts w:hint="eastAsia" w:ascii="仿宋_GB2312" w:hAnsi="仿宋_GB2312" w:eastAsia="仿宋_GB2312" w:cs="仿宋_GB2312"/>
          <w:color w:val="000000"/>
          <w:kern w:val="2"/>
          <w:sz w:val="32"/>
          <w:szCs w:val="32"/>
          <w:lang w:val="en-US" w:eastAsia="zh-CN" w:bidi="ar-SA"/>
        </w:rPr>
        <w:t>设施迁改补偿暂行办法（征求意见稿）》。征求意见稿形成后，于2025年3月和6月份向市直有关单位、各区（市）政府、管委会征求意见，并按反馈意见建议修改完善，最终形成了《</w:t>
      </w:r>
      <w:r>
        <w:rPr>
          <w:rFonts w:hint="eastAsia" w:ascii="仿宋_GB2312" w:hAnsi="仿宋_GB2312" w:eastAsia="仿宋_GB2312" w:cs="仿宋_GB2312"/>
          <w:color w:val="000000"/>
          <w:kern w:val="2"/>
          <w:sz w:val="32"/>
          <w:szCs w:val="32"/>
          <w:highlight w:val="none"/>
          <w:lang w:val="en-US" w:eastAsia="zh-CN" w:bidi="ar-SA"/>
        </w:rPr>
        <w:t>鹰潭市通信设施迁改补偿暂行办法（送审稿）》。</w:t>
      </w:r>
    </w:p>
    <w:p w14:paraId="75854B5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三、主要内容</w:t>
      </w:r>
    </w:p>
    <w:p w14:paraId="75E5E5E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w:t>
      </w:r>
      <w:bookmarkStart w:id="3" w:name="OLE_LINK16"/>
      <w:r>
        <w:rPr>
          <w:rFonts w:hint="eastAsia" w:ascii="仿宋_GB2312" w:hAnsi="仿宋_GB2312" w:eastAsia="仿宋_GB2312" w:cs="仿宋_GB2312"/>
          <w:color w:val="000000"/>
          <w:kern w:val="2"/>
          <w:sz w:val="32"/>
          <w:szCs w:val="32"/>
          <w:lang w:val="en-US" w:eastAsia="zh-CN" w:bidi="ar-SA"/>
        </w:rPr>
        <w:t>鹰潭市通信设施迁改补偿暂行办法（送审稿）</w:t>
      </w:r>
      <w:bookmarkEnd w:id="3"/>
      <w:r>
        <w:rPr>
          <w:rFonts w:hint="eastAsia" w:ascii="仿宋_GB2312" w:hAnsi="仿宋_GB2312" w:eastAsia="仿宋_GB2312" w:cs="仿宋_GB2312"/>
          <w:color w:val="000000"/>
          <w:kern w:val="2"/>
          <w:sz w:val="32"/>
          <w:szCs w:val="32"/>
          <w:lang w:val="en-US" w:eastAsia="zh-CN" w:bidi="ar-SA"/>
        </w:rPr>
        <w:t>》由十四条细则，内容由赔补依据、补偿范围、费用核算、责任划分四部分组成，具体为：</w:t>
      </w:r>
    </w:p>
    <w:p w14:paraId="351985FB">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000000"/>
          <w:kern w:val="2"/>
          <w:sz w:val="32"/>
          <w:szCs w:val="32"/>
          <w:lang w:val="en-US" w:eastAsia="zh-CN" w:bidi="ar-SA"/>
        </w:rPr>
      </w:pPr>
      <w:r>
        <w:rPr>
          <w:rFonts w:hint="eastAsia" w:ascii="楷体_GB2312" w:hAnsi="楷体_GB2312" w:eastAsia="楷体_GB2312" w:cs="楷体_GB2312"/>
          <w:b/>
          <w:bCs/>
          <w:color w:val="000000"/>
          <w:kern w:val="2"/>
          <w:sz w:val="32"/>
          <w:szCs w:val="32"/>
          <w:lang w:val="en-US" w:eastAsia="zh-CN" w:bidi="ar-SA"/>
        </w:rPr>
        <w:t>（一）赔补依据。</w:t>
      </w:r>
      <w:r>
        <w:rPr>
          <w:rFonts w:hint="eastAsia" w:ascii="仿宋_GB2312" w:hAnsi="仿宋_GB2312" w:eastAsia="仿宋_GB2312" w:cs="仿宋_GB2312"/>
          <w:color w:val="000000"/>
          <w:kern w:val="2"/>
          <w:sz w:val="32"/>
          <w:szCs w:val="32"/>
          <w:lang w:val="en-US" w:eastAsia="zh-CN" w:bidi="ar-SA"/>
        </w:rPr>
        <w:t>第一条明确</w:t>
      </w:r>
      <w:r>
        <w:rPr>
          <w:rFonts w:hint="eastAsia" w:ascii="仿宋_GB2312" w:hAnsi="仿宋_GB2312" w:eastAsia="仿宋_GB2312" w:cs="仿宋_GB2312"/>
          <w:color w:val="000000"/>
          <w:kern w:val="2"/>
          <w:sz w:val="32"/>
          <w:szCs w:val="32"/>
          <w:highlight w:val="none"/>
          <w:lang w:val="en-US" w:eastAsia="zh-CN" w:bidi="ar-SA"/>
        </w:rPr>
        <w:t>根据《中华人民共和国电信条例》《广播电视管理条例》《广播电视设施保护条例》《江西省电信条例》《江西省广播电视管理条例》，</w:t>
      </w:r>
      <w:r>
        <w:rPr>
          <w:rFonts w:hint="eastAsia" w:ascii="仿宋_GB2312" w:hAnsi="仿宋_GB2312" w:eastAsia="仿宋_GB2312" w:cs="仿宋_GB2312"/>
          <w:color w:val="000000"/>
          <w:kern w:val="2"/>
          <w:sz w:val="32"/>
          <w:szCs w:val="32"/>
          <w:lang w:val="en-US" w:eastAsia="zh-CN" w:bidi="ar-SA"/>
        </w:rPr>
        <w:t>结合我市实际，特制订本办法。</w:t>
      </w:r>
    </w:p>
    <w:p w14:paraId="7B2F19B7">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000000"/>
          <w:kern w:val="0"/>
          <w:sz w:val="32"/>
          <w:szCs w:val="32"/>
          <w:lang w:bidi="ar"/>
        </w:rPr>
      </w:pPr>
      <w:r>
        <w:rPr>
          <w:rFonts w:hint="eastAsia" w:ascii="楷体_GB2312" w:hAnsi="楷体_GB2312" w:eastAsia="楷体_GB2312" w:cs="楷体_GB2312"/>
          <w:b/>
          <w:bCs/>
          <w:color w:val="000000"/>
          <w:kern w:val="2"/>
          <w:sz w:val="32"/>
          <w:szCs w:val="32"/>
          <w:lang w:val="en-US" w:eastAsia="zh-CN" w:bidi="ar-SA"/>
        </w:rPr>
        <w:t>（二）补偿范围。</w:t>
      </w:r>
      <w:r>
        <w:rPr>
          <w:rFonts w:hint="eastAsia" w:ascii="仿宋_GB2312" w:hAnsi="仿宋_GB2312" w:eastAsia="仿宋_GB2312" w:cs="仿宋_GB2312"/>
          <w:color w:val="000000"/>
          <w:kern w:val="0"/>
          <w:sz w:val="32"/>
          <w:szCs w:val="32"/>
          <w:lang w:val="en-US" w:eastAsia="zh-CN" w:bidi="ar"/>
        </w:rPr>
        <w:t>第二</w:t>
      </w:r>
      <w:r>
        <w:rPr>
          <w:rFonts w:hint="eastAsia" w:ascii="仿宋_GB2312" w:hAnsi="仿宋_GB2312" w:eastAsia="仿宋_GB2312" w:cs="仿宋_GB2312"/>
          <w:color w:val="000000"/>
          <w:kern w:val="0"/>
          <w:sz w:val="32"/>
          <w:szCs w:val="32"/>
          <w:highlight w:val="none"/>
          <w:lang w:val="en-US" w:eastAsia="zh-CN" w:bidi="ar"/>
        </w:rPr>
        <w:t>条明确通信设施范围</w:t>
      </w:r>
      <w:r>
        <w:rPr>
          <w:rFonts w:hint="eastAsia" w:ascii="仿宋_GB2312" w:hAnsi="仿宋_GB2312" w:eastAsia="仿宋_GB2312" w:cs="仿宋_GB2312"/>
          <w:color w:val="000000"/>
          <w:kern w:val="0"/>
          <w:sz w:val="32"/>
          <w:szCs w:val="32"/>
          <w:highlight w:val="none"/>
          <w:lang w:bidi="ar"/>
        </w:rPr>
        <w:t>是指为社会公众提供电信服务、广播电视服务、实现电信、广播电视功能的基站/室内分布系统/机</w:t>
      </w:r>
      <w:r>
        <w:rPr>
          <w:rFonts w:hint="eastAsia" w:ascii="仿宋_GB2312" w:hAnsi="仿宋_GB2312" w:eastAsia="仿宋_GB2312" w:cs="仿宋_GB2312"/>
          <w:color w:val="000000"/>
          <w:kern w:val="0"/>
          <w:sz w:val="32"/>
          <w:szCs w:val="32"/>
          <w:lang w:bidi="ar"/>
        </w:rPr>
        <w:t>房/柜、光/电缆、管道、杆/塔、光纤宽带分纤箱、光交箱等通信设备及其配套设施。</w:t>
      </w:r>
      <w:r>
        <w:rPr>
          <w:rFonts w:hint="eastAsia" w:ascii="仿宋_GB2312" w:hAnsi="仿宋_GB2312" w:eastAsia="仿宋_GB2312" w:cs="仿宋_GB2312"/>
          <w:color w:val="000000"/>
          <w:kern w:val="0"/>
          <w:sz w:val="32"/>
          <w:szCs w:val="32"/>
          <w:lang w:val="en-US" w:eastAsia="zh-CN" w:bidi="ar"/>
        </w:rPr>
        <w:t>第三条</w:t>
      </w:r>
      <w:r>
        <w:rPr>
          <w:rFonts w:hint="eastAsia" w:ascii="仿宋_GB2312" w:hAnsi="仿宋_GB2312" w:eastAsia="仿宋_GB2312" w:cs="仿宋_GB2312"/>
          <w:color w:val="000000"/>
          <w:kern w:val="0"/>
          <w:sz w:val="32"/>
          <w:szCs w:val="32"/>
          <w:lang w:bidi="ar"/>
        </w:rPr>
        <w:t>因市政建设、公路施工、征地拆迁、老旧小区改造等工程项目（以下简称工程项目）建设需要迁改通信设施的，迁改建设工程费用纳入本办法补偿范围，迁改补偿费用由工程项目建设单位承担并纳入工程项目建设成本。</w:t>
      </w:r>
    </w:p>
    <w:p w14:paraId="49568C37">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auto"/>
          <w:kern w:val="0"/>
          <w:sz w:val="32"/>
          <w:szCs w:val="32"/>
          <w:highlight w:val="none"/>
          <w:lang w:bidi="ar"/>
        </w:rPr>
      </w:pPr>
      <w:r>
        <w:rPr>
          <w:rFonts w:hint="eastAsia" w:ascii="楷体_GB2312" w:hAnsi="楷体_GB2312" w:eastAsia="楷体_GB2312" w:cs="楷体_GB2312"/>
          <w:b/>
          <w:bCs/>
          <w:color w:val="000000"/>
          <w:kern w:val="2"/>
          <w:sz w:val="32"/>
          <w:szCs w:val="32"/>
          <w:lang w:val="en-US" w:eastAsia="zh-CN" w:bidi="ar-SA"/>
        </w:rPr>
        <w:t>（</w:t>
      </w:r>
      <w:bookmarkStart w:id="4" w:name="OLE_LINK14"/>
      <w:r>
        <w:rPr>
          <w:rFonts w:hint="eastAsia" w:ascii="楷体_GB2312" w:hAnsi="楷体_GB2312" w:eastAsia="楷体_GB2312" w:cs="楷体_GB2312"/>
          <w:b/>
          <w:bCs/>
          <w:color w:val="000000"/>
          <w:kern w:val="2"/>
          <w:sz w:val="32"/>
          <w:szCs w:val="32"/>
          <w:lang w:val="en-US" w:eastAsia="zh-CN" w:bidi="ar-SA"/>
        </w:rPr>
        <w:t>三）费用核算</w:t>
      </w:r>
      <w:r>
        <w:rPr>
          <w:rFonts w:hint="eastAsia" w:ascii="楷体_GB2312" w:hAnsi="楷体_GB2312" w:eastAsia="楷体_GB2312" w:cs="楷体_GB2312"/>
          <w:b/>
          <w:bCs/>
          <w:color w:val="000000"/>
          <w:kern w:val="2"/>
          <w:sz w:val="32"/>
          <w:szCs w:val="32"/>
          <w:highlight w:val="none"/>
          <w:lang w:val="en-US" w:eastAsia="zh-CN" w:bidi="ar-SA"/>
        </w:rPr>
        <w:t>。</w:t>
      </w:r>
      <w:bookmarkEnd w:id="4"/>
      <w:r>
        <w:rPr>
          <w:rFonts w:hint="eastAsia" w:ascii="仿宋_GB2312" w:hAnsi="仿宋_GB2312" w:eastAsia="仿宋_GB2312" w:cs="仿宋_GB2312"/>
          <w:color w:val="auto"/>
          <w:kern w:val="0"/>
          <w:sz w:val="32"/>
          <w:szCs w:val="32"/>
          <w:highlight w:val="none"/>
          <w:lang w:val="en-US" w:eastAsia="zh-CN" w:bidi="ar"/>
        </w:rPr>
        <w:t>第四条明确</w:t>
      </w:r>
      <w:r>
        <w:rPr>
          <w:rFonts w:hint="eastAsia" w:ascii="仿宋_GB2312" w:hAnsi="仿宋_GB2312" w:eastAsia="仿宋_GB2312" w:cs="仿宋_GB2312"/>
          <w:color w:val="auto"/>
          <w:kern w:val="0"/>
          <w:sz w:val="32"/>
          <w:szCs w:val="32"/>
          <w:highlight w:val="none"/>
          <w:lang w:bidi="ar"/>
        </w:rPr>
        <w:t>通信设施迁改补偿费用=迁改工程</w:t>
      </w:r>
      <w:r>
        <w:rPr>
          <w:rFonts w:hint="eastAsia" w:ascii="仿宋_GB2312" w:hAnsi="仿宋_GB2312" w:eastAsia="仿宋_GB2312" w:cs="仿宋_GB2312"/>
          <w:color w:val="auto"/>
          <w:kern w:val="0"/>
          <w:sz w:val="32"/>
          <w:szCs w:val="32"/>
          <w:highlight w:val="none"/>
          <w:lang w:val="en-US" w:eastAsia="zh-CN" w:bidi="ar"/>
        </w:rPr>
        <w:t>费用</w:t>
      </w:r>
      <w:r>
        <w:rPr>
          <w:rFonts w:hint="eastAsia" w:ascii="仿宋_GB2312" w:hAnsi="仿宋_GB2312" w:eastAsia="仿宋_GB2312" w:cs="仿宋_GB2312"/>
          <w:color w:val="auto"/>
          <w:kern w:val="0"/>
          <w:sz w:val="32"/>
          <w:szCs w:val="32"/>
          <w:highlight w:val="none"/>
          <w:lang w:bidi="ar"/>
        </w:rPr>
        <w:t>+迁改造成的其他</w:t>
      </w:r>
      <w:r>
        <w:rPr>
          <w:rFonts w:hint="eastAsia" w:ascii="仿宋_GB2312" w:hAnsi="仿宋_GB2312" w:eastAsia="仿宋_GB2312" w:cs="仿宋_GB2312"/>
          <w:color w:val="auto"/>
          <w:kern w:val="0"/>
          <w:sz w:val="32"/>
          <w:szCs w:val="32"/>
          <w:highlight w:val="none"/>
          <w:lang w:val="en-US" w:eastAsia="zh-CN" w:bidi="ar"/>
        </w:rPr>
        <w:t>费用等</w:t>
      </w:r>
      <w:r>
        <w:rPr>
          <w:rFonts w:hint="eastAsia" w:ascii="仿宋_GB2312" w:hAnsi="仿宋_GB2312" w:eastAsia="仿宋_GB2312" w:cs="仿宋_GB2312"/>
          <w:color w:val="auto"/>
          <w:kern w:val="0"/>
          <w:sz w:val="32"/>
          <w:szCs w:val="32"/>
          <w:highlight w:val="none"/>
          <w:lang w:bidi="ar"/>
        </w:rPr>
        <w:t>。</w:t>
      </w:r>
      <w:r>
        <w:rPr>
          <w:rFonts w:hint="eastAsia" w:ascii="仿宋_GB2312" w:hAnsi="仿宋_GB2312" w:eastAsia="仿宋_GB2312" w:cs="仿宋_GB2312"/>
          <w:color w:val="auto"/>
          <w:kern w:val="0"/>
          <w:sz w:val="32"/>
          <w:szCs w:val="32"/>
          <w:highlight w:val="none"/>
          <w:lang w:val="en-US" w:eastAsia="zh-CN" w:bidi="ar"/>
        </w:rPr>
        <w:t>第五条明确</w:t>
      </w:r>
      <w:r>
        <w:rPr>
          <w:rFonts w:hint="eastAsia" w:ascii="仿宋_GB2312" w:hAnsi="仿宋_GB2312" w:eastAsia="仿宋_GB2312" w:cs="仿宋_GB2312"/>
          <w:b w:val="0"/>
          <w:bCs w:val="0"/>
          <w:color w:val="auto"/>
          <w:kern w:val="0"/>
          <w:sz w:val="32"/>
          <w:szCs w:val="32"/>
          <w:highlight w:val="none"/>
          <w:lang w:bidi="ar"/>
        </w:rPr>
        <w:t>迁改工程实施</w:t>
      </w:r>
      <w:r>
        <w:rPr>
          <w:rFonts w:hint="eastAsia" w:ascii="仿宋_GB2312" w:hAnsi="仿宋_GB2312" w:eastAsia="仿宋_GB2312" w:cs="仿宋_GB2312"/>
          <w:b w:val="0"/>
          <w:bCs w:val="0"/>
          <w:color w:val="auto"/>
          <w:kern w:val="0"/>
          <w:sz w:val="32"/>
          <w:szCs w:val="32"/>
          <w:highlight w:val="none"/>
          <w:lang w:val="en-US" w:eastAsia="zh-CN" w:bidi="ar"/>
        </w:rPr>
        <w:t>所涉及材料，遵循“能利旧不新购”的原则，对无法利旧的项目，纳入</w:t>
      </w:r>
      <w:r>
        <w:rPr>
          <w:rFonts w:hint="eastAsia" w:ascii="仿宋_GB2312" w:hAnsi="仿宋_GB2312" w:eastAsia="仿宋_GB2312" w:cs="仿宋_GB2312"/>
          <w:b w:val="0"/>
          <w:bCs w:val="0"/>
          <w:color w:val="auto"/>
          <w:kern w:val="0"/>
          <w:sz w:val="32"/>
          <w:szCs w:val="32"/>
          <w:highlight w:val="none"/>
          <w:lang w:bidi="ar"/>
        </w:rPr>
        <w:t>迁改工程预算</w:t>
      </w:r>
      <w:r>
        <w:rPr>
          <w:rFonts w:hint="eastAsia" w:ascii="仿宋_GB2312" w:hAnsi="仿宋_GB2312" w:eastAsia="仿宋_GB2312" w:cs="仿宋_GB2312"/>
          <w:b w:val="0"/>
          <w:bCs w:val="0"/>
          <w:color w:val="auto"/>
          <w:kern w:val="0"/>
          <w:sz w:val="32"/>
          <w:szCs w:val="32"/>
          <w:highlight w:val="none"/>
          <w:lang w:eastAsia="zh-CN" w:bidi="ar"/>
        </w:rPr>
        <w:t>，</w:t>
      </w:r>
      <w:r>
        <w:rPr>
          <w:rFonts w:hint="eastAsia" w:ascii="仿宋_GB2312" w:hAnsi="仿宋_GB2312" w:eastAsia="仿宋_GB2312" w:cs="仿宋_GB2312"/>
          <w:b w:val="0"/>
          <w:bCs w:val="0"/>
          <w:color w:val="auto"/>
          <w:kern w:val="0"/>
          <w:sz w:val="32"/>
          <w:szCs w:val="32"/>
          <w:highlight w:val="none"/>
          <w:lang w:val="en-US" w:eastAsia="zh-CN" w:bidi="ar"/>
        </w:rPr>
        <w:t>并确定预算编制依据。第六条明确</w:t>
      </w:r>
      <w:r>
        <w:rPr>
          <w:rFonts w:hint="eastAsia" w:ascii="仿宋_GB2312" w:hAnsi="仿宋_GB2312" w:eastAsia="仿宋_GB2312" w:cs="仿宋_GB2312"/>
          <w:color w:val="auto"/>
          <w:kern w:val="0"/>
          <w:sz w:val="32"/>
          <w:szCs w:val="32"/>
          <w:highlight w:val="none"/>
          <w:lang w:bidi="ar"/>
        </w:rPr>
        <w:t>迁改造成其他</w:t>
      </w:r>
      <w:r>
        <w:rPr>
          <w:rFonts w:hint="eastAsia" w:ascii="仿宋_GB2312" w:hAnsi="仿宋_GB2312" w:eastAsia="仿宋_GB2312" w:cs="仿宋_GB2312"/>
          <w:color w:val="auto"/>
          <w:kern w:val="0"/>
          <w:sz w:val="32"/>
          <w:szCs w:val="32"/>
          <w:highlight w:val="none"/>
          <w:lang w:val="en-US" w:eastAsia="zh-CN" w:bidi="ar"/>
        </w:rPr>
        <w:t>费用</w:t>
      </w:r>
      <w:r>
        <w:rPr>
          <w:rFonts w:hint="eastAsia" w:ascii="仿宋_GB2312" w:hAnsi="仿宋_GB2312" w:eastAsia="仿宋_GB2312" w:cs="仿宋_GB2312"/>
          <w:color w:val="auto"/>
          <w:kern w:val="0"/>
          <w:sz w:val="32"/>
          <w:szCs w:val="32"/>
          <w:highlight w:val="none"/>
          <w:lang w:bidi="ar"/>
        </w:rPr>
        <w:t>包括但不仅限于产权单位已支付但未到期的场租、电费</w:t>
      </w:r>
      <w:r>
        <w:rPr>
          <w:rFonts w:hint="eastAsia" w:ascii="仿宋_GB2312" w:hAnsi="仿宋_GB2312" w:eastAsia="仿宋_GB2312" w:cs="仿宋_GB2312"/>
          <w:color w:val="auto"/>
          <w:kern w:val="0"/>
          <w:sz w:val="32"/>
          <w:szCs w:val="32"/>
          <w:highlight w:val="none"/>
          <w:lang w:eastAsia="zh-CN" w:bidi="ar"/>
        </w:rPr>
        <w:t>、</w:t>
      </w:r>
      <w:r>
        <w:rPr>
          <w:rFonts w:hint="eastAsia" w:ascii="仿宋_GB2312" w:hAnsi="仿宋_GB2312" w:eastAsia="仿宋_GB2312" w:cs="仿宋_GB2312"/>
          <w:color w:val="auto"/>
          <w:kern w:val="0"/>
          <w:sz w:val="32"/>
          <w:szCs w:val="32"/>
          <w:highlight w:val="none"/>
          <w:lang w:val="en-US" w:eastAsia="zh-CN" w:bidi="ar"/>
        </w:rPr>
        <w:t>因迁改造成的其他费用</w:t>
      </w:r>
      <w:r>
        <w:rPr>
          <w:rFonts w:hint="eastAsia" w:ascii="仿宋_GB2312" w:hAnsi="仿宋_GB2312" w:eastAsia="仿宋_GB2312" w:cs="仿宋_GB2312"/>
          <w:color w:val="auto"/>
          <w:kern w:val="0"/>
          <w:sz w:val="32"/>
          <w:szCs w:val="32"/>
          <w:highlight w:val="none"/>
          <w:lang w:bidi="ar"/>
        </w:rPr>
        <w:t>等。</w:t>
      </w:r>
    </w:p>
    <w:p w14:paraId="6408C462">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000000"/>
          <w:kern w:val="2"/>
          <w:sz w:val="32"/>
          <w:szCs w:val="32"/>
          <w:lang w:val="en-US" w:eastAsia="zh-CN" w:bidi="ar-SA"/>
        </w:rPr>
      </w:pPr>
      <w:r>
        <w:rPr>
          <w:rFonts w:hint="eastAsia" w:ascii="楷体_GB2312" w:hAnsi="楷体_GB2312" w:eastAsia="楷体_GB2312" w:cs="楷体_GB2312"/>
          <w:b/>
          <w:bCs/>
          <w:color w:val="000000"/>
          <w:kern w:val="2"/>
          <w:sz w:val="32"/>
          <w:szCs w:val="32"/>
          <w:lang w:val="en-US" w:eastAsia="zh-CN" w:bidi="ar-SA"/>
        </w:rPr>
        <w:t>（四）责任划分。</w:t>
      </w:r>
      <w:r>
        <w:rPr>
          <w:rFonts w:hint="eastAsia" w:ascii="仿宋_GB2312" w:hAnsi="仿宋_GB2312" w:eastAsia="仿宋_GB2312" w:cs="仿宋_GB2312"/>
          <w:color w:val="000000"/>
          <w:kern w:val="0"/>
          <w:sz w:val="32"/>
          <w:szCs w:val="32"/>
          <w:highlight w:val="none"/>
          <w:lang w:val="en-US" w:eastAsia="zh-CN" w:bidi="ar"/>
        </w:rPr>
        <w:t>第七条明确</w:t>
      </w:r>
      <w:r>
        <w:rPr>
          <w:rFonts w:hint="eastAsia" w:ascii="仿宋_GB2312" w:hAnsi="仿宋_GB2312" w:eastAsia="仿宋_GB2312" w:cs="仿宋_GB2312"/>
          <w:color w:val="000000"/>
          <w:kern w:val="0"/>
          <w:sz w:val="32"/>
          <w:szCs w:val="32"/>
          <w:lang w:bidi="ar"/>
        </w:rPr>
        <w:t>通信设施迁改实施前，工程项目建设单位</w:t>
      </w:r>
      <w:r>
        <w:rPr>
          <w:rFonts w:hint="eastAsia" w:ascii="仿宋_GB2312" w:hAnsi="仿宋_GB2312" w:eastAsia="仿宋_GB2312" w:cs="仿宋_GB2312"/>
          <w:color w:val="000000"/>
          <w:kern w:val="0"/>
          <w:sz w:val="32"/>
          <w:szCs w:val="32"/>
          <w:highlight w:val="none"/>
          <w:lang w:bidi="ar"/>
        </w:rPr>
        <w:t>应书面告知产权单位，并会同产权单位确定需迁改的现状通信设施范围及迁改时间，由产权单位编制迁改工程预算。</w:t>
      </w:r>
      <w:r>
        <w:rPr>
          <w:rFonts w:hint="eastAsia" w:ascii="仿宋_GB2312" w:hAnsi="仿宋_GB2312" w:eastAsia="仿宋_GB2312" w:cs="仿宋_GB2312"/>
          <w:color w:val="000000"/>
          <w:kern w:val="0"/>
          <w:sz w:val="32"/>
          <w:szCs w:val="32"/>
          <w:highlight w:val="none"/>
          <w:lang w:val="en-US" w:eastAsia="zh-CN" w:bidi="ar"/>
        </w:rPr>
        <w:t>第八条明确补偿协议签订及预付款支付。第九、十、十一、十二条明确建设单位牵头</w:t>
      </w:r>
      <w:r>
        <w:rPr>
          <w:rFonts w:hint="eastAsia" w:ascii="仿宋_GB2312" w:hAnsi="仿宋_GB2312" w:eastAsia="仿宋_GB2312" w:cs="仿宋_GB2312"/>
          <w:color w:val="000000"/>
          <w:kern w:val="0"/>
          <w:sz w:val="32"/>
          <w:szCs w:val="32"/>
          <w:lang w:bidi="ar"/>
        </w:rPr>
        <w:t>与产权单位等成立联合工作组，负责协调推进迁改有关工作平稳有序开展</w:t>
      </w:r>
      <w:r>
        <w:rPr>
          <w:rFonts w:hint="eastAsia" w:ascii="仿宋_GB2312" w:hAnsi="仿宋_GB2312" w:eastAsia="仿宋_GB2312" w:cs="仿宋_GB2312"/>
          <w:color w:val="000000"/>
          <w:kern w:val="0"/>
          <w:sz w:val="32"/>
          <w:szCs w:val="32"/>
          <w:lang w:eastAsia="zh-CN" w:bidi="ar"/>
        </w:rPr>
        <w:t>；</w:t>
      </w:r>
      <w:r>
        <w:rPr>
          <w:rFonts w:hint="eastAsia" w:ascii="仿宋_GB2312" w:hAnsi="仿宋_GB2312" w:eastAsia="仿宋_GB2312" w:cs="仿宋_GB2312"/>
          <w:color w:val="000000"/>
          <w:kern w:val="0"/>
          <w:sz w:val="32"/>
          <w:szCs w:val="32"/>
          <w:lang w:bidi="ar"/>
        </w:rPr>
        <w:t>产权单位应组织相</w:t>
      </w:r>
      <w:r>
        <w:rPr>
          <w:rFonts w:hint="eastAsia" w:ascii="仿宋_GB2312" w:hAnsi="仿宋_GB2312" w:eastAsia="仿宋_GB2312" w:cs="仿宋_GB2312"/>
          <w:color w:val="000000"/>
          <w:kern w:val="0"/>
          <w:sz w:val="32"/>
          <w:szCs w:val="32"/>
          <w:highlight w:val="none"/>
          <w:lang w:bidi="ar"/>
        </w:rPr>
        <w:t>关验收，</w:t>
      </w:r>
      <w:r>
        <w:rPr>
          <w:rFonts w:hint="eastAsia" w:ascii="仿宋_GB2312" w:hAnsi="仿宋_GB2312" w:eastAsia="仿宋_GB2312" w:cs="仿宋_GB2312"/>
          <w:b w:val="0"/>
          <w:bCs w:val="0"/>
          <w:color w:val="000000"/>
          <w:kern w:val="0"/>
          <w:sz w:val="32"/>
          <w:szCs w:val="32"/>
          <w:highlight w:val="none"/>
          <w:lang w:bidi="ar"/>
        </w:rPr>
        <w:t>由建设单位</w:t>
      </w:r>
      <w:r>
        <w:rPr>
          <w:rFonts w:hint="eastAsia" w:ascii="仿宋_GB2312" w:hAnsi="仿宋_GB2312" w:eastAsia="仿宋_GB2312" w:cs="仿宋_GB2312"/>
          <w:b w:val="0"/>
          <w:bCs w:val="0"/>
          <w:color w:val="000000"/>
          <w:kern w:val="0"/>
          <w:sz w:val="32"/>
          <w:szCs w:val="32"/>
          <w:highlight w:val="none"/>
          <w:lang w:val="en-US" w:eastAsia="zh-CN" w:bidi="ar"/>
        </w:rPr>
        <w:t>根据政府相关评审办法委托所在地财政部门或</w:t>
      </w:r>
      <w:r>
        <w:rPr>
          <w:rFonts w:hint="eastAsia" w:ascii="仿宋_GB2312" w:hAnsi="仿宋_GB2312" w:eastAsia="仿宋_GB2312" w:cs="仿宋_GB2312"/>
          <w:b w:val="0"/>
          <w:bCs w:val="0"/>
          <w:color w:val="000000"/>
          <w:kern w:val="0"/>
          <w:sz w:val="32"/>
          <w:szCs w:val="32"/>
          <w:highlight w:val="none"/>
          <w:lang w:bidi="ar"/>
        </w:rPr>
        <w:t>第三方专业机构</w:t>
      </w:r>
      <w:r>
        <w:rPr>
          <w:rFonts w:hint="eastAsia" w:ascii="仿宋_GB2312" w:hAnsi="仿宋_GB2312" w:eastAsia="仿宋_GB2312" w:cs="仿宋_GB2312"/>
          <w:color w:val="000000"/>
          <w:kern w:val="0"/>
          <w:sz w:val="32"/>
          <w:szCs w:val="32"/>
          <w:highlight w:val="none"/>
          <w:lang w:bidi="ar"/>
        </w:rPr>
        <w:t>对迁改工程结算进行审核并按审定结果支付</w:t>
      </w:r>
      <w:r>
        <w:rPr>
          <w:rFonts w:hint="eastAsia" w:ascii="仿宋_GB2312" w:hAnsi="仿宋_GB2312" w:eastAsia="仿宋_GB2312" w:cs="仿宋_GB2312"/>
          <w:color w:val="000000"/>
          <w:kern w:val="0"/>
          <w:sz w:val="32"/>
          <w:szCs w:val="32"/>
          <w:lang w:bidi="ar"/>
        </w:rPr>
        <w:t>尾款</w:t>
      </w:r>
      <w:r>
        <w:rPr>
          <w:rFonts w:hint="eastAsia" w:ascii="仿宋_GB2312" w:hAnsi="仿宋_GB2312" w:eastAsia="仿宋_GB2312" w:cs="仿宋_GB2312"/>
          <w:color w:val="000000"/>
          <w:kern w:val="0"/>
          <w:sz w:val="32"/>
          <w:szCs w:val="32"/>
          <w:lang w:eastAsia="zh-CN" w:bidi="ar"/>
        </w:rPr>
        <w:t>；</w:t>
      </w:r>
      <w:r>
        <w:rPr>
          <w:rFonts w:hint="eastAsia" w:ascii="仿宋_GB2312" w:hAnsi="仿宋_GB2312" w:eastAsia="仿宋_GB2312" w:cs="仿宋_GB2312"/>
          <w:color w:val="000000"/>
          <w:kern w:val="0"/>
          <w:sz w:val="32"/>
          <w:szCs w:val="32"/>
          <w:lang w:bidi="ar"/>
        </w:rPr>
        <w:t>产权单位应当遵循“存量共享、增量共建”原则，做好通信设施迁改工程建设前规划、建设中监管、建设后的验收。</w:t>
      </w:r>
      <w:r>
        <w:rPr>
          <w:rFonts w:hint="eastAsia" w:ascii="仿宋_GB2312" w:hAnsi="仿宋_GB2312" w:eastAsia="仿宋_GB2312" w:cs="仿宋_GB2312"/>
          <w:color w:val="000000"/>
          <w:kern w:val="0"/>
          <w:sz w:val="32"/>
          <w:szCs w:val="32"/>
          <w:lang w:val="en-US" w:eastAsia="zh-CN" w:bidi="ar"/>
        </w:rPr>
        <w:t>并坚持</w:t>
      </w:r>
      <w:r>
        <w:rPr>
          <w:rFonts w:hint="eastAsia" w:ascii="仿宋_GB2312" w:hAnsi="仿宋_GB2312" w:eastAsia="仿宋_GB2312" w:cs="仿宋_GB2312"/>
          <w:color w:val="000000"/>
          <w:kern w:val="0"/>
          <w:sz w:val="32"/>
          <w:szCs w:val="32"/>
          <w:lang w:bidi="ar"/>
        </w:rPr>
        <w:t>“先建设后拆除”的原则，</w:t>
      </w:r>
      <w:r>
        <w:rPr>
          <w:rFonts w:hint="eastAsia" w:ascii="仿宋_GB2312" w:hAnsi="仿宋_GB2312" w:eastAsia="仿宋_GB2312" w:cs="仿宋_GB2312"/>
          <w:color w:val="000000"/>
          <w:kern w:val="0"/>
          <w:sz w:val="32"/>
          <w:szCs w:val="32"/>
          <w:highlight w:val="none"/>
          <w:lang w:bidi="ar"/>
        </w:rPr>
        <w:t>确保通信服务持续畅通</w:t>
      </w:r>
      <w:r>
        <w:rPr>
          <w:rFonts w:hint="eastAsia" w:ascii="仿宋_GB2312" w:hAnsi="仿宋_GB2312" w:eastAsia="仿宋_GB2312" w:cs="仿宋_GB2312"/>
          <w:color w:val="000000"/>
          <w:kern w:val="0"/>
          <w:sz w:val="32"/>
          <w:szCs w:val="32"/>
          <w:lang w:eastAsia="zh-CN" w:bidi="ar"/>
        </w:rPr>
        <w:t>。</w:t>
      </w:r>
    </w:p>
    <w:p w14:paraId="1ECFBE9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四、征求意见情况</w:t>
      </w:r>
    </w:p>
    <w:p w14:paraId="482706F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2025年3月，</w:t>
      </w:r>
      <w:r>
        <w:rPr>
          <w:rFonts w:hint="eastAsia" w:ascii="仿宋_GB2312" w:hAnsi="仿宋_GB2312" w:eastAsia="仿宋_GB2312" w:cs="仿宋_GB2312"/>
          <w:color w:val="000000"/>
          <w:kern w:val="2"/>
          <w:sz w:val="32"/>
          <w:szCs w:val="32"/>
          <w:highlight w:val="none"/>
          <w:lang w:val="en-US" w:eastAsia="zh-CN" w:bidi="ar-SA"/>
        </w:rPr>
        <w:t>就《鹰潭市通信设施迁改补偿暂行办法（征求意见稿）》先后向市直有关单位，各区（市）政府、管委会书面征求意见并修改完善。</w:t>
      </w:r>
      <w:r>
        <w:rPr>
          <w:rFonts w:hint="eastAsia" w:ascii="仿宋_GB2312" w:hAnsi="仿宋_GB2312" w:eastAsia="仿宋_GB2312" w:cs="仿宋_GB2312"/>
          <w:color w:val="000000"/>
          <w:kern w:val="2"/>
          <w:sz w:val="32"/>
          <w:szCs w:val="32"/>
          <w:lang w:val="en-US" w:eastAsia="zh-CN" w:bidi="ar-SA"/>
        </w:rPr>
        <w:t>2025年6月再次向相关单位</w:t>
      </w:r>
      <w:r>
        <w:rPr>
          <w:rFonts w:hint="eastAsia" w:ascii="仿宋_GB2312" w:hAnsi="仿宋_GB2312" w:eastAsia="仿宋_GB2312" w:cs="仿宋_GB2312"/>
          <w:color w:val="000000"/>
          <w:kern w:val="2"/>
          <w:sz w:val="32"/>
          <w:szCs w:val="32"/>
          <w:highlight w:val="none"/>
          <w:lang w:val="en-US" w:eastAsia="zh-CN" w:bidi="ar-SA"/>
        </w:rPr>
        <w:t>书面征求意见，</w:t>
      </w:r>
      <w:r>
        <w:rPr>
          <w:rFonts w:hint="eastAsia" w:ascii="仿宋_GB2312" w:hAnsi="仿宋_GB2312" w:eastAsia="仿宋_GB2312" w:cs="仿宋_GB2312"/>
          <w:color w:val="000000"/>
          <w:kern w:val="2"/>
          <w:sz w:val="32"/>
          <w:szCs w:val="32"/>
          <w:lang w:val="en-US" w:eastAsia="zh-CN" w:bidi="ar-SA"/>
        </w:rPr>
        <w:t>共收到意见8条，已采纳6条，未采纳2条</w:t>
      </w:r>
      <w:r>
        <w:rPr>
          <w:rFonts w:hint="eastAsia" w:ascii="仿宋_GB2312" w:hAnsi="仿宋_GB2312" w:eastAsia="仿宋_GB2312" w:cs="仿宋_GB2312"/>
          <w:color w:val="000000"/>
          <w:kern w:val="2"/>
          <w:sz w:val="32"/>
          <w:szCs w:val="32"/>
          <w:highlight w:val="none"/>
          <w:lang w:val="en-US" w:eastAsia="zh-CN" w:bidi="ar-SA"/>
        </w:rPr>
        <w:t>，对不予采纳的意见，已与相关部门单位进行解释说明后，达成一致</w:t>
      </w:r>
      <w:r>
        <w:rPr>
          <w:rFonts w:hint="eastAsia" w:ascii="仿宋_GB2312" w:hAnsi="仿宋_GB2312" w:eastAsia="仿宋_GB2312" w:cs="仿宋_GB2312"/>
          <w:color w:val="000000"/>
          <w:kern w:val="2"/>
          <w:sz w:val="32"/>
          <w:szCs w:val="32"/>
          <w:lang w:val="en-US" w:eastAsia="zh-CN" w:bidi="ar-SA"/>
        </w:rPr>
        <w:t>，详见附表。2025年11月，经市市场监督管理局进行公平竞争审查、市司法局进行合法性审查，并采纳审查意见进行修改。</w:t>
      </w:r>
    </w:p>
    <w:p w14:paraId="607C35D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kern w:val="2"/>
          <w:sz w:val="32"/>
          <w:szCs w:val="32"/>
          <w:lang w:val="en-US" w:eastAsia="zh-CN" w:bidi="ar-SA"/>
        </w:rPr>
      </w:pPr>
    </w:p>
    <w:p w14:paraId="73A547D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kern w:val="2"/>
          <w:sz w:val="32"/>
          <w:szCs w:val="32"/>
          <w:lang w:val="en-US" w:eastAsia="zh-CN" w:bidi="ar-SA"/>
        </w:rPr>
        <w:sectPr>
          <w:pgSz w:w="11906" w:h="16838"/>
          <w:pgMar w:top="2098" w:right="1531" w:bottom="1701" w:left="1531" w:header="851" w:footer="992" w:gutter="0"/>
          <w:pgNumType w:fmt="numberInDash"/>
          <w:cols w:space="0" w:num="1"/>
          <w:rtlGutter w:val="0"/>
          <w:docGrid w:type="lines" w:linePitch="318" w:charSpace="0"/>
        </w:sectPr>
      </w:pPr>
      <w:r>
        <w:rPr>
          <w:rFonts w:hint="eastAsia" w:ascii="仿宋_GB2312" w:hAnsi="仿宋_GB2312" w:eastAsia="仿宋_GB2312" w:cs="仿宋_GB2312"/>
          <w:color w:val="000000"/>
          <w:kern w:val="2"/>
          <w:sz w:val="32"/>
          <w:szCs w:val="32"/>
          <w:lang w:val="en-US" w:eastAsia="zh-CN" w:bidi="ar-SA"/>
        </w:rPr>
        <w:t>附表：意见采纳情况表</w:t>
      </w:r>
    </w:p>
    <w:p w14:paraId="06B9E619">
      <w:pPr>
        <w:pStyle w:val="3"/>
        <w:spacing w:after="0" w:line="580" w:lineRule="exact"/>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附表</w:t>
      </w:r>
    </w:p>
    <w:p w14:paraId="3C18EED3">
      <w:pPr>
        <w:spacing w:line="580" w:lineRule="exact"/>
        <w:jc w:val="center"/>
        <w:rPr>
          <w:rFonts w:hint="eastAsia" w:ascii="方正小标宋简体" w:eastAsia="方正小标宋简体" w:cs="黑体"/>
          <w:bCs/>
          <w:sz w:val="44"/>
          <w:szCs w:val="44"/>
          <w:lang w:val="en-US" w:eastAsia="zh-CN"/>
        </w:rPr>
      </w:pPr>
    </w:p>
    <w:p w14:paraId="2039BD1A">
      <w:pPr>
        <w:spacing w:line="580" w:lineRule="exact"/>
        <w:jc w:val="center"/>
        <w:rPr>
          <w:rFonts w:hint="eastAsia" w:ascii="方正小标宋简体" w:eastAsia="方正小标宋简体" w:cs="黑体"/>
          <w:bCs/>
          <w:sz w:val="44"/>
          <w:szCs w:val="44"/>
        </w:rPr>
      </w:pPr>
      <w:r>
        <w:rPr>
          <w:rFonts w:hint="eastAsia" w:ascii="方正小标宋简体" w:eastAsia="方正小标宋简体" w:cs="黑体"/>
          <w:bCs/>
          <w:sz w:val="44"/>
          <w:szCs w:val="44"/>
          <w:lang w:val="en-US" w:eastAsia="zh-CN"/>
        </w:rPr>
        <w:t>意见采纳情况表</w:t>
      </w:r>
    </w:p>
    <w:tbl>
      <w:tblPr>
        <w:tblStyle w:val="4"/>
        <w:tblW w:w="9719" w:type="dxa"/>
        <w:tblInd w:w="0" w:type="dxa"/>
        <w:tblLayout w:type="fixed"/>
        <w:tblCellMar>
          <w:top w:w="0" w:type="dxa"/>
          <w:left w:w="108" w:type="dxa"/>
          <w:bottom w:w="0" w:type="dxa"/>
          <w:right w:w="108" w:type="dxa"/>
        </w:tblCellMar>
      </w:tblPr>
      <w:tblGrid>
        <w:gridCol w:w="1272"/>
        <w:gridCol w:w="4507"/>
        <w:gridCol w:w="1293"/>
        <w:gridCol w:w="2647"/>
      </w:tblGrid>
      <w:tr w14:paraId="386B9C23">
        <w:tblPrEx>
          <w:tblCellMar>
            <w:top w:w="0" w:type="dxa"/>
            <w:left w:w="108" w:type="dxa"/>
            <w:bottom w:w="0" w:type="dxa"/>
            <w:right w:w="108" w:type="dxa"/>
          </w:tblCellMar>
        </w:tblPrEx>
        <w:trPr>
          <w:trHeight w:val="399" w:hRule="atLeast"/>
          <w:tblHeader/>
        </w:trPr>
        <w:tc>
          <w:tcPr>
            <w:tcW w:w="1272" w:type="dxa"/>
            <w:tcBorders>
              <w:top w:val="single" w:color="000000" w:sz="4" w:space="0"/>
              <w:left w:val="single" w:color="000000" w:sz="4" w:space="0"/>
              <w:bottom w:val="single" w:color="000000" w:sz="4" w:space="0"/>
              <w:right w:val="single" w:color="000000" w:sz="4" w:space="0"/>
            </w:tcBorders>
            <w:noWrap/>
            <w:vAlign w:val="center"/>
          </w:tcPr>
          <w:p w14:paraId="7F089A46">
            <w:pPr>
              <w:spacing w:line="400" w:lineRule="exact"/>
              <w:jc w:val="center"/>
              <w:textAlignment w:val="center"/>
              <w:rPr>
                <w:rFonts w:hint="eastAsia" w:ascii="仿宋_GB2312" w:hAnsi="仿宋_GB2312" w:eastAsia="仿宋_GB2312" w:cs="仿宋_GB2312"/>
                <w:b/>
                <w:bCs/>
                <w:color w:val="000000"/>
                <w:sz w:val="24"/>
                <w:szCs w:val="24"/>
              </w:rPr>
            </w:pPr>
            <w:bookmarkStart w:id="5" w:name="OLE_LINK21"/>
            <w:r>
              <w:rPr>
                <w:rFonts w:hint="eastAsia" w:ascii="仿宋_GB2312" w:hAnsi="仿宋_GB2312" w:eastAsia="仿宋_GB2312" w:cs="仿宋_GB2312"/>
                <w:b/>
                <w:bCs/>
                <w:color w:val="000000"/>
                <w:sz w:val="24"/>
                <w:szCs w:val="24"/>
              </w:rPr>
              <w:t>单位</w:t>
            </w:r>
          </w:p>
        </w:tc>
        <w:tc>
          <w:tcPr>
            <w:tcW w:w="4507" w:type="dxa"/>
            <w:tcBorders>
              <w:top w:val="single" w:color="000000" w:sz="4" w:space="0"/>
              <w:left w:val="single" w:color="000000" w:sz="4" w:space="0"/>
              <w:bottom w:val="single" w:color="000000" w:sz="4" w:space="0"/>
              <w:right w:val="single" w:color="000000" w:sz="4" w:space="0"/>
            </w:tcBorders>
            <w:noWrap w:val="0"/>
            <w:vAlign w:val="center"/>
          </w:tcPr>
          <w:p w14:paraId="4C2E9022">
            <w:pPr>
              <w:spacing w:line="400" w:lineRule="exact"/>
              <w:jc w:val="center"/>
              <w:textAlignment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kern w:val="0"/>
                <w:sz w:val="24"/>
                <w:szCs w:val="24"/>
              </w:rPr>
              <w:t>反馈意见</w:t>
            </w:r>
          </w:p>
        </w:tc>
        <w:tc>
          <w:tcPr>
            <w:tcW w:w="1293" w:type="dxa"/>
            <w:tcBorders>
              <w:top w:val="single" w:color="000000" w:sz="4" w:space="0"/>
              <w:left w:val="single" w:color="000000" w:sz="4" w:space="0"/>
              <w:bottom w:val="single" w:color="000000" w:sz="4" w:space="0"/>
              <w:right w:val="single" w:color="000000" w:sz="4" w:space="0"/>
            </w:tcBorders>
            <w:noWrap w:val="0"/>
            <w:vAlign w:val="center"/>
          </w:tcPr>
          <w:p w14:paraId="0704E42A">
            <w:pPr>
              <w:spacing w:line="400" w:lineRule="exact"/>
              <w:jc w:val="center"/>
              <w:textAlignment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kern w:val="0"/>
                <w:sz w:val="24"/>
                <w:szCs w:val="24"/>
              </w:rPr>
              <w:t>采纳情况</w:t>
            </w:r>
          </w:p>
        </w:tc>
        <w:tc>
          <w:tcPr>
            <w:tcW w:w="2647" w:type="dxa"/>
            <w:tcBorders>
              <w:top w:val="single" w:color="000000" w:sz="4" w:space="0"/>
              <w:left w:val="single" w:color="000000" w:sz="4" w:space="0"/>
              <w:bottom w:val="single" w:color="000000" w:sz="4" w:space="0"/>
              <w:right w:val="single" w:color="000000" w:sz="4" w:space="0"/>
            </w:tcBorders>
            <w:noWrap w:val="0"/>
            <w:vAlign w:val="center"/>
          </w:tcPr>
          <w:p w14:paraId="02541050">
            <w:pPr>
              <w:spacing w:line="400" w:lineRule="exact"/>
              <w:jc w:val="center"/>
              <w:textAlignment w:val="center"/>
              <w:rPr>
                <w:rFonts w:hint="default" w:ascii="仿宋_GB2312" w:hAnsi="仿宋_GB2312" w:eastAsia="仿宋_GB2312" w:cs="仿宋_GB2312"/>
                <w:b/>
                <w:bCs/>
                <w:color w:val="000000"/>
                <w:kern w:val="0"/>
                <w:sz w:val="24"/>
                <w:szCs w:val="24"/>
                <w:lang w:val="en-US" w:eastAsia="zh-CN"/>
              </w:rPr>
            </w:pPr>
            <w:r>
              <w:rPr>
                <w:rFonts w:hint="eastAsia" w:ascii="仿宋_GB2312" w:hAnsi="仿宋_GB2312" w:eastAsia="仿宋_GB2312" w:cs="仿宋_GB2312"/>
                <w:b/>
                <w:bCs/>
                <w:color w:val="000000"/>
                <w:kern w:val="0"/>
                <w:sz w:val="24"/>
                <w:szCs w:val="24"/>
                <w:lang w:val="en-US" w:eastAsia="zh-CN"/>
              </w:rPr>
              <w:t>未采纳原因</w:t>
            </w:r>
          </w:p>
        </w:tc>
      </w:tr>
      <w:tr w14:paraId="201EFDC8">
        <w:tblPrEx>
          <w:tblCellMar>
            <w:top w:w="0" w:type="dxa"/>
            <w:left w:w="108" w:type="dxa"/>
            <w:bottom w:w="0" w:type="dxa"/>
            <w:right w:w="108" w:type="dxa"/>
          </w:tblCellMar>
        </w:tblPrEx>
        <w:trPr>
          <w:trHeight w:val="1663" w:hRule="atLeast"/>
        </w:trPr>
        <w:tc>
          <w:tcPr>
            <w:tcW w:w="1272" w:type="dxa"/>
            <w:vMerge w:val="restart"/>
            <w:tcBorders>
              <w:top w:val="single" w:color="000000" w:sz="4" w:space="0"/>
              <w:left w:val="single" w:color="000000" w:sz="4" w:space="0"/>
              <w:right w:val="single" w:color="000000" w:sz="4" w:space="0"/>
            </w:tcBorders>
            <w:shd w:val="clear" w:color="auto" w:fill="auto"/>
            <w:noWrap/>
            <w:vAlign w:val="center"/>
          </w:tcPr>
          <w:p w14:paraId="12DC4468">
            <w:pPr>
              <w:spacing w:line="400" w:lineRule="exact"/>
              <w:jc w:val="center"/>
              <w:rPr>
                <w:rFonts w:hint="eastAsia" w:ascii="仿宋_GB2312" w:hAnsi="仿宋_GB2312" w:eastAsia="仿宋_GB2312" w:cs="仿宋_GB2312"/>
                <w:color w:val="000000"/>
                <w:kern w:val="0"/>
                <w:sz w:val="24"/>
                <w:szCs w:val="24"/>
                <w:highlight w:val="none"/>
                <w:lang w:val="en-US" w:eastAsia="zh-CN"/>
              </w:rPr>
            </w:pPr>
            <w:bookmarkStart w:id="6" w:name="OLE_LINK3"/>
            <w:bookmarkStart w:id="7" w:name="OLE_LINK2" w:colFirst="0" w:colLast="1"/>
            <w:r>
              <w:rPr>
                <w:rFonts w:hint="eastAsia" w:ascii="仿宋_GB2312" w:hAnsi="仿宋_GB2312" w:eastAsia="仿宋_GB2312" w:cs="仿宋_GB2312"/>
                <w:color w:val="000000"/>
                <w:kern w:val="0"/>
                <w:sz w:val="24"/>
                <w:szCs w:val="24"/>
                <w:highlight w:val="none"/>
                <w:lang w:val="en-US" w:eastAsia="zh-CN"/>
              </w:rPr>
              <w:t>市财政局</w:t>
            </w:r>
            <w:bookmarkEnd w:id="6"/>
          </w:p>
          <w:p w14:paraId="283CC923">
            <w:pPr>
              <w:spacing w:line="400" w:lineRule="exact"/>
              <w:jc w:val="center"/>
              <w:rPr>
                <w:rFonts w:hint="eastAsia" w:ascii="仿宋_GB2312" w:hAnsi="仿宋_GB2312" w:eastAsia="仿宋_GB2312" w:cs="仿宋_GB2312"/>
                <w:color w:val="000000"/>
                <w:kern w:val="0"/>
                <w:sz w:val="24"/>
                <w:szCs w:val="24"/>
                <w:highlight w:val="none"/>
                <w:lang w:val="en-US" w:eastAsia="zh-CN"/>
              </w:rPr>
            </w:pPr>
          </w:p>
        </w:tc>
        <w:tc>
          <w:tcPr>
            <w:tcW w:w="4507" w:type="dxa"/>
            <w:tcBorders>
              <w:top w:val="single" w:color="000000" w:sz="4" w:space="0"/>
              <w:left w:val="single" w:color="000000" w:sz="4" w:space="0"/>
              <w:bottom w:val="single" w:color="000000" w:sz="4" w:space="0"/>
              <w:right w:val="single" w:color="000000" w:sz="4" w:space="0"/>
            </w:tcBorders>
            <w:noWrap w:val="0"/>
            <w:vAlign w:val="center"/>
          </w:tcPr>
          <w:p w14:paraId="6854F63C">
            <w:pPr>
              <w:spacing w:line="400" w:lineRule="exact"/>
              <w:ind w:firstLine="480" w:firstLineChars="200"/>
              <w:jc w:val="both"/>
              <w:rPr>
                <w:rFonts w:hint="eastAsia" w:ascii="仿宋_GB2312" w:hAnsi="仿宋_GB2312" w:eastAsia="仿宋_GB2312" w:cs="仿宋_GB2312"/>
                <w:color w:val="000000"/>
                <w:kern w:val="0"/>
                <w:sz w:val="24"/>
                <w:szCs w:val="24"/>
                <w:highlight w:val="none"/>
                <w:lang w:val="en-US" w:eastAsia="zh-CN"/>
              </w:rPr>
            </w:pPr>
            <w:bookmarkStart w:id="8" w:name="OLE_LINK4"/>
            <w:r>
              <w:rPr>
                <w:rFonts w:hint="eastAsia" w:ascii="仿宋_GB2312" w:hAnsi="仿宋_GB2312" w:eastAsia="仿宋_GB2312" w:cs="仿宋_GB2312"/>
                <w:color w:val="000000"/>
                <w:kern w:val="0"/>
                <w:sz w:val="24"/>
                <w:szCs w:val="24"/>
                <w:highlight w:val="none"/>
                <w:lang w:val="en-US" w:eastAsia="zh-CN"/>
              </w:rPr>
              <w:t>1.建议将第五条中“</w:t>
            </w:r>
            <w:bookmarkStart w:id="9" w:name="OLE_LINK23"/>
            <w:bookmarkStart w:id="10" w:name="OLE_LINK24"/>
            <w:r>
              <w:rPr>
                <w:rFonts w:hint="eastAsia" w:ascii="仿宋_GB2312" w:hAnsi="仿宋_GB2312" w:eastAsia="仿宋_GB2312" w:cs="仿宋_GB2312"/>
                <w:color w:val="000000"/>
                <w:kern w:val="0"/>
                <w:sz w:val="24"/>
                <w:szCs w:val="24"/>
                <w:highlight w:val="none"/>
                <w:lang w:val="en-US" w:eastAsia="zh-CN"/>
              </w:rPr>
              <w:t>定额中未包括的主材价格及其他通讯设施费用，新购材料价格参考产权单位集采价格</w:t>
            </w:r>
            <w:bookmarkEnd w:id="9"/>
            <w:r>
              <w:rPr>
                <w:rFonts w:hint="eastAsia" w:ascii="仿宋_GB2312" w:hAnsi="仿宋_GB2312" w:eastAsia="仿宋_GB2312" w:cs="仿宋_GB2312"/>
                <w:color w:val="000000"/>
                <w:kern w:val="0"/>
                <w:sz w:val="24"/>
                <w:szCs w:val="24"/>
                <w:highlight w:val="none"/>
                <w:lang w:val="en-US" w:eastAsia="zh-CN"/>
              </w:rPr>
              <w:t>.</w:t>
            </w:r>
            <w:bookmarkEnd w:id="10"/>
            <w:r>
              <w:rPr>
                <w:rFonts w:hint="eastAsia" w:ascii="仿宋_GB2312" w:hAnsi="仿宋_GB2312" w:eastAsia="仿宋_GB2312" w:cs="仿宋_GB2312"/>
                <w:color w:val="000000"/>
                <w:kern w:val="0"/>
                <w:sz w:val="24"/>
                <w:szCs w:val="24"/>
                <w:highlight w:val="none"/>
                <w:lang w:val="en-US" w:eastAsia="zh-CN"/>
              </w:rPr>
              <w:t>..”修改为“定额中未包括的主材价格及其他通讯设施费用，新购材料价格参考产权单位集采价格并结合市场价格确定。”</w:t>
            </w:r>
            <w:bookmarkEnd w:id="8"/>
          </w:p>
        </w:tc>
        <w:tc>
          <w:tcPr>
            <w:tcW w:w="1293" w:type="dxa"/>
            <w:tcBorders>
              <w:top w:val="single" w:color="000000" w:sz="4" w:space="0"/>
              <w:left w:val="single" w:color="000000" w:sz="4" w:space="0"/>
              <w:bottom w:val="single" w:color="000000" w:sz="4" w:space="0"/>
              <w:right w:val="single" w:color="000000" w:sz="4" w:space="0"/>
            </w:tcBorders>
            <w:noWrap/>
            <w:vAlign w:val="center"/>
          </w:tcPr>
          <w:p w14:paraId="453C098C">
            <w:pPr>
              <w:spacing w:line="400" w:lineRule="exact"/>
              <w:jc w:val="center"/>
              <w:rPr>
                <w:rFonts w:hint="default" w:ascii="仿宋_GB2312" w:hAnsi="仿宋_GB2312" w:eastAsia="仿宋_GB2312" w:cs="仿宋_GB2312"/>
                <w:color w:val="000000"/>
                <w:kern w:val="0"/>
                <w:sz w:val="24"/>
                <w:szCs w:val="24"/>
                <w:highlight w:val="none"/>
                <w:lang w:val="en-US" w:eastAsia="zh-CN"/>
              </w:rPr>
            </w:pPr>
            <w:r>
              <w:rPr>
                <w:rFonts w:hint="eastAsia" w:ascii="仿宋_GB2312" w:hAnsi="仿宋_GB2312" w:eastAsia="仿宋_GB2312" w:cs="仿宋_GB2312"/>
                <w:color w:val="000000"/>
                <w:kern w:val="0"/>
                <w:sz w:val="24"/>
                <w:szCs w:val="24"/>
                <w:highlight w:val="none"/>
                <w:lang w:val="en-US" w:eastAsia="zh-CN"/>
              </w:rPr>
              <w:t>采纳</w:t>
            </w:r>
          </w:p>
        </w:tc>
        <w:tc>
          <w:tcPr>
            <w:tcW w:w="2647" w:type="dxa"/>
            <w:tcBorders>
              <w:top w:val="single" w:color="000000" w:sz="4" w:space="0"/>
              <w:left w:val="single" w:color="000000" w:sz="4" w:space="0"/>
              <w:bottom w:val="single" w:color="000000" w:sz="4" w:space="0"/>
              <w:right w:val="single" w:color="000000" w:sz="4" w:space="0"/>
            </w:tcBorders>
            <w:noWrap/>
            <w:vAlign w:val="center"/>
          </w:tcPr>
          <w:p w14:paraId="7EC1F9EB">
            <w:pPr>
              <w:spacing w:line="400" w:lineRule="exact"/>
              <w:jc w:val="left"/>
              <w:rPr>
                <w:rFonts w:hint="default" w:ascii="仿宋_GB2312" w:hAnsi="仿宋_GB2312" w:eastAsia="仿宋_GB2312" w:cs="仿宋_GB2312"/>
                <w:color w:val="000000"/>
                <w:kern w:val="0"/>
                <w:sz w:val="24"/>
                <w:szCs w:val="24"/>
                <w:highlight w:val="none"/>
                <w:lang w:val="en-US" w:eastAsia="zh-CN"/>
              </w:rPr>
            </w:pPr>
          </w:p>
        </w:tc>
      </w:tr>
      <w:tr w14:paraId="28DDDD6E">
        <w:tblPrEx>
          <w:tblCellMar>
            <w:top w:w="0" w:type="dxa"/>
            <w:left w:w="108" w:type="dxa"/>
            <w:bottom w:w="0" w:type="dxa"/>
            <w:right w:w="108" w:type="dxa"/>
          </w:tblCellMar>
        </w:tblPrEx>
        <w:trPr>
          <w:trHeight w:val="1663" w:hRule="atLeast"/>
        </w:trPr>
        <w:tc>
          <w:tcPr>
            <w:tcW w:w="1272" w:type="dxa"/>
            <w:vMerge w:val="continue"/>
            <w:tcBorders>
              <w:left w:val="single" w:color="000000" w:sz="4" w:space="0"/>
              <w:right w:val="single" w:color="000000" w:sz="4" w:space="0"/>
            </w:tcBorders>
            <w:shd w:val="clear" w:color="auto" w:fill="auto"/>
            <w:noWrap/>
            <w:vAlign w:val="center"/>
          </w:tcPr>
          <w:p w14:paraId="02202E20">
            <w:pPr>
              <w:spacing w:line="400" w:lineRule="exact"/>
              <w:jc w:val="center"/>
              <w:rPr>
                <w:rFonts w:hint="eastAsia" w:ascii="仿宋_GB2312" w:hAnsi="仿宋_GB2312" w:eastAsia="仿宋_GB2312" w:cs="仿宋_GB2312"/>
                <w:color w:val="000000"/>
                <w:kern w:val="0"/>
                <w:sz w:val="24"/>
                <w:szCs w:val="24"/>
                <w:highlight w:val="none"/>
                <w:lang w:val="en-US" w:eastAsia="zh-CN"/>
              </w:rPr>
            </w:pPr>
          </w:p>
        </w:tc>
        <w:tc>
          <w:tcPr>
            <w:tcW w:w="4507" w:type="dxa"/>
            <w:tcBorders>
              <w:top w:val="single" w:color="000000" w:sz="4" w:space="0"/>
              <w:left w:val="single" w:color="000000" w:sz="4" w:space="0"/>
              <w:bottom w:val="single" w:color="000000" w:sz="4" w:space="0"/>
              <w:right w:val="single" w:color="000000" w:sz="4" w:space="0"/>
            </w:tcBorders>
            <w:noWrap w:val="0"/>
            <w:vAlign w:val="center"/>
          </w:tcPr>
          <w:p w14:paraId="2FF84B1B">
            <w:pPr>
              <w:spacing w:line="400" w:lineRule="exact"/>
              <w:ind w:firstLine="480" w:firstLineChars="200"/>
              <w:jc w:val="both"/>
              <w:rPr>
                <w:rFonts w:hint="default" w:ascii="仿宋_GB2312" w:hAnsi="仿宋_GB2312" w:eastAsia="仿宋_GB2312" w:cs="仿宋_GB2312"/>
                <w:color w:val="000000"/>
                <w:kern w:val="0"/>
                <w:sz w:val="24"/>
                <w:szCs w:val="24"/>
                <w:highlight w:val="none"/>
                <w:lang w:val="en-US" w:eastAsia="zh-CN"/>
              </w:rPr>
            </w:pPr>
            <w:bookmarkStart w:id="11" w:name="OLE_LINK5"/>
            <w:r>
              <w:rPr>
                <w:rFonts w:hint="eastAsia" w:ascii="仿宋_GB2312" w:hAnsi="仿宋_GB2312" w:eastAsia="仿宋_GB2312" w:cs="仿宋_GB2312"/>
                <w:color w:val="000000"/>
                <w:kern w:val="0"/>
                <w:sz w:val="24"/>
                <w:szCs w:val="24"/>
                <w:highlight w:val="none"/>
                <w:lang w:val="en-US" w:eastAsia="zh-CN"/>
              </w:rPr>
              <w:t>2.建议将第十条“竣工验收通过后，由建设单位委托所在地财政部门或第三方专业机构.......”修改为“竣工验收通过后，由建设单位根据政府相关评审办法委托所在地财政部门或第三方专业机构......”</w:t>
            </w:r>
            <w:bookmarkEnd w:id="11"/>
          </w:p>
        </w:tc>
        <w:tc>
          <w:tcPr>
            <w:tcW w:w="1293" w:type="dxa"/>
            <w:tcBorders>
              <w:top w:val="single" w:color="000000" w:sz="4" w:space="0"/>
              <w:left w:val="single" w:color="000000" w:sz="4" w:space="0"/>
              <w:bottom w:val="single" w:color="000000" w:sz="4" w:space="0"/>
              <w:right w:val="single" w:color="000000" w:sz="4" w:space="0"/>
            </w:tcBorders>
            <w:noWrap/>
            <w:vAlign w:val="center"/>
          </w:tcPr>
          <w:p w14:paraId="5E052532">
            <w:pPr>
              <w:spacing w:line="400" w:lineRule="exact"/>
              <w:jc w:val="center"/>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eastAsia="仿宋_GB2312" w:cs="仿宋_GB2312"/>
                <w:color w:val="000000"/>
                <w:kern w:val="0"/>
                <w:sz w:val="24"/>
                <w:szCs w:val="24"/>
                <w:highlight w:val="none"/>
                <w:lang w:val="en-US" w:eastAsia="zh-CN"/>
              </w:rPr>
              <w:t>采纳</w:t>
            </w:r>
          </w:p>
        </w:tc>
        <w:tc>
          <w:tcPr>
            <w:tcW w:w="2647" w:type="dxa"/>
            <w:tcBorders>
              <w:top w:val="single" w:color="000000" w:sz="4" w:space="0"/>
              <w:left w:val="single" w:color="000000" w:sz="4" w:space="0"/>
              <w:bottom w:val="single" w:color="000000" w:sz="4" w:space="0"/>
              <w:right w:val="single" w:color="000000" w:sz="4" w:space="0"/>
            </w:tcBorders>
            <w:noWrap/>
            <w:vAlign w:val="center"/>
          </w:tcPr>
          <w:p w14:paraId="024E92F7">
            <w:pPr>
              <w:spacing w:line="400" w:lineRule="exact"/>
              <w:jc w:val="center"/>
              <w:rPr>
                <w:rFonts w:hint="eastAsia" w:ascii="仿宋_GB2312" w:hAnsi="仿宋_GB2312" w:eastAsia="仿宋_GB2312" w:cs="仿宋_GB2312"/>
                <w:color w:val="000000"/>
                <w:kern w:val="0"/>
                <w:sz w:val="24"/>
                <w:szCs w:val="24"/>
                <w:highlight w:val="none"/>
                <w:lang w:val="en-US" w:eastAsia="zh-CN"/>
              </w:rPr>
            </w:pPr>
          </w:p>
        </w:tc>
      </w:tr>
      <w:tr w14:paraId="179600B8">
        <w:tblPrEx>
          <w:tblCellMar>
            <w:top w:w="0" w:type="dxa"/>
            <w:left w:w="108" w:type="dxa"/>
            <w:bottom w:w="0" w:type="dxa"/>
            <w:right w:w="108" w:type="dxa"/>
          </w:tblCellMar>
        </w:tblPrEx>
        <w:trPr>
          <w:trHeight w:val="1735" w:hRule="atLeast"/>
        </w:trPr>
        <w:tc>
          <w:tcPr>
            <w:tcW w:w="1272" w:type="dxa"/>
            <w:vMerge w:val="continue"/>
            <w:tcBorders>
              <w:left w:val="single" w:color="000000" w:sz="4" w:space="0"/>
              <w:bottom w:val="single" w:color="000000" w:sz="4" w:space="0"/>
              <w:right w:val="single" w:color="000000" w:sz="4" w:space="0"/>
            </w:tcBorders>
            <w:shd w:val="clear" w:color="auto" w:fill="auto"/>
            <w:noWrap/>
            <w:vAlign w:val="center"/>
          </w:tcPr>
          <w:p w14:paraId="033FF526">
            <w:pPr>
              <w:spacing w:line="400" w:lineRule="exact"/>
              <w:jc w:val="center"/>
              <w:rPr>
                <w:rFonts w:hint="eastAsia" w:ascii="仿宋_GB2312" w:hAnsi="仿宋_GB2312" w:eastAsia="仿宋_GB2312" w:cs="仿宋_GB2312"/>
                <w:color w:val="000000"/>
                <w:kern w:val="0"/>
                <w:sz w:val="24"/>
                <w:szCs w:val="24"/>
                <w:highlight w:val="none"/>
                <w:lang w:val="en-US" w:eastAsia="zh-CN"/>
              </w:rPr>
            </w:pPr>
          </w:p>
        </w:tc>
        <w:tc>
          <w:tcPr>
            <w:tcW w:w="4507" w:type="dxa"/>
            <w:tcBorders>
              <w:top w:val="single" w:color="000000" w:sz="4" w:space="0"/>
              <w:left w:val="single" w:color="000000" w:sz="4" w:space="0"/>
              <w:bottom w:val="single" w:color="000000" w:sz="4" w:space="0"/>
              <w:right w:val="single" w:color="000000" w:sz="4" w:space="0"/>
            </w:tcBorders>
            <w:noWrap w:val="0"/>
            <w:vAlign w:val="center"/>
          </w:tcPr>
          <w:p w14:paraId="7BC29D2A">
            <w:pPr>
              <w:spacing w:line="400" w:lineRule="exact"/>
              <w:ind w:firstLine="480" w:firstLineChars="200"/>
              <w:jc w:val="both"/>
              <w:rPr>
                <w:rFonts w:hint="eastAsia" w:ascii="仿宋_GB2312" w:hAnsi="仿宋_GB2312" w:eastAsia="仿宋_GB2312" w:cs="仿宋_GB2312"/>
                <w:color w:val="000000"/>
                <w:kern w:val="0"/>
                <w:sz w:val="24"/>
                <w:szCs w:val="24"/>
                <w:highlight w:val="none"/>
                <w:lang w:val="en-US" w:eastAsia="zh-CN"/>
              </w:rPr>
            </w:pPr>
            <w:bookmarkStart w:id="12" w:name="OLE_LINK26"/>
            <w:bookmarkStart w:id="13" w:name="OLE_LINK6"/>
            <w:r>
              <w:rPr>
                <w:rFonts w:hint="eastAsia" w:ascii="仿宋_GB2312" w:hAnsi="仿宋_GB2312" w:eastAsia="仿宋_GB2312" w:cs="仿宋_GB2312"/>
                <w:color w:val="000000"/>
                <w:kern w:val="0"/>
                <w:sz w:val="24"/>
                <w:szCs w:val="24"/>
                <w:highlight w:val="none"/>
                <w:lang w:val="en-US" w:eastAsia="zh-CN"/>
              </w:rPr>
              <w:t>3.建议将第四条整条修改为“通信设施迁改补偿费用为</w:t>
            </w:r>
            <w:bookmarkStart w:id="14" w:name="OLE_LINK25"/>
            <w:r>
              <w:rPr>
                <w:rFonts w:hint="eastAsia" w:ascii="仿宋_GB2312" w:hAnsi="仿宋_GB2312" w:eastAsia="仿宋_GB2312" w:cs="仿宋_GB2312"/>
                <w:color w:val="000000"/>
                <w:kern w:val="0"/>
                <w:sz w:val="24"/>
                <w:szCs w:val="24"/>
                <w:highlight w:val="none"/>
                <w:lang w:val="en-US" w:eastAsia="zh-CN"/>
              </w:rPr>
              <w:t>迁改工程费用(通信设施的临时迁改、管道重建及迁入工程的费用)。</w:t>
            </w:r>
            <w:bookmarkEnd w:id="14"/>
            <w:r>
              <w:rPr>
                <w:rFonts w:hint="eastAsia" w:ascii="仿宋_GB2312" w:hAnsi="仿宋_GB2312" w:eastAsia="仿宋_GB2312" w:cs="仿宋_GB2312"/>
                <w:color w:val="000000"/>
                <w:kern w:val="0"/>
                <w:sz w:val="24"/>
                <w:szCs w:val="24"/>
                <w:highlight w:val="none"/>
                <w:lang w:val="en-US" w:eastAsia="zh-CN"/>
              </w:rPr>
              <w:t>”</w:t>
            </w:r>
            <w:bookmarkEnd w:id="12"/>
            <w:r>
              <w:rPr>
                <w:rFonts w:hint="eastAsia" w:ascii="仿宋_GB2312" w:hAnsi="仿宋_GB2312" w:eastAsia="仿宋_GB2312" w:cs="仿宋_GB2312"/>
                <w:color w:val="000000"/>
                <w:kern w:val="0"/>
                <w:sz w:val="24"/>
                <w:szCs w:val="24"/>
                <w:highlight w:val="none"/>
                <w:lang w:val="en-US" w:eastAsia="zh-CN"/>
              </w:rPr>
              <w:t>并将第六条删除</w:t>
            </w:r>
            <w:bookmarkEnd w:id="13"/>
          </w:p>
        </w:tc>
        <w:tc>
          <w:tcPr>
            <w:tcW w:w="1293" w:type="dxa"/>
            <w:tcBorders>
              <w:top w:val="single" w:color="000000" w:sz="4" w:space="0"/>
              <w:left w:val="single" w:color="000000" w:sz="4" w:space="0"/>
              <w:bottom w:val="single" w:color="000000" w:sz="4" w:space="0"/>
              <w:right w:val="single" w:color="000000" w:sz="4" w:space="0"/>
            </w:tcBorders>
            <w:noWrap/>
            <w:vAlign w:val="center"/>
          </w:tcPr>
          <w:p w14:paraId="08EFCDA5">
            <w:pPr>
              <w:spacing w:line="400" w:lineRule="exact"/>
              <w:jc w:val="center"/>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eastAsia="仿宋_GB2312" w:cs="仿宋_GB2312"/>
                <w:color w:val="000000"/>
                <w:kern w:val="0"/>
                <w:sz w:val="24"/>
                <w:szCs w:val="24"/>
                <w:highlight w:val="none"/>
                <w:lang w:val="en-US" w:eastAsia="zh-CN"/>
              </w:rPr>
              <w:t>未采纳</w:t>
            </w:r>
          </w:p>
        </w:tc>
        <w:tc>
          <w:tcPr>
            <w:tcW w:w="2647" w:type="dxa"/>
            <w:tcBorders>
              <w:top w:val="single" w:color="000000" w:sz="4" w:space="0"/>
              <w:left w:val="single" w:color="000000" w:sz="4" w:space="0"/>
              <w:bottom w:val="single" w:color="000000" w:sz="4" w:space="0"/>
              <w:right w:val="single" w:color="000000" w:sz="4" w:space="0"/>
            </w:tcBorders>
            <w:noWrap/>
            <w:vAlign w:val="center"/>
          </w:tcPr>
          <w:p w14:paraId="37C0568A">
            <w:pPr>
              <w:spacing w:line="400" w:lineRule="exact"/>
              <w:jc w:val="both"/>
              <w:rPr>
                <w:rFonts w:hint="default" w:ascii="仿宋_GB2312" w:hAnsi="仿宋_GB2312" w:eastAsia="仿宋_GB2312" w:cs="仿宋_GB2312"/>
                <w:color w:val="000000"/>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《江西省电信条例》第27条规</w:t>
            </w:r>
            <w:r>
              <w:rPr>
                <w:rFonts w:hint="eastAsia" w:ascii="仿宋_GB2312" w:hAnsi="仿宋_GB2312" w:eastAsia="仿宋_GB2312" w:cs="仿宋_GB2312"/>
                <w:color w:val="000000"/>
                <w:kern w:val="0"/>
                <w:sz w:val="24"/>
                <w:szCs w:val="24"/>
                <w:highlight w:val="none"/>
                <w:lang w:val="en-US" w:eastAsia="zh-CN"/>
              </w:rPr>
              <w:t>定，任何单位或者个人不得擅自改动、迁移、拆除他人的电信设施。确因特殊情况需要改动、迁移、拆除的，应当与电信设施所有人协商一致后方可施工。因城市建设、规划调整等需要改动、迁移、拆除电信设施的，建设单位应当与电信设施所有人就经济补偿、设施防护、选址重建等进行协商。</w:t>
            </w:r>
          </w:p>
        </w:tc>
      </w:tr>
      <w:tr w14:paraId="7D68E801">
        <w:tblPrEx>
          <w:tblCellMar>
            <w:top w:w="0" w:type="dxa"/>
            <w:left w:w="108" w:type="dxa"/>
            <w:bottom w:w="0" w:type="dxa"/>
            <w:right w:w="108" w:type="dxa"/>
          </w:tblCellMar>
        </w:tblPrEx>
        <w:trPr>
          <w:trHeight w:val="1296" w:hRule="atLeast"/>
        </w:trPr>
        <w:tc>
          <w:tcPr>
            <w:tcW w:w="1272" w:type="dxa"/>
            <w:vMerge w:val="restart"/>
            <w:tcBorders>
              <w:top w:val="single" w:color="000000" w:sz="4" w:space="0"/>
              <w:left w:val="single" w:color="000000" w:sz="4" w:space="0"/>
              <w:right w:val="single" w:color="000000" w:sz="4" w:space="0"/>
            </w:tcBorders>
            <w:noWrap/>
            <w:vAlign w:val="center"/>
          </w:tcPr>
          <w:p w14:paraId="1D6CB9C4">
            <w:pPr>
              <w:spacing w:line="400" w:lineRule="exact"/>
              <w:jc w:val="center"/>
              <w:rPr>
                <w:rFonts w:hint="eastAsia" w:ascii="仿宋_GB2312" w:hAnsi="仿宋_GB2312" w:eastAsia="仿宋_GB2312" w:cs="仿宋_GB2312"/>
                <w:color w:val="000000"/>
                <w:kern w:val="0"/>
                <w:sz w:val="24"/>
                <w:szCs w:val="24"/>
                <w:highlight w:val="none"/>
                <w:lang w:val="en-US" w:eastAsia="zh-CN"/>
              </w:rPr>
            </w:pPr>
            <w:bookmarkStart w:id="15" w:name="OLE_LINK7" w:colFirst="0" w:colLast="1"/>
            <w:r>
              <w:rPr>
                <w:rFonts w:hint="eastAsia" w:ascii="仿宋_GB2312" w:hAnsi="仿宋_GB2312" w:eastAsia="仿宋_GB2312" w:cs="仿宋_GB2312"/>
                <w:color w:val="000000"/>
                <w:kern w:val="0"/>
                <w:sz w:val="24"/>
                <w:szCs w:val="24"/>
                <w:highlight w:val="none"/>
                <w:lang w:val="en-US" w:eastAsia="zh-CN"/>
              </w:rPr>
              <w:t>市文广旅局</w:t>
            </w:r>
          </w:p>
        </w:tc>
        <w:tc>
          <w:tcPr>
            <w:tcW w:w="4507" w:type="dxa"/>
            <w:tcBorders>
              <w:top w:val="single" w:color="000000" w:sz="4" w:space="0"/>
              <w:left w:val="single" w:color="000000" w:sz="4" w:space="0"/>
              <w:bottom w:val="single" w:color="000000" w:sz="4" w:space="0"/>
              <w:right w:val="single" w:color="000000" w:sz="4" w:space="0"/>
            </w:tcBorders>
            <w:noWrap w:val="0"/>
            <w:vAlign w:val="center"/>
          </w:tcPr>
          <w:p w14:paraId="11331570">
            <w:pPr>
              <w:spacing w:line="400" w:lineRule="exact"/>
              <w:ind w:firstLine="480" w:firstLineChars="200"/>
              <w:jc w:val="both"/>
              <w:rPr>
                <w:rFonts w:hint="eastAsia" w:ascii="仿宋_GB2312" w:hAnsi="仿宋_GB2312" w:eastAsia="仿宋_GB2312" w:cs="仿宋_GB2312"/>
                <w:color w:val="000000"/>
                <w:kern w:val="0"/>
                <w:sz w:val="24"/>
                <w:szCs w:val="24"/>
                <w:highlight w:val="none"/>
                <w:lang w:val="en-US" w:eastAsia="zh-CN"/>
              </w:rPr>
            </w:pPr>
            <w:bookmarkStart w:id="16" w:name="OLE_LINK9"/>
            <w:r>
              <w:rPr>
                <w:rFonts w:hint="eastAsia" w:ascii="仿宋_GB2312" w:hAnsi="仿宋_GB2312" w:eastAsia="仿宋_GB2312" w:cs="仿宋_GB2312"/>
                <w:color w:val="000000"/>
                <w:kern w:val="0"/>
                <w:sz w:val="24"/>
                <w:szCs w:val="24"/>
                <w:highlight w:val="none"/>
                <w:lang w:val="en-US" w:eastAsia="zh-CN"/>
              </w:rPr>
              <w:t>1.建议《办法》第一条中“根据《中华人民共和国电信条例》《江西省电信条例》，结合我市实际……”修改为“根据《中华人民共和国电信条例》《广播电视管理条例》《广播电视设施保护条例》《江西省电信条例》《江西省广播电视管理条例》，结合我市实际……”</w:t>
            </w:r>
            <w:bookmarkEnd w:id="16"/>
          </w:p>
        </w:tc>
        <w:tc>
          <w:tcPr>
            <w:tcW w:w="1293" w:type="dxa"/>
            <w:tcBorders>
              <w:top w:val="single" w:color="000000" w:sz="4" w:space="0"/>
              <w:left w:val="single" w:color="000000" w:sz="4" w:space="0"/>
              <w:bottom w:val="single" w:color="000000" w:sz="4" w:space="0"/>
              <w:right w:val="single" w:color="000000" w:sz="4" w:space="0"/>
            </w:tcBorders>
            <w:noWrap/>
            <w:vAlign w:val="center"/>
          </w:tcPr>
          <w:p w14:paraId="20865959">
            <w:pPr>
              <w:spacing w:line="400" w:lineRule="exact"/>
              <w:jc w:val="center"/>
              <w:rPr>
                <w:rFonts w:hint="default" w:ascii="仿宋_GB2312" w:hAnsi="仿宋_GB2312" w:eastAsia="仿宋_GB2312" w:cs="仿宋_GB2312"/>
                <w:color w:val="000000"/>
                <w:kern w:val="0"/>
                <w:sz w:val="24"/>
                <w:szCs w:val="24"/>
                <w:highlight w:val="none"/>
                <w:lang w:val="en-US" w:eastAsia="zh-CN"/>
              </w:rPr>
            </w:pPr>
            <w:r>
              <w:rPr>
                <w:rFonts w:hint="eastAsia" w:ascii="仿宋_GB2312" w:hAnsi="仿宋_GB2312" w:eastAsia="仿宋_GB2312" w:cs="仿宋_GB2312"/>
                <w:color w:val="000000"/>
                <w:kern w:val="0"/>
                <w:sz w:val="24"/>
                <w:szCs w:val="24"/>
                <w:highlight w:val="none"/>
                <w:lang w:val="en-US" w:eastAsia="zh-CN"/>
              </w:rPr>
              <w:t>采纳</w:t>
            </w:r>
          </w:p>
        </w:tc>
        <w:tc>
          <w:tcPr>
            <w:tcW w:w="2647" w:type="dxa"/>
            <w:tcBorders>
              <w:top w:val="single" w:color="000000" w:sz="4" w:space="0"/>
              <w:left w:val="single" w:color="000000" w:sz="4" w:space="0"/>
              <w:bottom w:val="single" w:color="000000" w:sz="4" w:space="0"/>
              <w:right w:val="single" w:color="000000" w:sz="4" w:space="0"/>
            </w:tcBorders>
            <w:noWrap/>
            <w:vAlign w:val="center"/>
          </w:tcPr>
          <w:p w14:paraId="059B8129">
            <w:pPr>
              <w:spacing w:line="400" w:lineRule="exact"/>
              <w:jc w:val="left"/>
              <w:rPr>
                <w:rFonts w:hint="default" w:ascii="仿宋_GB2312" w:hAnsi="仿宋_GB2312" w:eastAsia="仿宋_GB2312" w:cs="仿宋_GB2312"/>
                <w:color w:val="000000"/>
                <w:kern w:val="0"/>
                <w:sz w:val="24"/>
                <w:szCs w:val="24"/>
                <w:highlight w:val="none"/>
                <w:lang w:val="en-US" w:eastAsia="zh-CN"/>
              </w:rPr>
            </w:pPr>
          </w:p>
        </w:tc>
      </w:tr>
      <w:bookmarkEnd w:id="15"/>
      <w:tr w14:paraId="12828C5D">
        <w:tblPrEx>
          <w:tblCellMar>
            <w:top w:w="0" w:type="dxa"/>
            <w:left w:w="108" w:type="dxa"/>
            <w:bottom w:w="0" w:type="dxa"/>
            <w:right w:w="108" w:type="dxa"/>
          </w:tblCellMar>
        </w:tblPrEx>
        <w:trPr>
          <w:trHeight w:val="1717" w:hRule="atLeast"/>
        </w:trPr>
        <w:tc>
          <w:tcPr>
            <w:tcW w:w="1272" w:type="dxa"/>
            <w:vMerge w:val="continue"/>
            <w:tcBorders>
              <w:left w:val="single" w:color="000000" w:sz="4" w:space="0"/>
              <w:right w:val="single" w:color="000000" w:sz="4" w:space="0"/>
            </w:tcBorders>
            <w:noWrap/>
            <w:vAlign w:val="center"/>
          </w:tcPr>
          <w:p w14:paraId="584C054E">
            <w:pPr>
              <w:spacing w:line="400" w:lineRule="exact"/>
              <w:jc w:val="center"/>
              <w:rPr>
                <w:rFonts w:hint="eastAsia" w:ascii="仿宋_GB2312" w:hAnsi="仿宋_GB2312" w:eastAsia="仿宋_GB2312" w:cs="仿宋_GB2312"/>
                <w:color w:val="000000"/>
                <w:kern w:val="0"/>
                <w:sz w:val="24"/>
                <w:szCs w:val="24"/>
                <w:highlight w:val="none"/>
                <w:lang w:val="en-US" w:eastAsia="zh-CN"/>
              </w:rPr>
            </w:pPr>
          </w:p>
        </w:tc>
        <w:tc>
          <w:tcPr>
            <w:tcW w:w="4507" w:type="dxa"/>
            <w:tcBorders>
              <w:top w:val="single" w:color="000000" w:sz="4" w:space="0"/>
              <w:left w:val="single" w:color="000000" w:sz="4" w:space="0"/>
              <w:right w:val="single" w:color="000000" w:sz="4" w:space="0"/>
            </w:tcBorders>
            <w:noWrap w:val="0"/>
            <w:vAlign w:val="center"/>
          </w:tcPr>
          <w:p w14:paraId="4E791EB0">
            <w:pPr>
              <w:numPr>
                <w:ilvl w:val="0"/>
                <w:numId w:val="0"/>
              </w:numPr>
              <w:spacing w:line="400" w:lineRule="exact"/>
              <w:ind w:firstLine="480" w:firstLineChars="200"/>
              <w:jc w:val="both"/>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eastAsia="仿宋_GB2312" w:cs="仿宋_GB2312"/>
                <w:color w:val="000000"/>
                <w:kern w:val="0"/>
                <w:sz w:val="24"/>
                <w:szCs w:val="24"/>
                <w:highlight w:val="none"/>
                <w:lang w:val="en-US" w:eastAsia="zh-CN"/>
              </w:rPr>
              <w:t>2.建议《办法》第二条中“本办法所称通信设施，是指为社会公众提供电信服务、实现电信功能的基站/室内分布系统/机房/柜、光/电缆、管道、杆/塔、光纤宽带分纤箱光交箱等通信设备及其配套设施。”修改为“本办法所称通信及广播电视设施，是指为社会公众提供电信、广播电视服务、实现电信、广播电视功能的基站/室内分布系统/机房/柜光/电缆、管道、杆/塔、光纤宽带分纤箱、光交箱等通信设备及其附属配套设施”。</w:t>
            </w:r>
          </w:p>
        </w:tc>
        <w:tc>
          <w:tcPr>
            <w:tcW w:w="1293" w:type="dxa"/>
            <w:tcBorders>
              <w:top w:val="single" w:color="000000" w:sz="4" w:space="0"/>
              <w:left w:val="single" w:color="000000" w:sz="4" w:space="0"/>
              <w:right w:val="single" w:color="000000" w:sz="4" w:space="0"/>
            </w:tcBorders>
            <w:noWrap/>
            <w:vAlign w:val="center"/>
          </w:tcPr>
          <w:p w14:paraId="157B26D3">
            <w:pPr>
              <w:spacing w:line="400" w:lineRule="exact"/>
              <w:jc w:val="center"/>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eastAsia="仿宋_GB2312" w:cs="仿宋_GB2312"/>
                <w:color w:val="000000"/>
                <w:kern w:val="0"/>
                <w:sz w:val="24"/>
                <w:szCs w:val="24"/>
                <w:highlight w:val="none"/>
                <w:lang w:val="en-US" w:eastAsia="zh-CN"/>
              </w:rPr>
              <w:t>采纳</w:t>
            </w:r>
          </w:p>
        </w:tc>
        <w:tc>
          <w:tcPr>
            <w:tcW w:w="2647" w:type="dxa"/>
            <w:tcBorders>
              <w:top w:val="single" w:color="000000" w:sz="4" w:space="0"/>
              <w:left w:val="single" w:color="000000" w:sz="4" w:space="0"/>
              <w:bottom w:val="single" w:color="000000" w:sz="4" w:space="0"/>
              <w:right w:val="single" w:color="000000" w:sz="4" w:space="0"/>
            </w:tcBorders>
            <w:noWrap/>
            <w:vAlign w:val="center"/>
          </w:tcPr>
          <w:p w14:paraId="489550BC">
            <w:pPr>
              <w:spacing w:line="400" w:lineRule="exact"/>
              <w:jc w:val="center"/>
              <w:rPr>
                <w:rFonts w:hint="eastAsia" w:ascii="仿宋_GB2312" w:hAnsi="仿宋_GB2312" w:eastAsia="仿宋_GB2312" w:cs="仿宋_GB2312"/>
                <w:color w:val="000000"/>
                <w:kern w:val="0"/>
                <w:sz w:val="24"/>
                <w:szCs w:val="24"/>
                <w:highlight w:val="none"/>
                <w:lang w:val="en-US" w:eastAsia="zh-CN"/>
              </w:rPr>
            </w:pPr>
          </w:p>
        </w:tc>
      </w:tr>
      <w:bookmarkEnd w:id="7"/>
      <w:tr w14:paraId="6B196615">
        <w:tblPrEx>
          <w:tblCellMar>
            <w:top w:w="0" w:type="dxa"/>
            <w:left w:w="108" w:type="dxa"/>
            <w:bottom w:w="0" w:type="dxa"/>
            <w:right w:w="108" w:type="dxa"/>
          </w:tblCellMar>
        </w:tblPrEx>
        <w:trPr>
          <w:trHeight w:val="1237" w:hRule="atLeast"/>
        </w:trPr>
        <w:tc>
          <w:tcPr>
            <w:tcW w:w="1272" w:type="dxa"/>
            <w:vMerge w:val="restart"/>
            <w:tcBorders>
              <w:top w:val="single" w:color="000000" w:sz="4" w:space="0"/>
              <w:left w:val="single" w:color="000000" w:sz="4" w:space="0"/>
              <w:right w:val="single" w:color="auto" w:sz="4" w:space="0"/>
            </w:tcBorders>
            <w:shd w:val="clear" w:color="auto" w:fill="auto"/>
            <w:noWrap/>
            <w:vAlign w:val="center"/>
          </w:tcPr>
          <w:p w14:paraId="1F5B7757">
            <w:pPr>
              <w:spacing w:line="400" w:lineRule="exact"/>
              <w:jc w:val="center"/>
              <w:rPr>
                <w:rFonts w:hint="default" w:ascii="仿宋_GB2312" w:hAnsi="仿宋_GB2312" w:eastAsia="仿宋_GB2312" w:cs="仿宋_GB2312"/>
                <w:color w:val="000000"/>
                <w:kern w:val="0"/>
                <w:sz w:val="24"/>
                <w:szCs w:val="24"/>
                <w:highlight w:val="none"/>
                <w:lang w:val="en-US" w:eastAsia="zh-CN" w:bidi="ar-SA"/>
              </w:rPr>
            </w:pPr>
            <w:bookmarkStart w:id="17" w:name="OLE_LINK27" w:colFirst="3" w:colLast="3"/>
            <w:r>
              <w:rPr>
                <w:rFonts w:hint="eastAsia" w:ascii="仿宋_GB2312" w:hAnsi="仿宋_GB2312" w:eastAsia="仿宋_GB2312" w:cs="仿宋_GB2312"/>
                <w:color w:val="000000"/>
                <w:kern w:val="0"/>
                <w:sz w:val="24"/>
                <w:szCs w:val="24"/>
                <w:highlight w:val="none"/>
                <w:lang w:val="en-US" w:eastAsia="zh-CN" w:bidi="ar-SA"/>
              </w:rPr>
              <w:t>高新区管委会</w:t>
            </w:r>
          </w:p>
        </w:tc>
        <w:tc>
          <w:tcPr>
            <w:tcW w:w="4507" w:type="dxa"/>
            <w:tcBorders>
              <w:top w:val="single" w:color="000000" w:sz="4" w:space="0"/>
              <w:left w:val="single" w:color="auto" w:sz="4" w:space="0"/>
              <w:bottom w:val="single" w:color="000000" w:sz="4" w:space="0"/>
              <w:right w:val="single" w:color="auto" w:sz="4" w:space="0"/>
            </w:tcBorders>
            <w:shd w:val="clear" w:color="auto" w:fill="auto"/>
            <w:noWrap w:val="0"/>
            <w:vAlign w:val="center"/>
          </w:tcPr>
          <w:p w14:paraId="05412D99">
            <w:pPr>
              <w:numPr>
                <w:ilvl w:val="0"/>
                <w:numId w:val="1"/>
              </w:numPr>
              <w:spacing w:line="400" w:lineRule="exact"/>
              <w:ind w:firstLine="480" w:firstLineChars="200"/>
              <w:jc w:val="both"/>
              <w:rPr>
                <w:rFonts w:hint="eastAsia" w:ascii="仿宋_GB2312" w:hAnsi="仿宋_GB2312" w:eastAsia="仿宋_GB2312" w:cs="仿宋_GB2312"/>
                <w:color w:val="000000"/>
                <w:kern w:val="0"/>
                <w:sz w:val="24"/>
                <w:szCs w:val="24"/>
                <w:highlight w:val="none"/>
                <w:lang w:val="en-US" w:eastAsia="zh-CN"/>
              </w:rPr>
            </w:pPr>
            <w:bookmarkStart w:id="18" w:name="OLE_LINK28"/>
            <w:r>
              <w:rPr>
                <w:rFonts w:hint="eastAsia" w:ascii="仿宋_GB2312" w:hAnsi="仿宋_GB2312" w:eastAsia="仿宋_GB2312" w:cs="仿宋_GB2312"/>
                <w:color w:val="000000"/>
                <w:kern w:val="0"/>
                <w:sz w:val="24"/>
                <w:szCs w:val="24"/>
                <w:highlight w:val="none"/>
                <w:lang w:val="en-US" w:eastAsia="zh-CN"/>
              </w:rPr>
              <w:t>建议增加</w:t>
            </w:r>
            <w:bookmarkStart w:id="19" w:name="OLE_LINK30"/>
            <w:bookmarkStart w:id="20" w:name="OLE_LINK29"/>
            <w:r>
              <w:rPr>
                <w:rFonts w:hint="eastAsia" w:ascii="仿宋_GB2312" w:hAnsi="仿宋_GB2312" w:eastAsia="仿宋_GB2312" w:cs="仿宋_GB2312"/>
                <w:color w:val="000000"/>
                <w:kern w:val="0"/>
                <w:sz w:val="24"/>
                <w:szCs w:val="24"/>
                <w:highlight w:val="none"/>
                <w:lang w:val="en-US" w:eastAsia="zh-CN"/>
              </w:rPr>
              <w:t>公路建筑控制区范围</w:t>
            </w:r>
            <w:bookmarkEnd w:id="19"/>
            <w:r>
              <w:rPr>
                <w:rFonts w:hint="eastAsia" w:ascii="仿宋_GB2312" w:hAnsi="仿宋_GB2312" w:eastAsia="仿宋_GB2312" w:cs="仿宋_GB2312"/>
                <w:color w:val="000000"/>
                <w:kern w:val="0"/>
                <w:sz w:val="24"/>
                <w:szCs w:val="24"/>
                <w:highlight w:val="none"/>
                <w:lang w:val="en-US" w:eastAsia="zh-CN"/>
              </w:rPr>
              <w:t>内</w:t>
            </w:r>
            <w:bookmarkEnd w:id="20"/>
            <w:r>
              <w:rPr>
                <w:rFonts w:hint="eastAsia" w:ascii="仿宋_GB2312" w:hAnsi="仿宋_GB2312" w:eastAsia="仿宋_GB2312" w:cs="仿宋_GB2312"/>
                <w:color w:val="000000"/>
                <w:kern w:val="0"/>
                <w:sz w:val="24"/>
                <w:szCs w:val="24"/>
                <w:highlight w:val="none"/>
                <w:lang w:val="en-US" w:eastAsia="zh-CN"/>
              </w:rPr>
              <w:t>的需要迁改通信设施所发生费用的承担条款内容。</w:t>
            </w:r>
            <w:bookmarkEnd w:id="18"/>
          </w:p>
        </w:tc>
        <w:tc>
          <w:tcPr>
            <w:tcW w:w="1293" w:type="dxa"/>
            <w:tcBorders>
              <w:top w:val="single" w:color="000000" w:sz="4" w:space="0"/>
              <w:left w:val="single" w:color="auto" w:sz="4" w:space="0"/>
              <w:bottom w:val="single" w:color="000000" w:sz="4" w:space="0"/>
              <w:right w:val="single" w:color="auto" w:sz="4" w:space="0"/>
            </w:tcBorders>
            <w:shd w:val="clear" w:color="auto" w:fill="auto"/>
            <w:noWrap/>
            <w:vAlign w:val="center"/>
          </w:tcPr>
          <w:p w14:paraId="0E4F535E">
            <w:pPr>
              <w:spacing w:line="400" w:lineRule="exact"/>
              <w:jc w:val="center"/>
              <w:rPr>
                <w:rFonts w:hint="eastAsia" w:ascii="仿宋_GB2312" w:hAnsi="仿宋_GB2312" w:eastAsia="仿宋_GB2312" w:cs="仿宋_GB2312"/>
                <w:color w:val="000000"/>
                <w:kern w:val="0"/>
                <w:sz w:val="24"/>
                <w:szCs w:val="24"/>
                <w:highlight w:val="none"/>
                <w:lang w:val="en-US" w:eastAsia="zh-CN" w:bidi="ar-SA"/>
              </w:rPr>
            </w:pPr>
            <w:r>
              <w:rPr>
                <w:rFonts w:hint="eastAsia" w:ascii="仿宋_GB2312" w:hAnsi="仿宋_GB2312" w:eastAsia="仿宋_GB2312" w:cs="仿宋_GB2312"/>
                <w:color w:val="000000"/>
                <w:kern w:val="0"/>
                <w:sz w:val="24"/>
                <w:szCs w:val="24"/>
                <w:highlight w:val="none"/>
                <w:lang w:val="en-US" w:eastAsia="zh-CN"/>
              </w:rPr>
              <w:t>采纳</w:t>
            </w:r>
          </w:p>
        </w:tc>
        <w:tc>
          <w:tcPr>
            <w:tcW w:w="264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47B2913">
            <w:pPr>
              <w:spacing w:line="400" w:lineRule="exact"/>
              <w:jc w:val="both"/>
              <w:rPr>
                <w:rFonts w:hint="default" w:ascii="仿宋_GB2312" w:hAnsi="仿宋_GB2312" w:eastAsia="仿宋_GB2312" w:cs="仿宋_GB2312"/>
                <w:color w:val="000000"/>
                <w:kern w:val="0"/>
                <w:sz w:val="24"/>
                <w:szCs w:val="24"/>
                <w:highlight w:val="none"/>
                <w:lang w:val="en-US" w:eastAsia="zh-CN"/>
              </w:rPr>
            </w:pPr>
          </w:p>
        </w:tc>
      </w:tr>
      <w:bookmarkEnd w:id="17"/>
      <w:tr w14:paraId="32D57DCD">
        <w:tblPrEx>
          <w:tblCellMar>
            <w:top w:w="0" w:type="dxa"/>
            <w:left w:w="108" w:type="dxa"/>
            <w:bottom w:w="0" w:type="dxa"/>
            <w:right w:w="108" w:type="dxa"/>
          </w:tblCellMar>
        </w:tblPrEx>
        <w:trPr>
          <w:trHeight w:val="975" w:hRule="atLeast"/>
        </w:trPr>
        <w:tc>
          <w:tcPr>
            <w:tcW w:w="1272" w:type="dxa"/>
            <w:vMerge w:val="continue"/>
            <w:tcBorders>
              <w:left w:val="single" w:color="000000" w:sz="4" w:space="0"/>
              <w:bottom w:val="single" w:color="000000" w:sz="4" w:space="0"/>
              <w:right w:val="single" w:color="auto" w:sz="4" w:space="0"/>
            </w:tcBorders>
            <w:noWrap/>
            <w:vAlign w:val="center"/>
          </w:tcPr>
          <w:p w14:paraId="50748FEE">
            <w:pPr>
              <w:spacing w:line="400" w:lineRule="exact"/>
              <w:jc w:val="left"/>
              <w:rPr>
                <w:rFonts w:hint="eastAsia" w:ascii="仿宋_GB2312" w:hAnsi="仿宋_GB2312" w:eastAsia="仿宋_GB2312" w:cs="仿宋_GB2312"/>
                <w:color w:val="000000"/>
                <w:kern w:val="0"/>
                <w:sz w:val="24"/>
                <w:szCs w:val="24"/>
                <w:highlight w:val="none"/>
                <w:lang w:val="en-US" w:eastAsia="zh-CN"/>
              </w:rPr>
            </w:pPr>
          </w:p>
        </w:tc>
        <w:tc>
          <w:tcPr>
            <w:tcW w:w="4507" w:type="dxa"/>
            <w:tcBorders>
              <w:top w:val="single" w:color="000000" w:sz="4" w:space="0"/>
              <w:left w:val="single" w:color="auto" w:sz="4" w:space="0"/>
              <w:bottom w:val="single" w:color="000000" w:sz="4" w:space="0"/>
              <w:right w:val="single" w:color="auto" w:sz="4" w:space="0"/>
            </w:tcBorders>
            <w:noWrap/>
            <w:vAlign w:val="center"/>
          </w:tcPr>
          <w:p w14:paraId="298F1A1E">
            <w:pPr>
              <w:spacing w:line="400" w:lineRule="exact"/>
              <w:ind w:firstLine="480" w:firstLineChars="200"/>
              <w:jc w:val="left"/>
              <w:rPr>
                <w:rFonts w:hint="default" w:ascii="仿宋_GB2312" w:hAnsi="仿宋_GB2312" w:eastAsia="仿宋_GB2312" w:cs="仿宋_GB2312"/>
                <w:color w:val="000000"/>
                <w:kern w:val="0"/>
                <w:sz w:val="24"/>
                <w:szCs w:val="24"/>
                <w:highlight w:val="none"/>
                <w:lang w:val="en-US" w:eastAsia="zh-CN"/>
              </w:rPr>
            </w:pPr>
            <w:r>
              <w:rPr>
                <w:rFonts w:hint="eastAsia" w:ascii="仿宋_GB2312" w:hAnsi="仿宋_GB2312" w:eastAsia="仿宋_GB2312" w:cs="仿宋_GB2312"/>
                <w:color w:val="000000"/>
                <w:kern w:val="0"/>
                <w:sz w:val="24"/>
                <w:szCs w:val="24"/>
                <w:highlight w:val="none"/>
                <w:lang w:val="en-US" w:eastAsia="zh-CN"/>
              </w:rPr>
              <w:t>2.经过批复</w:t>
            </w:r>
            <w:bookmarkStart w:id="21" w:name="_GoBack"/>
            <w:bookmarkEnd w:id="21"/>
            <w:r>
              <w:rPr>
                <w:rFonts w:hint="eastAsia" w:ascii="仿宋_GB2312" w:hAnsi="仿宋_GB2312" w:eastAsia="仿宋_GB2312" w:cs="仿宋_GB2312"/>
                <w:color w:val="000000"/>
                <w:kern w:val="0"/>
                <w:sz w:val="24"/>
                <w:szCs w:val="24"/>
                <w:highlight w:val="none"/>
                <w:lang w:val="en-US" w:eastAsia="zh-CN"/>
              </w:rPr>
              <w:t>的通讯设施同意补偿。</w:t>
            </w:r>
          </w:p>
        </w:tc>
        <w:tc>
          <w:tcPr>
            <w:tcW w:w="1293" w:type="dxa"/>
            <w:tcBorders>
              <w:top w:val="single" w:color="000000" w:sz="4" w:space="0"/>
              <w:left w:val="single" w:color="auto" w:sz="4" w:space="0"/>
              <w:bottom w:val="single" w:color="000000" w:sz="4" w:space="0"/>
              <w:right w:val="single" w:color="auto" w:sz="4" w:space="0"/>
            </w:tcBorders>
            <w:noWrap/>
            <w:vAlign w:val="center"/>
          </w:tcPr>
          <w:p w14:paraId="27755116">
            <w:pPr>
              <w:spacing w:line="400" w:lineRule="exact"/>
              <w:jc w:val="center"/>
              <w:rPr>
                <w:rFonts w:hint="default" w:ascii="仿宋_GB2312" w:hAnsi="仿宋_GB2312" w:eastAsia="仿宋_GB2312" w:cs="仿宋_GB2312"/>
                <w:color w:val="000000"/>
                <w:kern w:val="0"/>
                <w:sz w:val="24"/>
                <w:szCs w:val="24"/>
                <w:highlight w:val="none"/>
                <w:lang w:val="en-US" w:eastAsia="zh-CN"/>
              </w:rPr>
            </w:pPr>
            <w:r>
              <w:rPr>
                <w:rFonts w:hint="eastAsia" w:ascii="仿宋_GB2312" w:hAnsi="仿宋_GB2312" w:eastAsia="仿宋_GB2312" w:cs="仿宋_GB2312"/>
                <w:color w:val="000000"/>
                <w:kern w:val="0"/>
                <w:sz w:val="24"/>
                <w:szCs w:val="24"/>
                <w:highlight w:val="none"/>
                <w:lang w:val="en-US" w:eastAsia="zh-CN"/>
              </w:rPr>
              <w:t>未采纳</w:t>
            </w:r>
          </w:p>
        </w:tc>
        <w:tc>
          <w:tcPr>
            <w:tcW w:w="2647" w:type="dxa"/>
            <w:tcBorders>
              <w:top w:val="single" w:color="000000" w:sz="4" w:space="0"/>
              <w:left w:val="single" w:color="auto" w:sz="4" w:space="0"/>
              <w:bottom w:val="single" w:color="000000" w:sz="4" w:space="0"/>
              <w:right w:val="single" w:color="000000" w:sz="4" w:space="0"/>
            </w:tcBorders>
            <w:noWrap/>
            <w:vAlign w:val="center"/>
          </w:tcPr>
          <w:p w14:paraId="42BEAEEB">
            <w:pPr>
              <w:spacing w:line="400" w:lineRule="exact"/>
              <w:jc w:val="left"/>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eastAsia="仿宋_GB2312" w:cs="仿宋_GB2312"/>
                <w:color w:val="000000"/>
                <w:kern w:val="0"/>
                <w:sz w:val="24"/>
                <w:szCs w:val="24"/>
                <w:highlight w:val="none"/>
                <w:lang w:val="en-US" w:eastAsia="zh-CN"/>
              </w:rPr>
              <w:t>《中华人民共和国电信条例》第48条规定，任何组织或个人不得擅自改动或迁移电信设施，特殊情况需征得产权人同意，并由提出迁改要求的单位或个人承担费用。</w:t>
            </w:r>
          </w:p>
        </w:tc>
      </w:tr>
      <w:tr w14:paraId="163B61C3">
        <w:tblPrEx>
          <w:tblCellMar>
            <w:top w:w="0" w:type="dxa"/>
            <w:left w:w="108" w:type="dxa"/>
            <w:bottom w:w="0" w:type="dxa"/>
            <w:right w:w="108" w:type="dxa"/>
          </w:tblCellMar>
        </w:tblPrEx>
        <w:trPr>
          <w:trHeight w:val="1388" w:hRule="atLeast"/>
        </w:trPr>
        <w:tc>
          <w:tcPr>
            <w:tcW w:w="9719" w:type="dxa"/>
            <w:gridSpan w:val="4"/>
            <w:tcBorders>
              <w:top w:val="single" w:color="000000" w:sz="4" w:space="0"/>
              <w:left w:val="single" w:color="000000" w:sz="4" w:space="0"/>
              <w:bottom w:val="single" w:color="000000" w:sz="4" w:space="0"/>
              <w:right w:val="single" w:color="000000" w:sz="4" w:space="0"/>
            </w:tcBorders>
            <w:noWrap/>
            <w:vAlign w:val="center"/>
          </w:tcPr>
          <w:p w14:paraId="0417CC3C">
            <w:pPr>
              <w:spacing w:line="400" w:lineRule="exact"/>
              <w:jc w:val="left"/>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eastAsia="仿宋_GB2312" w:cs="仿宋_GB2312"/>
                <w:color w:val="000000"/>
                <w:kern w:val="0"/>
                <w:sz w:val="24"/>
                <w:szCs w:val="24"/>
                <w:highlight w:val="none"/>
                <w:lang w:val="en-US" w:eastAsia="zh-CN"/>
              </w:rPr>
              <w:t>市发改委、市住建局、市交通局、市城管局、市自然资源局、贵溪市人民政府、余江区人民政府、月湖区人民政府、信江新区管委会、龙虎山管委会、市公路事业发展中心、市国控集团公司、市交建投集团公司、市城建投集团公司、市文旅投集团公司无意见</w:t>
            </w:r>
          </w:p>
        </w:tc>
      </w:tr>
      <w:bookmarkEnd w:id="5"/>
    </w:tbl>
    <w:p w14:paraId="0A9437AB">
      <w:pPr>
        <w:pStyle w:val="3"/>
        <w:spacing w:after="0" w:line="580" w:lineRule="exac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66B19"/>
    <w:multiLevelType w:val="singleLevel"/>
    <w:tmpl w:val="EFF66B19"/>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135510"/>
    <w:rsid w:val="02DA642F"/>
    <w:rsid w:val="078F23D6"/>
    <w:rsid w:val="0BD81A86"/>
    <w:rsid w:val="10AF141C"/>
    <w:rsid w:val="13A86F02"/>
    <w:rsid w:val="16FC22FC"/>
    <w:rsid w:val="177040B4"/>
    <w:rsid w:val="198A1953"/>
    <w:rsid w:val="1CB25718"/>
    <w:rsid w:val="207E4541"/>
    <w:rsid w:val="28CF577A"/>
    <w:rsid w:val="29E56B35"/>
    <w:rsid w:val="2ACD5CE2"/>
    <w:rsid w:val="2BB52C1D"/>
    <w:rsid w:val="36AE6A92"/>
    <w:rsid w:val="374027EB"/>
    <w:rsid w:val="3D69671B"/>
    <w:rsid w:val="3F64198E"/>
    <w:rsid w:val="402C31EC"/>
    <w:rsid w:val="43166D1E"/>
    <w:rsid w:val="470B0CF1"/>
    <w:rsid w:val="479F329E"/>
    <w:rsid w:val="49F97D94"/>
    <w:rsid w:val="4ABB2EA4"/>
    <w:rsid w:val="4AD5269A"/>
    <w:rsid w:val="55150075"/>
    <w:rsid w:val="5B736D19"/>
    <w:rsid w:val="5F7873CB"/>
    <w:rsid w:val="5F895B49"/>
    <w:rsid w:val="6133656A"/>
    <w:rsid w:val="67702502"/>
    <w:rsid w:val="6D135510"/>
    <w:rsid w:val="6EA11808"/>
    <w:rsid w:val="707B3132"/>
    <w:rsid w:val="76F15333"/>
    <w:rsid w:val="77A82607"/>
    <w:rsid w:val="7BBF4F68"/>
    <w:rsid w:val="7C4F5666"/>
    <w:rsid w:val="7D996156"/>
    <w:rsid w:val="7E641E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widowControl w:val="0"/>
      <w:autoSpaceDE w:val="0"/>
      <w:autoSpaceDN w:val="0"/>
      <w:ind w:firstLine="420" w:firstLineChars="200"/>
    </w:pPr>
    <w:rPr>
      <w:rFonts w:ascii="宋体" w:hAnsi="宋体" w:cs="宋体"/>
      <w:sz w:val="22"/>
      <w:szCs w:val="22"/>
      <w:lang w:val="zh-CN"/>
    </w:rPr>
  </w:style>
  <w:style w:type="paragraph" w:styleId="3">
    <w:name w:val="Body Text"/>
    <w:basedOn w:val="1"/>
    <w:qFormat/>
    <w:uiPriority w:val="0"/>
    <w:pPr>
      <w:spacing w:after="120"/>
    </w:pPr>
  </w:style>
  <w:style w:type="paragraph" w:customStyle="1" w:styleId="6">
    <w:name w:val="样式3"/>
    <w:basedOn w:val="7"/>
    <w:next w:val="8"/>
    <w:qFormat/>
    <w:uiPriority w:val="0"/>
  </w:style>
  <w:style w:type="paragraph" w:styleId="7">
    <w:name w:val="No Spacing"/>
    <w:qFormat/>
    <w:uiPriority w:val="0"/>
    <w:pPr>
      <w:widowControl w:val="0"/>
      <w:ind w:firstLine="200" w:firstLineChars="200"/>
      <w:jc w:val="both"/>
    </w:pPr>
    <w:rPr>
      <w:rFonts w:ascii="Calibri" w:hAnsi="Calibri" w:eastAsia="宋体" w:cs="Times New Roman"/>
      <w:kern w:val="2"/>
      <w:sz w:val="21"/>
      <w:szCs w:val="21"/>
      <w:lang w:val="en-US" w:eastAsia="zh-CN" w:bidi="ar-SA"/>
    </w:rPr>
  </w:style>
  <w:style w:type="paragraph" w:customStyle="1" w:styleId="8">
    <w:name w:val="样式1"/>
    <w:basedOn w:val="9"/>
    <w:qFormat/>
    <w:uiPriority w:val="0"/>
  </w:style>
  <w:style w:type="paragraph" w:styleId="9">
    <w:name w:val="List Paragraph"/>
    <w:basedOn w:val="1"/>
    <w:qFormat/>
    <w:uiPriority w:val="0"/>
    <w:pPr>
      <w:ind w:firstLine="42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2448</Words>
  <Characters>2478</Characters>
  <Lines>0</Lines>
  <Paragraphs>0</Paragraphs>
  <TotalTime>4</TotalTime>
  <ScaleCrop>false</ScaleCrop>
  <LinksUpToDate>false</LinksUpToDate>
  <CharactersWithSpaces>2478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2025-04-02T09:24:00Z</dcterms:created>
  <dc:creator>杨迎春</dc:creator>
  <cp:lastModifiedBy>77</cp:lastModifiedBy>
  <cp:lastPrinted>2025-04-02T09:24:00Z</cp:lastPrinted>
  <dcterms:modified xsi:type="dcterms:W3CDTF">2025-12-05T08:56:02Z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38C1BA356B8C41519171178987BD7EC7_13</vt:lpwstr>
  </property>
  <property fmtid="{D5CDD505-2E9C-101B-9397-08002B2CF9AE}" pid="4" name="KSOTemplateDocerSaveRecord">
    <vt:lpwstr>eyJoZGlkIjoiODQ5OGY0ZjE3MGZhZGQxMTYyZTg1OTFiZjYxNTEyYzMiLCJ1c2VySWQiOiI1ODY0MDExMTcifQ==</vt:lpwstr>
  </property>
</Properties>
</file>