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color w:val="000000"/>
          <w:spacing w:val="-6"/>
          <w:sz w:val="44"/>
          <w:szCs w:val="44"/>
        </w:rPr>
      </w:pPr>
      <w:r>
        <w:rPr>
          <w:rFonts w:hint="eastAsia" w:ascii="方正小标宋简体" w:hAnsi="方正小标宋简体" w:eastAsia="方正小标宋简体" w:cs="方正小标宋简体"/>
          <w:color w:val="000000"/>
          <w:spacing w:val="-6"/>
          <w:sz w:val="44"/>
          <w:szCs w:val="44"/>
        </w:rPr>
        <w:t>《鹰潭市深化制造业数智化转型行动计划</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color w:val="000000"/>
          <w:spacing w:val="-6"/>
          <w:sz w:val="44"/>
          <w:szCs w:val="44"/>
        </w:rPr>
        <w:t>（2026—2027年）</w:t>
      </w:r>
      <w:r>
        <w:rPr>
          <w:rFonts w:hint="eastAsia" w:ascii="方正小标宋简体" w:hAnsi="方正小标宋简体" w:eastAsia="方正小标宋简体" w:cs="方正小标宋简体"/>
          <w:color w:val="000000"/>
          <w:spacing w:val="-6"/>
          <w:sz w:val="44"/>
          <w:szCs w:val="44"/>
          <w:lang w:eastAsia="zh-CN"/>
        </w:rPr>
        <w:t>（</w:t>
      </w:r>
      <w:r>
        <w:rPr>
          <w:rFonts w:hint="eastAsia" w:ascii="方正小标宋简体" w:hAnsi="方正小标宋简体" w:eastAsia="方正小标宋简体" w:cs="方正小标宋简体"/>
          <w:color w:val="000000"/>
          <w:spacing w:val="-6"/>
          <w:sz w:val="44"/>
          <w:szCs w:val="44"/>
          <w:lang w:val="en-US" w:eastAsia="zh-CN"/>
        </w:rPr>
        <w:t>征求意见稿</w:t>
      </w:r>
      <w:r>
        <w:rPr>
          <w:rFonts w:hint="eastAsia" w:ascii="方正小标宋简体" w:hAnsi="方正小标宋简体" w:eastAsia="方正小标宋简体" w:cs="方正小标宋简体"/>
          <w:color w:val="000000"/>
          <w:spacing w:val="-6"/>
          <w:sz w:val="44"/>
          <w:szCs w:val="44"/>
          <w:lang w:eastAsia="zh-CN"/>
        </w:rPr>
        <w:t>）</w:t>
      </w:r>
      <w:r>
        <w:rPr>
          <w:rFonts w:hint="eastAsia" w:ascii="方正小标宋简体" w:hAnsi="方正小标宋简体" w:eastAsia="方正小标宋简体" w:cs="方正小标宋简体"/>
          <w:color w:val="000000"/>
          <w:spacing w:val="-6"/>
          <w:sz w:val="44"/>
          <w:szCs w:val="44"/>
        </w:rPr>
        <w:t>》起草说明</w:t>
      </w: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一、起草背景与必要性</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近期，省里印发《江西省深化制造业数智化转型行动计划（2026—2027年）》，明确实施六大行动，并提出到2027年推动10000家以上企业深度利用工业互联网生态提升等总体目标。为贯彻落实省级部署，加速我市制造业从“数字化”向“数智化”跃升，有必要制定出台本市两年行动方案，明确目标路径、重点任务与保障举措，推动数智化转型由点上突破转向面上提质、链上协同、集群赋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二、政策制定依据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（一）上位政策文件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江西省工业强省建设工作领导小组关于印发</w:t>
      </w:r>
      <w:r>
        <w:rPr>
          <w:rFonts w:hint="eastAsia" w:ascii="仿宋_GB2312" w:hAnsi="仿宋_GB2312" w:eastAsia="仿宋_GB2312" w:cs="仿宋_GB2312"/>
          <w:sz w:val="32"/>
          <w:szCs w:val="32"/>
          <w:lang w:val="en-US" w:eastAsia="zh-CN"/>
        </w:rPr>
        <w:t>&lt;</w:t>
      </w:r>
      <w:r>
        <w:rPr>
          <w:rFonts w:hint="eastAsia" w:ascii="仿宋_GB2312" w:hAnsi="仿宋_GB2312" w:eastAsia="仿宋_GB2312" w:cs="仿宋_GB2312"/>
          <w:sz w:val="32"/>
          <w:szCs w:val="32"/>
        </w:rPr>
        <w:t>江西省深化制造业数智化转型行动计划（2026—2027年）</w:t>
      </w:r>
      <w:r>
        <w:rPr>
          <w:rFonts w:hint="eastAsia" w:ascii="仿宋_GB2312" w:hAnsi="仿宋_GB2312" w:eastAsia="仿宋_GB2312" w:cs="仿宋_GB2312"/>
          <w:sz w:val="32"/>
          <w:szCs w:val="32"/>
          <w:lang w:val="en-US" w:eastAsia="zh-CN"/>
        </w:rPr>
        <w:t>&gt;的通知</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（赣工强省小组字</w:t>
      </w:r>
      <w:r>
        <w:rPr>
          <w:rFonts w:hint="eastAsia" w:ascii="仿宋_GB2312" w:hAnsi="仿宋_GB2312" w:eastAsia="仿宋_GB2312" w:cs="仿宋_GB2312"/>
          <w:sz w:val="32"/>
          <w:szCs w:val="32"/>
          <w:lang w:val="en-US" w:eastAsia="zh-CN"/>
        </w:rPr>
        <w:t>〔2026〕1号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（二）实操依据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参照省行动计划，结合鹰潭市铜基新材料、眼镜、电子信息等重点产业集群发展基础、规上工业企业数量、前期数字化改造成效等实际情况，细化目标与举措。</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三、起草过程（</w:t>
      </w:r>
      <w:r>
        <w:rPr>
          <w:rFonts w:hint="eastAsia" w:ascii="黑体" w:hAnsi="黑体" w:eastAsia="黑体" w:cs="黑体"/>
          <w:sz w:val="32"/>
          <w:szCs w:val="32"/>
          <w:lang w:val="en-US" w:eastAsia="zh-CN"/>
        </w:rPr>
        <w:t>含征求意见时限缩短至15天合规说明</w:t>
      </w:r>
      <w:r>
        <w:rPr>
          <w:rFonts w:hint="eastAsia" w:ascii="黑体" w:hAnsi="黑体" w:eastAsia="黑体" w:cs="黑体"/>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（一）前期调研与文稿草拟</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市工信局牵头组建起草专班，全面梳理省级六大行动部署要求，深入各区（市）重点企业、产业集群开展实地调研，摸排企业转型需求与堵点，参考省内已出台相关政策，完成《行动计划》初稿撰写，重点围绕总体目标、</w:t>
      </w:r>
      <w:r>
        <w:rPr>
          <w:rFonts w:hint="eastAsia" w:ascii="仿宋_GB2312" w:hAnsi="仿宋_GB2312" w:eastAsia="仿宋_GB2312" w:cs="仿宋_GB2312"/>
          <w:sz w:val="32"/>
          <w:szCs w:val="32"/>
        </w:rPr>
        <w:t>重点任务</w:t>
      </w:r>
      <w:r>
        <w:rPr>
          <w:rFonts w:hint="eastAsia" w:ascii="仿宋_GB2312" w:hAnsi="仿宋_GB2312" w:eastAsia="仿宋_GB2312" w:cs="仿宋_GB2312"/>
          <w:sz w:val="32"/>
          <w:szCs w:val="32"/>
          <w:lang w:eastAsia="zh-CN"/>
        </w:rPr>
        <w:t>、保障措施进行系统设计。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（二）内部征求意见与修改完善</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文稿形成后，</w:t>
      </w:r>
      <w:r>
        <w:rPr>
          <w:rFonts w:hint="eastAsia" w:ascii="仿宋_GB2312" w:hAnsi="仿宋_GB2312" w:eastAsia="仿宋_GB2312" w:cs="仿宋_GB2312"/>
          <w:sz w:val="32"/>
          <w:szCs w:val="32"/>
          <w:lang w:val="en-US" w:eastAsia="zh-CN"/>
        </w:rPr>
        <w:t>在全市工信系统内部征求意见</w:t>
      </w:r>
      <w:r>
        <w:rPr>
          <w:rFonts w:hint="eastAsia" w:ascii="仿宋_GB2312" w:hAnsi="仿宋_GB2312" w:eastAsia="仿宋_GB2312" w:cs="仿宋_GB2312"/>
          <w:sz w:val="32"/>
          <w:szCs w:val="32"/>
          <w:lang w:eastAsia="zh-CN"/>
        </w:rPr>
        <w:t>，汇总修改建议，逐条研究并完善文稿。</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0" w:firstLineChars="200"/>
        <w:jc w:val="left"/>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（三）对外公开征求意见期限缩短至15日合规说明</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kern w:val="2"/>
          <w:sz w:val="32"/>
          <w:szCs w:val="24"/>
          <w:highlight w:val="none"/>
          <w:lang w:val="en-US" w:eastAsia="zh-CN" w:bidi="ar-SA"/>
        </w:rPr>
        <w:t>按照《江西省行政规范性文件管理办法》规定：规范性文件征求意见一般不少于15日，重大普惠类政策需不少于</w:t>
      </w:r>
      <w:bookmarkStart w:id="0" w:name="_GoBack"/>
      <w:bookmarkEnd w:id="0"/>
      <w:r>
        <w:rPr>
          <w:rFonts w:hint="eastAsia" w:ascii="仿宋_GB2312" w:hAnsi="仿宋_GB2312" w:eastAsia="仿宋_GB2312" w:cs="仿宋_GB2312"/>
          <w:b w:val="0"/>
          <w:bCs w:val="0"/>
          <w:kern w:val="2"/>
          <w:sz w:val="32"/>
          <w:szCs w:val="24"/>
          <w:highlight w:val="none"/>
          <w:lang w:val="en-US" w:eastAsia="zh-CN" w:bidi="ar-SA"/>
        </w:rPr>
        <w:t>30日。本计划主要面向具备良好数字化基础的企业，适用主体范围相对特定，不属于面向全市经营主体的普惠型重大政策。同时前期已完成全系统内部意见征集与文稿修改，为加快我市配套政策落地实施，参照省内同类文件通行做法，经研究确定本次面向社会公开征求意见期限为15日，程序符合省级规章要求，合法合规</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w:t>
      </w:r>
      <w:r>
        <w:rPr>
          <w:rFonts w:hint="eastAsia" w:ascii="黑体" w:hAnsi="黑体" w:eastAsia="黑体" w:cs="黑体"/>
          <w:sz w:val="32"/>
          <w:szCs w:val="32"/>
          <w:lang w:eastAsia="zh-CN"/>
        </w:rPr>
        <w:t>计划</w:t>
      </w:r>
      <w:r>
        <w:rPr>
          <w:rFonts w:hint="eastAsia" w:ascii="黑体" w:hAnsi="黑体" w:eastAsia="黑体" w:cs="黑体"/>
          <w:sz w:val="32"/>
          <w:szCs w:val="32"/>
        </w:rPr>
        <w:t>主要内容说明</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《鹰潭市深化制造业数智化转型行动计划（2026—2027年）（送审稿）》</w:t>
      </w:r>
      <w:r>
        <w:rPr>
          <w:rFonts w:hint="eastAsia" w:ascii="仿宋_GB2312" w:hAnsi="仿宋_GB2312" w:eastAsia="仿宋_GB2312" w:cs="仿宋_GB2312"/>
          <w:sz w:val="32"/>
          <w:szCs w:val="32"/>
        </w:rPr>
        <w:t>分总体目标、重点任务、保障措施三个部分，</w:t>
      </w:r>
      <w:r>
        <w:rPr>
          <w:rFonts w:hint="eastAsia" w:ascii="仿宋_GB2312" w:hAnsi="仿宋_GB2312" w:eastAsia="仿宋_GB2312" w:cs="仿宋_GB2312"/>
          <w:sz w:val="32"/>
          <w:szCs w:val="32"/>
          <w:lang w:val="en-US" w:eastAsia="zh-CN"/>
        </w:rPr>
        <w:t>其中，</w:t>
      </w:r>
      <w:r>
        <w:rPr>
          <w:rFonts w:hint="eastAsia" w:ascii="仿宋_GB2312" w:hAnsi="仿宋_GB2312" w:eastAsia="仿宋_GB2312" w:cs="仿宋_GB2312"/>
          <w:sz w:val="32"/>
          <w:szCs w:val="32"/>
        </w:rPr>
        <w:t>重点任务</w:t>
      </w:r>
      <w:r>
        <w:rPr>
          <w:rFonts w:hint="eastAsia" w:ascii="仿宋_GB2312" w:hAnsi="仿宋_GB2312" w:eastAsia="仿宋_GB2312" w:cs="仿宋_GB2312"/>
          <w:sz w:val="32"/>
          <w:szCs w:val="32"/>
          <w:lang w:val="en-US" w:eastAsia="zh-CN"/>
        </w:rPr>
        <w:t>中提出</w:t>
      </w:r>
      <w:r>
        <w:rPr>
          <w:rFonts w:hint="eastAsia" w:ascii="仿宋_GB2312" w:hAnsi="仿宋_GB2312" w:eastAsia="仿宋_GB2312" w:cs="仿宋_GB2312"/>
          <w:sz w:val="32"/>
          <w:szCs w:val="32"/>
        </w:rPr>
        <w:t>六大行动。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（一）总体目标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坚持以信息化和工业化深度融合为主线，以链式改造、集群式改造和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人工智能+制造</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为重点，力争到2027年底，推动600家以上企业深度利用工业互联网生态提升，推动80家以上企业数字化全流程提升至L7级及以上，培育8个以上人工智能典型应用场景，打造省级</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数智标杆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企业16家，全力创建省级产业数字化转型先行区，实现重点行业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链式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协同全覆盖、重点产业集群数智提能全覆盖、规上工业企业数字化改造全覆盖。</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（二）重点任务</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共部署六大行动18项具体任务：</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一是实施企业提智扩面行动。</w:t>
      </w:r>
      <w:r>
        <w:rPr>
          <w:rFonts w:hint="eastAsia" w:ascii="仿宋_GB2312" w:hAnsi="仿宋_GB2312" w:eastAsia="仿宋_GB2312" w:cs="仿宋_GB2312"/>
          <w:sz w:val="32"/>
          <w:szCs w:val="32"/>
        </w:rPr>
        <w:t>支持基础较好企业围绕业务全流程实施集成改造，梯次推进中小企业转型，强化数智化标杆示范引领，分层分类推进智能工厂梯度培育，形成一批可学习、可借鉴、可推广的数智化转型样本。</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二是实施链式协同改造行动。</w:t>
      </w:r>
      <w:r>
        <w:rPr>
          <w:rFonts w:hint="eastAsia" w:ascii="仿宋_GB2312" w:hAnsi="仿宋_GB2312" w:eastAsia="仿宋_GB2312" w:cs="仿宋_GB2312"/>
          <w:sz w:val="32"/>
          <w:szCs w:val="32"/>
        </w:rPr>
        <w:t>增强供应链协同能力，深化服务链协同支撑，提升产业链协同水平。深化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铜产业大脑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建设，推进铜基新材料数字化转型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一图四清单</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编制和应用，以图谱化、场景化方式精准推进产业链各环节数字化转型。</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三是实施集群数智提能行动。</w:t>
      </w:r>
      <w:r>
        <w:rPr>
          <w:rFonts w:hint="eastAsia" w:ascii="仿宋_GB2312" w:hAnsi="仿宋_GB2312" w:eastAsia="仿宋_GB2312" w:cs="仿宋_GB2312"/>
          <w:sz w:val="32"/>
          <w:szCs w:val="32"/>
        </w:rPr>
        <w:t>在市级创建铜基新材料产业数字化转型先行区，各区（市）聚焦眼镜、电子信息、装备制造等重点产业集群，全力创建细分领域产业数字化转型先行区，推动集群内企业数字化转型规模与深度协同提升。</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四是实施人工智能赋能行动。</w:t>
      </w:r>
      <w:r>
        <w:rPr>
          <w:rFonts w:hint="eastAsia" w:ascii="仿宋_GB2312" w:hAnsi="仿宋_GB2312" w:eastAsia="仿宋_GB2312" w:cs="仿宋_GB2312"/>
          <w:sz w:val="32"/>
          <w:szCs w:val="32"/>
        </w:rPr>
        <w:t>推进人工智能场景化落地，提升工业数据开发利用水平，壮大工业人工智能生态，打造</w:t>
      </w:r>
      <w:r>
        <w:rPr>
          <w:rFonts w:hint="eastAsia" w:ascii="仿宋_GB2312" w:hAnsi="仿宋_GB2312" w:eastAsia="仿宋_GB2312" w:cs="仿宋_GB2312"/>
          <w:sz w:val="32"/>
          <w:szCs w:val="32"/>
          <w:lang w:val="en-US" w:eastAsia="zh-CN"/>
        </w:rPr>
        <w:t>一批</w:t>
      </w:r>
      <w:r>
        <w:rPr>
          <w:rStyle w:val="10"/>
          <w:rFonts w:hint="eastAsia" w:ascii="仿宋_GB2312" w:hAnsi="仿宋_GB2312" w:eastAsia="仿宋_GB2312" w:cs="仿宋_GB2312"/>
          <w:b w:val="0"/>
          <w:bCs/>
          <w:sz w:val="32"/>
          <w:szCs w:val="32"/>
          <w:highlight w:val="none"/>
        </w:rPr>
        <w:t>人工智能典型应用场景</w:t>
      </w:r>
      <w:r>
        <w:rPr>
          <w:rFonts w:hint="eastAsia" w:ascii="仿宋_GB2312" w:hAnsi="仿宋_GB2312" w:eastAsia="仿宋_GB2312" w:cs="仿宋_GB2312"/>
          <w:sz w:val="32"/>
          <w:szCs w:val="32"/>
        </w:rPr>
        <w:t>，积极争创省级人工智能创新应用先导区。</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五是实施服务拓展培优行动。</w:t>
      </w:r>
      <w:r>
        <w:rPr>
          <w:rFonts w:hint="eastAsia" w:ascii="仿宋_GB2312" w:hAnsi="仿宋_GB2312" w:eastAsia="仿宋_GB2312" w:cs="仿宋_GB2312"/>
          <w:sz w:val="32"/>
          <w:szCs w:val="32"/>
        </w:rPr>
        <w:t>引进培育数智化服务商，强化</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数字化转型促进中心、数字化诊所、数字专员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三级服务体系能力建设，依托省级数字化转型促进中心积极争取创建国家级数字化转型促进中心，提升平台服务能级和影响力。</w:t>
      </w:r>
    </w:p>
    <w:p>
      <w:pPr>
        <w:keepNext w:val="0"/>
        <w:keepLines w:val="0"/>
        <w:pageBreakBefore w:val="0"/>
        <w:widowControl w:val="0"/>
        <w:kinsoku/>
        <w:wordWrap/>
        <w:overflowPunct/>
        <w:topLinePunct w:val="0"/>
        <w:autoSpaceDE/>
        <w:autoSpaceDN/>
        <w:bidi w:val="0"/>
        <w:adjustRightInd/>
        <w:snapToGrid/>
        <w:spacing w:line="600" w:lineRule="exact"/>
        <w:ind w:firstLine="642"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六是实施基础支撑夯实行动。</w:t>
      </w:r>
      <w:r>
        <w:rPr>
          <w:rFonts w:hint="eastAsia" w:ascii="仿宋_GB2312" w:hAnsi="仿宋_GB2312" w:eastAsia="仿宋_GB2312" w:cs="仿宋_GB2312"/>
          <w:sz w:val="32"/>
          <w:szCs w:val="32"/>
        </w:rPr>
        <w:t>推进软硬件协同研发应用，强化信息基础设施建设，健全工业信息安全保障体系，为制造业数智化转型提供坚实基础支撑。</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楷体_GB2312" w:hAnsi="楷体_GB2312" w:eastAsia="楷体_GB2312" w:cs="楷体_GB2312"/>
          <w:b w:val="0"/>
          <w:bCs w:val="0"/>
          <w:kern w:val="2"/>
          <w:sz w:val="32"/>
          <w:szCs w:val="24"/>
          <w:highlight w:val="none"/>
          <w:lang w:val="en-US" w:eastAsia="zh-CN" w:bidi="ar-SA"/>
        </w:rPr>
      </w:pPr>
      <w:r>
        <w:rPr>
          <w:rFonts w:hint="eastAsia" w:ascii="楷体_GB2312" w:hAnsi="楷体_GB2312" w:eastAsia="楷体_GB2312" w:cs="楷体_GB2312"/>
          <w:b w:val="0"/>
          <w:bCs w:val="0"/>
          <w:kern w:val="2"/>
          <w:sz w:val="32"/>
          <w:szCs w:val="24"/>
          <w:highlight w:val="none"/>
          <w:lang w:val="en-US" w:eastAsia="zh-CN" w:bidi="ar-SA"/>
        </w:rPr>
        <w:t>（三）保障措施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从加强统筹协调、争取省级资金支持、强化市县联动、鼓励金融创新、加强人才培训、营造转型氛围等六个方面提出保障举措，确保《行动计划》各项任务落地落实</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五、需要说明的其他事项</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（一）本《行动计划》将“数字化”概念升级为“数智化”，突出人工智能及数据要素在制造业的深层次应用，发展导向从注重初级改造规模转向以L7级以上高等级提档升级为主，目标层次更加鲜明。</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（二）转型路径由单点突破转向“集群+链式”改造，重点依托铜产业大脑和先行区推动产业链群协同发展，形成从单个企业改造向产业链、产业集群协同转型的整体推进格局。</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三）本《行动计划》与《鹰潭市加快推进工业高质量发展若干政策措施（修订）》有机衔接，在标杆奖励、促进中心建设、服务能力提升、人才培训等方面形成系统性政策支撑，进一步提升财政资金使用精准性和实效性。</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（四）征求意见过程中，市通发办、余江区政府等反馈意见已按程序处理，13个部门及贵溪市、月湖区、高新区管委会无意见。附表《征求意见及采纳情况表》附后。</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华文中宋"/>
          <w:lang w:eastAsia="zh-CN"/>
        </w:rPr>
      </w:pPr>
      <w:r>
        <w:rPr>
          <w:rFonts w:hint="eastAsia" w:ascii="仿宋_GB2312" w:hAnsi="仿宋_GB2312" w:eastAsia="仿宋_GB2312" w:cs="仿宋_GB2312"/>
          <w:sz w:val="32"/>
          <w:szCs w:val="32"/>
          <w:lang w:eastAsia="zh-CN"/>
        </w:rPr>
        <w:t>（五）本《行动计划》送审稿经本次审议通过后，拟按程序正式印发实施。</w:t>
      </w:r>
    </w:p>
    <w:sectPr>
      <w:footerReference r:id="rId3" w:type="default"/>
      <w:pgSz w:w="11906" w:h="16838"/>
      <w:pgMar w:top="1701"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Nimbus Roman No9 L"/>
    <w:panose1 w:val="02020603050405020304"/>
    <w:charset w:val="01"/>
    <w:family w:val="auto"/>
    <w:pitch w:val="default"/>
    <w:sig w:usb0="00000000" w:usb1="00000000"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华文中宋">
    <w:altName w:val="汉仪中宋简"/>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汉仪中宋简">
    <w:panose1 w:val="02010600000101010101"/>
    <w:charset w:val="86"/>
    <w:family w:val="auto"/>
    <w:pitch w:val="default"/>
    <w:sig w:usb0="00000001" w:usb1="080E0800" w:usb2="00000002" w:usb3="00000000" w:csb0="00040000" w:csb1="00000000"/>
  </w:font>
  <w:font w:name="Nimbus Roman No9 L">
    <w:panose1 w:val="00000000000000000000"/>
    <w:charset w:val="00"/>
    <w:family w:val="auto"/>
    <w:pitch w:val="default"/>
    <w:sig w:usb0="00000000" w:usb1="00000000" w:usb2="00000000" w:usb3="00000000" w:csb0="00000000" w:csb1="00000000"/>
  </w:font>
  <w:font w:name="Wingdings 3">
    <w:panose1 w:val="05040102010807070707"/>
    <w:charset w:val="00"/>
    <w:family w:val="auto"/>
    <w:pitch w:val="default"/>
    <w:sig w:usb0="00000000" w:usb1="00000000" w:usb2="00000000" w:usb3="00000000" w:csb0="80000000" w:csb1="00000000"/>
  </w:font>
  <w:font w:name="方正隶书_GBK">
    <w:panose1 w:val="02000000000000000000"/>
    <w:charset w:val="86"/>
    <w:family w:val="auto"/>
    <w:pitch w:val="default"/>
    <w:sig w:usb0="00000001" w:usb1="08000000" w:usb2="00000000" w:usb3="00000000" w:csb0="00040000" w:csb1="00000000"/>
  </w:font>
  <w:font w:name="Symbol">
    <w:altName w:val="仿宋"/>
    <w:panose1 w:val="00000000000000000000"/>
    <w:charset w:val="00"/>
    <w:family w:val="auto"/>
    <w:pitch w:val="default"/>
    <w:sig w:usb0="00000000" w:usb1="00000000" w:usb2="00000000" w:usb3="00000000" w:csb0="00000000" w:csb1="00000000"/>
  </w:font>
  <w:font w:name="Courier New">
    <w:altName w:val="DejaVu San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Ubuntu">
    <w:panose1 w:val="020B0604030602030204"/>
    <w:charset w:val="00"/>
    <w:family w:val="auto"/>
    <w:pitch w:val="default"/>
    <w:sig w:usb0="E00002FF" w:usb1="5000205B" w:usb2="00000000" w:usb3="00000000" w:csb0="2000009F" w:csb1="5601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9509F9"/>
    <w:rsid w:val="0062695E"/>
    <w:rsid w:val="00863B59"/>
    <w:rsid w:val="00F50CDF"/>
    <w:rsid w:val="04704B5B"/>
    <w:rsid w:val="0576333E"/>
    <w:rsid w:val="06B37672"/>
    <w:rsid w:val="0754675F"/>
    <w:rsid w:val="08C6543B"/>
    <w:rsid w:val="0B7D3DAB"/>
    <w:rsid w:val="0E83792A"/>
    <w:rsid w:val="0F184516"/>
    <w:rsid w:val="0FC30926"/>
    <w:rsid w:val="18266C2F"/>
    <w:rsid w:val="18277578"/>
    <w:rsid w:val="1CDC3A7F"/>
    <w:rsid w:val="1E8DE75E"/>
    <w:rsid w:val="1E9A6CF6"/>
    <w:rsid w:val="20B35E4D"/>
    <w:rsid w:val="20B41BC5"/>
    <w:rsid w:val="24455956"/>
    <w:rsid w:val="25DDCB12"/>
    <w:rsid w:val="289E73E3"/>
    <w:rsid w:val="2B852ADC"/>
    <w:rsid w:val="2BC52ED8"/>
    <w:rsid w:val="2DD613CD"/>
    <w:rsid w:val="3112096E"/>
    <w:rsid w:val="337524F0"/>
    <w:rsid w:val="341744ED"/>
    <w:rsid w:val="36070CBD"/>
    <w:rsid w:val="3B3C659E"/>
    <w:rsid w:val="3E611186"/>
    <w:rsid w:val="3F4CC540"/>
    <w:rsid w:val="40E90FBF"/>
    <w:rsid w:val="416B7518"/>
    <w:rsid w:val="439711A6"/>
    <w:rsid w:val="46244F73"/>
    <w:rsid w:val="46472A10"/>
    <w:rsid w:val="47C14A44"/>
    <w:rsid w:val="49C116FD"/>
    <w:rsid w:val="4C802F40"/>
    <w:rsid w:val="501E2A33"/>
    <w:rsid w:val="566E3FE9"/>
    <w:rsid w:val="567333AD"/>
    <w:rsid w:val="56A8574D"/>
    <w:rsid w:val="575E5E0B"/>
    <w:rsid w:val="5A025174"/>
    <w:rsid w:val="5D3720E2"/>
    <w:rsid w:val="5F5965F9"/>
    <w:rsid w:val="5FEC48FC"/>
    <w:rsid w:val="607F642D"/>
    <w:rsid w:val="616E1341"/>
    <w:rsid w:val="644E1E64"/>
    <w:rsid w:val="670B54D2"/>
    <w:rsid w:val="684B23DC"/>
    <w:rsid w:val="699509F9"/>
    <w:rsid w:val="6C4E4249"/>
    <w:rsid w:val="6CED5810"/>
    <w:rsid w:val="6DC81DD9"/>
    <w:rsid w:val="6DEF896E"/>
    <w:rsid w:val="6F082DD5"/>
    <w:rsid w:val="6F6049BF"/>
    <w:rsid w:val="756C68E8"/>
    <w:rsid w:val="75BFD028"/>
    <w:rsid w:val="7742571C"/>
    <w:rsid w:val="783562BD"/>
    <w:rsid w:val="79927E6B"/>
    <w:rsid w:val="7A57241C"/>
    <w:rsid w:val="7AFB56A9"/>
    <w:rsid w:val="7CE34539"/>
    <w:rsid w:val="7EF885C5"/>
    <w:rsid w:val="7FBEDE21"/>
    <w:rsid w:val="7FDBB73A"/>
    <w:rsid w:val="7FFFF6BE"/>
    <w:rsid w:val="8BF580E0"/>
    <w:rsid w:val="8FF10D0F"/>
    <w:rsid w:val="AE7F5CB3"/>
    <w:rsid w:val="B7FEDD0E"/>
    <w:rsid w:val="BAB6362A"/>
    <w:rsid w:val="BAFF4DB9"/>
    <w:rsid w:val="BDFBB037"/>
    <w:rsid w:val="E3EA9AF6"/>
    <w:rsid w:val="F75B1A4D"/>
    <w:rsid w:val="F7FF27A3"/>
    <w:rsid w:val="F7FF533F"/>
    <w:rsid w:val="FA5BA6D3"/>
    <w:rsid w:val="FE7BB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jc w:val="center"/>
    </w:pPr>
    <w:rPr>
      <w:rFonts w:ascii="华文中宋" w:hAnsi="华文中宋" w:eastAsia="华文中宋" w:cs="Times New Roman"/>
      <w:b/>
      <w:kern w:val="2"/>
      <w:sz w:val="36"/>
      <w:szCs w:val="24"/>
      <w:lang w:val="en-US" w:eastAsia="zh-CN" w:bidi="ar-SA"/>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rPr>
      <w:sz w:val="24"/>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2458</Words>
  <Characters>2548</Characters>
  <Lines>0</Lines>
  <Paragraphs>0</Paragraphs>
  <TotalTime>4</TotalTime>
  <ScaleCrop>false</ScaleCrop>
  <LinksUpToDate>false</LinksUpToDate>
  <CharactersWithSpaces>2550</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2026-04-13T15:36:00Z</dcterms:created>
  <dc:creator>DYY</dc:creator>
  <cp:lastModifiedBy>ysjt</cp:lastModifiedBy>
  <dcterms:modified xsi:type="dcterms:W3CDTF">2026-06-12T15:47:34Z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51420B8211DB49FB9310D07D26747C84_13</vt:lpwstr>
  </property>
  <property fmtid="{D5CDD505-2E9C-101B-9397-08002B2CF9AE}" pid="4" name="KSOTemplateDocerSaveRecord">
    <vt:lpwstr>eyJoZGlkIjoiMDVkZTIwMzAzOTBjMmU3NTk3ZTE4YzU4ZmJiNjg1NDgiLCJ1c2VySWQiOiI4MjMwODU2MjkifQ==</vt:lpwstr>
  </property>
</Properties>
</file>