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黑体" w:cs="Times New Roman"/>
          <w:color w:val="000000"/>
          <w:szCs w:val="32"/>
          <w:lang w:eastAsia="zh-CN"/>
        </w:rPr>
      </w:pPr>
      <w:r>
        <w:rPr>
          <w:rFonts w:hint="default" w:ascii="Times New Roman" w:hAnsi="Times New Roman" w:eastAsia="黑体" w:cs="Times New Roman"/>
          <w:color w:val="000000"/>
          <w:szCs w:val="32"/>
          <w:lang w:eastAsia="zh-CN"/>
        </w:rPr>
        <w:t>附件</w:t>
      </w:r>
      <w:r>
        <w:rPr>
          <w:rFonts w:hint="eastAsia" w:ascii="Times New Roman" w:hAnsi="Times New Roman" w:eastAsia="黑体" w:cs="Times New Roman"/>
          <w:color w:val="000000"/>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lang w:eastAsia="zh-CN"/>
        </w:rPr>
      </w:pPr>
      <w:r>
        <w:rPr>
          <w:rFonts w:hint="eastAsia" w:ascii="方正小标宋简体" w:hAnsi="方正小标宋简体" w:eastAsia="方正小标宋简体" w:cs="方正小标宋简体"/>
          <w:color w:val="000000"/>
          <w:sz w:val="44"/>
          <w:lang w:eastAsia="zh-CN"/>
        </w:rPr>
        <w:t>广州市专精特新中小企业培育赋能中心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000000"/>
          <w:sz w:val="44"/>
          <w:lang w:eastAsia="zh-CN"/>
        </w:rPr>
      </w:pPr>
      <w:r>
        <w:rPr>
          <w:rFonts w:hint="eastAsia" w:ascii="方正小标宋简体" w:hAnsi="方正小标宋简体" w:eastAsia="方正小标宋简体" w:cs="方正小标宋简体"/>
          <w:color w:val="000000"/>
          <w:sz w:val="44"/>
          <w:lang w:eastAsia="zh-CN"/>
        </w:rPr>
        <w:t>建设项目申报指南</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000000"/>
          <w:sz w:val="44"/>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lang w:eastAsia="zh-CN"/>
        </w:rPr>
      </w:pPr>
      <w:r>
        <w:rPr>
          <w:rFonts w:hint="eastAsia" w:ascii="黑体" w:hAnsi="黑体" w:eastAsia="黑体" w:cs="黑体"/>
          <w:color w:val="000000"/>
          <w:lang w:eastAsia="zh-CN"/>
        </w:rPr>
        <w:t>一、支持建设内容</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为加快建设优质中小企业梯度培育体系，支持建设广州市专精特新中小企业培育赋能中心（以下简称“培育赋能中心”），打造汇聚优质资源、服务企业发展、凝聚企业家精神的“广州专精特新企业之家”。本项目支持建设内容</w:t>
      </w:r>
      <w:r>
        <w:rPr>
          <w:rFonts w:hint="eastAsia" w:cs="仿宋_GB2312"/>
          <w:color w:val="000000"/>
          <w:lang w:val="en-US" w:eastAsia="zh-CN"/>
        </w:rPr>
        <w:t>主要包括</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rFonts w:hint="eastAsia" w:ascii="仿宋_GB2312" w:hAnsi="Times New Roman" w:eastAsia="仿宋_GB2312"/>
          <w:sz w:val="32"/>
          <w:szCs w:val="32"/>
        </w:rPr>
      </w:pPr>
      <w:r>
        <w:rPr>
          <w:rFonts w:hint="eastAsia" w:ascii="楷体_GB2312" w:hAnsi="楷体_GB2312" w:eastAsia="楷体_GB2312" w:cs="楷体_GB2312"/>
          <w:color w:val="000000"/>
          <w:lang w:eastAsia="zh-CN"/>
        </w:rPr>
        <w:t>（一）培育服务功能建设。</w:t>
      </w:r>
      <w:r>
        <w:rPr>
          <w:rFonts w:ascii="仿宋_GB2312" w:hAnsi="Times New Roman" w:eastAsia="仿宋_GB2312"/>
          <w:sz w:val="32"/>
          <w:szCs w:val="32"/>
        </w:rPr>
        <w:t>构建覆盖企业成长全周期的系统化培育能力底座，面向创新型中小企业和科技型中小企业、专精特新中小企业、专精特新“小巨人”企业三个层级提供分层分类培育服务</w:t>
      </w:r>
      <w:r>
        <w:rPr>
          <w:rFonts w:hint="eastAsia" w:ascii="仿宋_GB2312"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rFonts w:hint="eastAsia" w:ascii="仿宋_GB2312" w:hAnsi="Times New Roman" w:eastAsia="仿宋_GB2312"/>
          <w:sz w:val="32"/>
          <w:szCs w:val="32"/>
        </w:rPr>
      </w:pPr>
      <w:r>
        <w:rPr>
          <w:rFonts w:hint="eastAsia" w:ascii="楷体_GB2312" w:hAnsi="楷体_GB2312" w:eastAsia="楷体_GB2312" w:cs="楷体_GB2312"/>
          <w:color w:val="000000"/>
          <w:lang w:eastAsia="zh-CN"/>
        </w:rPr>
        <w:t>（二）实体化建设与资源整合。</w:t>
      </w:r>
      <w:r>
        <w:rPr>
          <w:rFonts w:ascii="仿宋_GB2312" w:hAnsi="Times New Roman" w:eastAsia="仿宋_GB2312"/>
          <w:sz w:val="32"/>
          <w:szCs w:val="32"/>
        </w:rPr>
        <w:t>搭建与全市</w:t>
      </w:r>
      <w:r>
        <w:rPr>
          <w:rFonts w:ascii="Times New Roman" w:hAnsi="Times New Roman" w:eastAsia="仿宋_GB2312"/>
          <w:sz w:val="32"/>
          <w:szCs w:val="32"/>
        </w:rPr>
        <w:t>11</w:t>
      </w:r>
      <w:r>
        <w:rPr>
          <w:rFonts w:ascii="仿宋_GB2312" w:hAnsi="Times New Roman" w:eastAsia="仿宋_GB2312"/>
          <w:sz w:val="32"/>
          <w:szCs w:val="32"/>
        </w:rPr>
        <w:t>个区联动、依托重点产业园区和产业集群设立服务触点的协同服务网络</w:t>
      </w:r>
      <w:r>
        <w:rPr>
          <w:rFonts w:hint="eastAsia" w:ascii="仿宋_GB2312" w:hAnsi="Times New Roman" w:eastAsia="仿宋_GB2312"/>
          <w:sz w:val="32"/>
          <w:szCs w:val="32"/>
        </w:rPr>
        <w:t>。</w:t>
      </w:r>
      <w:r>
        <w:rPr>
          <w:rFonts w:ascii="仿宋_GB2312" w:hAnsi="Times New Roman" w:eastAsia="仿宋_GB2312"/>
          <w:sz w:val="32"/>
          <w:szCs w:val="32"/>
        </w:rPr>
        <w:t>线上公共服务系统建设，重点开发“优质中小企业主动发现”功能模块，</w:t>
      </w:r>
      <w:r>
        <w:rPr>
          <w:rFonts w:hint="eastAsia" w:ascii="仿宋_GB2312" w:hAnsi="Times New Roman" w:eastAsia="仿宋_GB2312"/>
          <w:sz w:val="32"/>
          <w:szCs w:val="32"/>
        </w:rPr>
        <w:t>提供政策直达、供需对接、在线辅导等服务，</w:t>
      </w:r>
      <w:r>
        <w:rPr>
          <w:rFonts w:ascii="仿宋_GB2312" w:hAnsi="Times New Roman" w:eastAsia="仿宋_GB2312"/>
          <w:sz w:val="32"/>
          <w:szCs w:val="32"/>
        </w:rPr>
        <w:t>实现培育服务</w:t>
      </w:r>
      <w:r>
        <w:rPr>
          <w:rFonts w:hint="eastAsia" w:hAnsi="Times New Roman"/>
          <w:sz w:val="32"/>
          <w:szCs w:val="32"/>
          <w:lang w:eastAsia="zh-CN"/>
        </w:rPr>
        <w:t>“一网通办”</w:t>
      </w:r>
      <w:r>
        <w:rPr>
          <w:rFonts w:ascii="仿宋_GB2312" w:hAnsi="Times New Roman" w:eastAsia="仿宋_GB2312"/>
          <w:sz w:val="32"/>
          <w:szCs w:val="32"/>
        </w:rPr>
        <w:t>、全天候在线</w:t>
      </w:r>
      <w:r>
        <w:rPr>
          <w:rFonts w:hint="eastAsia" w:ascii="仿宋_GB2312"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rFonts w:hint="eastAsia" w:cs="仿宋_GB2312"/>
          <w:color w:val="000000"/>
          <w:lang w:eastAsia="zh-CN"/>
        </w:rPr>
      </w:pPr>
      <w:r>
        <w:rPr>
          <w:rFonts w:hint="eastAsia" w:ascii="楷体_GB2312" w:hAnsi="楷体_GB2312" w:eastAsia="楷体_GB2312" w:cs="楷体_GB2312"/>
          <w:color w:val="000000"/>
          <w:lang w:eastAsia="zh-CN"/>
        </w:rPr>
        <w:t>（三）企业发展要素资源整合与协同服务供给。</w:t>
      </w:r>
      <w:r>
        <w:rPr>
          <w:rFonts w:hint="eastAsia" w:cs="仿宋_GB2312"/>
          <w:color w:val="000000"/>
          <w:lang w:eastAsia="zh-CN"/>
        </w:rPr>
        <w:t>支持培育赋能中心归集整合各类企业发展要素，建立统一的服务资源库，实行统一汇聚、按需调用。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cs="仿宋_GB2312"/>
          <w:color w:val="000000"/>
          <w:lang w:eastAsia="zh-CN"/>
        </w:rPr>
      </w:pPr>
      <w:r>
        <w:rPr>
          <w:rFonts w:hint="eastAsia" w:ascii="楷体_GB2312" w:hAnsi="楷体_GB2312" w:eastAsia="楷体_GB2312" w:cs="楷体_GB2312"/>
          <w:color w:val="000000"/>
          <w:lang w:eastAsia="zh-CN"/>
        </w:rPr>
        <w:t>（四）专精特新培育智库建设。</w:t>
      </w:r>
      <w:r>
        <w:rPr>
          <w:rFonts w:hint="eastAsia" w:ascii="仿宋_GB2312" w:hAnsi="Times New Roman" w:eastAsia="仿宋_GB2312"/>
          <w:sz w:val="32"/>
          <w:szCs w:val="32"/>
        </w:rPr>
        <w:t>组建专精特新培育智库，汇聚产业研究、政策研究、技术创新、金融资本、人才引育等领域专家力量，面向政府部门和企业提供专精特新培育决策咨询与智力支撑。</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lang w:eastAsia="zh-CN"/>
        </w:rPr>
      </w:pPr>
      <w:r>
        <w:rPr>
          <w:rFonts w:hint="eastAsia" w:ascii="黑体" w:hAnsi="黑体" w:eastAsia="黑体" w:cs="黑体"/>
          <w:color w:val="000000"/>
          <w:lang w:eastAsia="zh-CN"/>
        </w:rPr>
        <w:t>二、申报条件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（一）申报主体条件。</w:t>
      </w:r>
      <w:r>
        <w:rPr>
          <w:rFonts w:hint="eastAsia" w:cs="仿宋_GB2312"/>
          <w:color w:val="000000"/>
          <w:lang w:eastAsia="zh-CN"/>
        </w:rPr>
        <w:t>申报主体须是在广州市实质性开展专精特新中小企业培育服务运营活动的企业、事业单位或专业服务机构，具有独立法人资格（不含企业自用或集团内部关联主体使用的非公共服务平台），且同时具备以下基础条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1</w:t>
      </w:r>
      <w:r>
        <w:rPr>
          <w:rFonts w:hint="eastAsia" w:cs="仿宋_GB2312"/>
          <w:color w:val="000000"/>
          <w:lang w:eastAsia="zh-CN"/>
        </w:rPr>
        <w:t>.主营业务与中小企业培育服务、科技创新服务、检验检测认证、投融资服务、人才服务等领域相关；</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2</w:t>
      </w:r>
      <w:r>
        <w:rPr>
          <w:rFonts w:hint="eastAsia" w:cs="仿宋_GB2312"/>
          <w:color w:val="000000"/>
          <w:lang w:eastAsia="zh-CN"/>
        </w:rPr>
        <w:t>.拥有固定的服务场地和专职运营团队，具备统筹整合创新资源、资金资源、人才资源、市场资源、空间资源等企业发展要素的能力；</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3</w:t>
      </w:r>
      <w:r>
        <w:rPr>
          <w:rFonts w:hint="eastAsia" w:cs="仿宋_GB2312"/>
          <w:color w:val="000000"/>
          <w:lang w:eastAsia="zh-CN"/>
        </w:rPr>
        <w:t>.信用记录良好，在“信用广东”网站查询无严重失信记录，近三年无重大违法违规行为；</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4</w:t>
      </w:r>
      <w:r>
        <w:rPr>
          <w:rFonts w:hint="eastAsia" w:cs="仿宋_GB2312"/>
          <w:color w:val="000000"/>
          <w:lang w:eastAsia="zh-CN"/>
        </w:rPr>
        <w:t>.具备与项目建设内容相匹配的专业资质、服务团队和服务案例。</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（二）项目条件。</w:t>
      </w:r>
      <w:r>
        <w:rPr>
          <w:rFonts w:hint="eastAsia" w:cs="仿宋_GB2312"/>
          <w:color w:val="000000"/>
          <w:lang w:eastAsia="zh-CN"/>
        </w:rPr>
        <w:t>项目申报须同时满足以下条件：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1</w:t>
      </w:r>
      <w:r>
        <w:rPr>
          <w:rFonts w:hint="eastAsia" w:cs="仿宋_GB2312"/>
          <w:color w:val="000000"/>
          <w:lang w:eastAsia="zh-CN"/>
        </w:rPr>
        <w:t>.项目为新建的专精特新中小企业培育赋能中心建设项目，建设内容真实、完整，未获得市级财政资金重复支持；</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2</w:t>
      </w:r>
      <w:r>
        <w:rPr>
          <w:rFonts w:hint="eastAsia" w:cs="仿宋_GB2312"/>
          <w:color w:val="000000"/>
          <w:lang w:eastAsia="zh-CN"/>
        </w:rPr>
        <w:t>.项目建设周期为项目启动之日起至</w:t>
      </w:r>
      <w:r>
        <w:rPr>
          <w:rFonts w:hint="eastAsia" w:ascii="Times New Roman" w:hAnsi="Times New Roman" w:cs="仿宋_GB2312"/>
          <w:color w:val="000000"/>
          <w:lang w:eastAsia="zh-CN"/>
        </w:rPr>
        <w:t>2027</w:t>
      </w:r>
      <w:r>
        <w:rPr>
          <w:rFonts w:hint="eastAsia" w:cs="仿宋_GB2312"/>
          <w:color w:val="000000"/>
          <w:lang w:eastAsia="zh-CN"/>
        </w:rPr>
        <w:t>年</w:t>
      </w:r>
      <w:r>
        <w:rPr>
          <w:rFonts w:hint="eastAsia" w:ascii="Times New Roman" w:hAnsi="Times New Roman" w:cs="仿宋_GB2312"/>
          <w:color w:val="000000"/>
          <w:lang w:eastAsia="zh-CN"/>
        </w:rPr>
        <w:t>12</w:t>
      </w:r>
      <w:r>
        <w:rPr>
          <w:rFonts w:hint="eastAsia" w:cs="仿宋_GB2312"/>
          <w:color w:val="000000"/>
          <w:lang w:eastAsia="zh-CN"/>
        </w:rPr>
        <w:t>月</w:t>
      </w:r>
      <w:r>
        <w:rPr>
          <w:rFonts w:hint="eastAsia" w:ascii="Times New Roman" w:hAnsi="Times New Roman" w:cs="仿宋_GB2312"/>
          <w:color w:val="000000"/>
          <w:lang w:eastAsia="zh-CN"/>
        </w:rPr>
        <w:t>3</w:t>
      </w:r>
      <w:r>
        <w:rPr>
          <w:rFonts w:ascii="Times New Roman" w:hAnsi="Times New Roman" w:cs="仿宋_GB2312"/>
          <w:color w:val="000000"/>
          <w:lang w:eastAsia="zh-CN"/>
        </w:rPr>
        <w:t>1</w:t>
      </w:r>
      <w:r>
        <w:rPr>
          <w:rFonts w:hint="eastAsia" w:cs="仿宋_GB2312"/>
          <w:color w:val="000000"/>
          <w:lang w:eastAsia="zh-CN"/>
        </w:rPr>
        <w:t>日；</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3</w:t>
      </w:r>
      <w:r>
        <w:rPr>
          <w:rFonts w:hint="eastAsia" w:cs="仿宋_GB2312"/>
          <w:color w:val="000000"/>
          <w:lang w:eastAsia="zh-CN"/>
        </w:rPr>
        <w:t>.项目须</w:t>
      </w:r>
      <w:r>
        <w:rPr>
          <w:rFonts w:hint="eastAsia" w:ascii="仿宋_GB2312" w:hAnsi="Times New Roman" w:eastAsia="仿宋_GB2312"/>
          <w:sz w:val="32"/>
          <w:szCs w:val="32"/>
          <w:lang w:val="en-US" w:eastAsia="zh-CN"/>
        </w:rPr>
        <w:t>对照</w:t>
      </w:r>
      <w:r>
        <w:rPr>
          <w:rFonts w:ascii="仿宋_GB2312" w:hAnsi="Times New Roman" w:eastAsia="仿宋_GB2312"/>
          <w:sz w:val="32"/>
          <w:szCs w:val="32"/>
        </w:rPr>
        <w:t>全市专精特新梯度培育目标</w:t>
      </w:r>
      <w:r>
        <w:rPr>
          <w:rFonts w:hint="eastAsia" w:ascii="仿宋_GB2312" w:hAnsi="Times New Roman" w:eastAsia="仿宋_GB2312"/>
          <w:sz w:val="32"/>
          <w:szCs w:val="32"/>
          <w:lang w:eastAsia="zh-CN"/>
        </w:rPr>
        <w:t>，</w:t>
      </w:r>
      <w:r>
        <w:rPr>
          <w:rFonts w:hint="eastAsia" w:cs="仿宋_GB2312"/>
          <w:color w:val="000000"/>
          <w:lang w:eastAsia="zh-CN"/>
        </w:rPr>
        <w:t>编制完整的建设方案和六大培育功能服务内容清单，</w:t>
      </w:r>
      <w:r>
        <w:rPr>
          <w:rFonts w:hint="eastAsia" w:hAnsi="Times New Roman"/>
          <w:sz w:val="32"/>
          <w:szCs w:val="32"/>
          <w:lang w:val="en-US" w:eastAsia="zh-CN"/>
        </w:rPr>
        <w:t>设置相应目标</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pPr>
      <w:r>
        <w:rPr>
          <w:rFonts w:hint="eastAsia" w:ascii="黑体" w:hAnsi="黑体" w:eastAsia="黑体" w:cs="黑体"/>
          <w:color w:val="000000"/>
        </w:rPr>
        <w:t>三、支持方式</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lang w:eastAsia="zh-CN"/>
        </w:rPr>
      </w:pPr>
      <w:r>
        <w:rPr>
          <w:rFonts w:hint="eastAsia" w:cs="仿宋_GB2312"/>
          <w:color w:val="000000"/>
          <w:lang w:val="en-US" w:eastAsia="zh-CN"/>
        </w:rPr>
        <w:t>财政资金直接支持，</w:t>
      </w:r>
      <w:r>
        <w:rPr>
          <w:rFonts w:hint="eastAsia" w:cs="仿宋_GB2312"/>
          <w:color w:val="000000"/>
          <w:lang w:eastAsia="zh-CN"/>
        </w:rPr>
        <w:t>根据《广州市促进专精特新中小企业发展壮大若干措施》关于“每年安排不超过</w:t>
      </w:r>
      <w:r>
        <w:rPr>
          <w:rFonts w:hint="eastAsia" w:ascii="Times New Roman" w:hAnsi="Times New Roman" w:cs="仿宋_GB2312"/>
          <w:color w:val="000000"/>
          <w:lang w:eastAsia="zh-CN"/>
        </w:rPr>
        <w:t>500</w:t>
      </w:r>
      <w:r>
        <w:rPr>
          <w:rFonts w:hint="eastAsia" w:cs="仿宋_GB2312"/>
          <w:color w:val="000000"/>
          <w:lang w:eastAsia="zh-CN"/>
        </w:rPr>
        <w:t>万元财政资金建设专精特新中小企业培育赋能中心”的规定，</w:t>
      </w:r>
      <w:r>
        <w:rPr>
          <w:rFonts w:ascii="仿宋_GB2312" w:hAnsi="宋体" w:eastAsia="仿宋_GB2312" w:cs="仿宋_GB2312"/>
          <w:color w:val="000000"/>
          <w:spacing w:val="0"/>
          <w:kern w:val="0"/>
          <w:position w:val="0"/>
          <w:sz w:val="31"/>
          <w:szCs w:val="31"/>
          <w:lang w:val="en-US" w:eastAsia="zh-CN" w:bidi="ar"/>
        </w:rPr>
        <w:t>项目立项后我局将与项目牵头单位签订项目合同</w:t>
      </w:r>
      <w:r>
        <w:rPr>
          <w:rFonts w:hint="eastAsia" w:ascii="仿宋_GB2312" w:hAnsi="宋体" w:eastAsia="仿宋_GB2312" w:cs="仿宋_GB2312"/>
          <w:color w:val="000000"/>
          <w:spacing w:val="0"/>
          <w:kern w:val="0"/>
          <w:position w:val="0"/>
          <w:sz w:val="31"/>
          <w:szCs w:val="31"/>
          <w:lang w:val="en-US" w:eastAsia="zh-CN" w:bidi="ar"/>
        </w:rPr>
        <w:t>书，并按照合同约定拨付资金。</w:t>
      </w:r>
      <w:r>
        <w:rPr>
          <w:rFonts w:ascii="宋体" w:hAnsi="宋体" w:eastAsia="宋体" w:cs="宋体"/>
          <w:kern w:val="0"/>
          <w:sz w:val="24"/>
          <w:szCs w:val="24"/>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黑体" w:hAnsi="黑体" w:eastAsia="黑体" w:cs="黑体"/>
          <w:color w:val="000000"/>
          <w:lang w:eastAsia="zh-CN"/>
        </w:rPr>
        <w:t>四、申报材料</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（一）申报书封面（盖章）。</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（二）申报承诺书（盖章，内容详见附件</w:t>
      </w:r>
      <w:r>
        <w:rPr>
          <w:rFonts w:hint="eastAsia" w:ascii="Times New Roman" w:hAnsi="Times New Roman" w:cs="仿宋_GB2312"/>
          <w:color w:val="000000"/>
          <w:lang w:val="en-US" w:eastAsia="zh-CN"/>
        </w:rPr>
        <w:t>2</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（三）项目申请表（盖章，内容详见附件</w:t>
      </w:r>
      <w:r>
        <w:rPr>
          <w:rFonts w:hint="eastAsia" w:ascii="Times New Roman" w:hAnsi="Times New Roman" w:cs="仿宋_GB2312"/>
          <w:color w:val="000000"/>
          <w:lang w:val="en-US" w:eastAsia="zh-CN"/>
        </w:rPr>
        <w:t>3</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（四）申报单位情况材料。</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1</w:t>
      </w:r>
      <w:r>
        <w:rPr>
          <w:rFonts w:hint="eastAsia" w:cs="仿宋_GB2312"/>
          <w:color w:val="000000"/>
          <w:lang w:eastAsia="zh-CN"/>
        </w:rPr>
        <w:t>.申报单位营业执照、统一社会信用代码（组织机构代码证）、税务登记证（“三证合一”的仅提供营业执照）扫描件。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2</w:t>
      </w:r>
      <w:r>
        <w:rPr>
          <w:rFonts w:hint="eastAsia" w:cs="仿宋_GB2312"/>
          <w:color w:val="000000"/>
          <w:lang w:eastAsia="zh-CN"/>
        </w:rPr>
        <w:t>.法定代表人身份证扫描件。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3</w:t>
      </w:r>
      <w:r>
        <w:rPr>
          <w:rFonts w:hint="eastAsia" w:cs="仿宋_GB2312"/>
          <w:color w:val="000000"/>
          <w:lang w:eastAsia="zh-CN"/>
        </w:rPr>
        <w:t>.申报单位在“信用广东”网站的信用查询记录。</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4</w:t>
      </w:r>
      <w:r>
        <w:rPr>
          <w:rFonts w:hint="eastAsia" w:cs="仿宋_GB2312"/>
          <w:color w:val="000000"/>
          <w:lang w:eastAsia="zh-CN"/>
        </w:rPr>
        <w:t>.财务审计报告和财务报表：包括经具备资质的会计师事务所审计的近三年审计报告和财务报表（含资产负债表、利润表和现金流量表），新注册企业不能提供财务审计报告的，应提交企业实缴出资验资报告、自注册以来的资产负债表、利润表和现金流量表（法定代表人签字，加盖公章）。</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Times New Roman" w:hAnsi="Times New Roman" w:cs="仿宋_GB2312"/>
          <w:color w:val="000000"/>
          <w:lang w:eastAsia="zh-CN"/>
        </w:rPr>
        <w:t>5</w:t>
      </w:r>
      <w:r>
        <w:rPr>
          <w:rFonts w:hint="eastAsia" w:cs="仿宋_GB2312"/>
          <w:color w:val="000000"/>
          <w:lang w:eastAsia="zh-CN"/>
        </w:rPr>
        <w:t>.服务能力证明材料：包括服务场地权属或租赁证明、专职运营团队情况证明、专业资质证书、服务案例清单等。</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（五）项目建设方案（即《广州市专精特新中小企业培育赋能中心建设方案》），包含工作计划与项目预算（模板详见附件</w:t>
      </w:r>
      <w:r>
        <w:rPr>
          <w:rFonts w:hint="eastAsia" w:ascii="Times New Roman" w:hAnsi="Times New Roman" w:cs="仿宋_GB2312"/>
          <w:color w:val="000000"/>
          <w:lang w:val="en-US" w:eastAsia="zh-CN"/>
        </w:rPr>
        <w:t>4</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（六）人员材料。项目服务专员团队人员列表（内容详见附件</w:t>
      </w:r>
      <w:r>
        <w:rPr>
          <w:rFonts w:hint="eastAsia" w:ascii="Times New Roman" w:hAnsi="Times New Roman" w:cs="仿宋_GB2312"/>
          <w:color w:val="000000"/>
          <w:lang w:val="en-US" w:eastAsia="zh-CN"/>
        </w:rPr>
        <w:t>5</w:t>
      </w:r>
      <w:r>
        <w:rPr>
          <w:rFonts w:hint="eastAsia"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上述材料必须在申报时间内按要求完整提供，如有一项不符合条件或空缺均视为不符合申报条件。</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黑体" w:hAnsi="黑体" w:eastAsia="黑体" w:cs="黑体"/>
          <w:color w:val="000000"/>
          <w:lang w:eastAsia="zh-CN"/>
        </w:rPr>
        <w:t>五、申报程序</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（一）项目申报。</w:t>
      </w:r>
      <w:r>
        <w:rPr>
          <w:rFonts w:hint="eastAsia" w:cs="仿宋_GB2312"/>
          <w:color w:val="000000"/>
          <w:lang w:eastAsia="zh-CN"/>
        </w:rPr>
        <w:t>申报单位按市工业和信息化局申报通知要求，填报项目信息并提交申报材料，具体申报时间以申报通知为准。</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（二）市级审核。</w:t>
      </w:r>
      <w:r>
        <w:rPr>
          <w:rFonts w:hint="eastAsia" w:cs="仿宋_GB2312"/>
          <w:color w:val="000000"/>
          <w:lang w:eastAsia="zh-CN"/>
        </w:rPr>
        <w:t>市工业和信息化局按照申报条件组织材料形式审查、专家评审和现场核查，必要时组织项目答辩。</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（三）结果公示。</w:t>
      </w:r>
      <w:r>
        <w:rPr>
          <w:rFonts w:hint="eastAsia" w:cs="仿宋_GB2312"/>
          <w:color w:val="000000"/>
          <w:lang w:eastAsia="zh-CN"/>
        </w:rPr>
        <w:t>拟支持项目名单在市工业和信息化局门户网站公示，公示期不少于</w:t>
      </w:r>
      <w:r>
        <w:rPr>
          <w:rFonts w:hint="eastAsia" w:ascii="Times New Roman" w:hAnsi="Times New Roman" w:cs="仿宋_GB2312"/>
          <w:color w:val="000000"/>
          <w:lang w:eastAsia="zh-CN"/>
        </w:rPr>
        <w:t>5</w:t>
      </w:r>
      <w:r>
        <w:rPr>
          <w:rFonts w:hint="eastAsia" w:cs="仿宋_GB2312"/>
          <w:color w:val="000000"/>
          <w:lang w:eastAsia="zh-CN"/>
        </w:rPr>
        <w:t>个工作日。</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楷体_GB2312" w:hAnsi="楷体_GB2312" w:eastAsia="楷体_GB2312" w:cs="楷体_GB2312"/>
          <w:color w:val="000000"/>
          <w:lang w:eastAsia="zh-CN"/>
        </w:rPr>
        <w:t>（四）立项实施。</w:t>
      </w:r>
      <w:r>
        <w:rPr>
          <w:rFonts w:hint="eastAsia" w:cs="仿宋_GB2312"/>
          <w:color w:val="000000"/>
          <w:lang w:eastAsia="zh-CN"/>
        </w:rPr>
        <w:t>公示无异议的项目，签订项目合同书，按合同约定推进项目建设与资金拨付。</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ascii="黑体" w:hAnsi="黑体" w:eastAsia="黑体" w:cs="黑体"/>
          <w:color w:val="000000"/>
          <w:lang w:eastAsia="zh-CN"/>
        </w:rPr>
        <w:t>六、其他事项</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（一）申报单位对申报材料的真实性、合法性、准确性负责，对弄虚作假的，取消申报资格，对已拨付资金予以收回，并按规定追究相关责任。</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（二）同一项目不得重复申报、多头申报市级财政资金；已获得市级财政资金支持的建设内容不得重复申报。</w:t>
      </w:r>
    </w:p>
    <w:p>
      <w:pPr>
        <w:keepNext w:val="0"/>
        <w:keepLines w:val="0"/>
        <w:pageBreakBefore w:val="0"/>
        <w:widowControl w:val="0"/>
        <w:kinsoku/>
        <w:wordWrap/>
        <w:overflowPunct/>
        <w:topLinePunct w:val="0"/>
        <w:autoSpaceDE/>
        <w:autoSpaceDN/>
        <w:bidi w:val="0"/>
        <w:adjustRightInd/>
        <w:snapToGrid/>
        <w:spacing w:line="600" w:lineRule="exact"/>
        <w:ind w:firstLine="641"/>
        <w:jc w:val="both"/>
        <w:textAlignment w:val="auto"/>
        <w:rPr>
          <w:lang w:eastAsia="zh-CN"/>
        </w:rPr>
      </w:pPr>
      <w:r>
        <w:rPr>
          <w:rFonts w:hint="eastAsia" w:cs="仿宋_GB2312"/>
          <w:color w:val="000000"/>
          <w:lang w:eastAsia="zh-CN"/>
        </w:rPr>
        <w:t>（三）本指南由广州市工业和信息化局负责解释。</w:t>
      </w:r>
    </w:p>
    <w:p>
      <w:pPr>
        <w:keepNext w:val="0"/>
        <w:keepLines w:val="0"/>
        <w:pageBreakBefore w:val="0"/>
        <w:widowControl w:val="0"/>
        <w:kinsoku/>
        <w:wordWrap/>
        <w:overflowPunct/>
        <w:topLinePunct w:val="0"/>
        <w:autoSpaceDE/>
        <w:autoSpaceDN/>
        <w:bidi w:val="0"/>
        <w:adjustRightInd/>
        <w:snapToGrid/>
        <w:spacing w:line="600" w:lineRule="exact"/>
        <w:textAlignment w:val="auto"/>
      </w:pPr>
      <w:bookmarkStart w:id="0" w:name="_GoBack"/>
      <w:bookmarkEnd w:id="0"/>
    </w:p>
    <w:sectPr>
      <w:footerReference r:id="rId5" w:type="default"/>
      <w:pgSz w:w="11906" w:h="16838"/>
      <w:pgMar w:top="1587" w:right="1474" w:bottom="1587"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imes New Roman" w:hAnsi="Times New Roman" w:eastAsia="仿宋_GB2312" w:cs="Times New Roman"/>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p>
                    <w:pPr>
                      <w:pStyle w:val="2"/>
                      <w:rPr>
                        <w:rFonts w:hint="eastAsia" w:ascii="Times New Roman" w:hAnsi="Times New Roman" w:eastAsia="仿宋_GB2312" w:cs="Times New Roman"/>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A342B4"/>
    <w:rsid w:val="2B253DEB"/>
    <w:rsid w:val="338B63A2"/>
    <w:rsid w:val="3C7C6C68"/>
    <w:rsid w:val="3C8A7F52"/>
    <w:rsid w:val="49EA0282"/>
    <w:rsid w:val="4B7B4EE4"/>
    <w:rsid w:val="7DA71A0B"/>
    <w:rsid w:val="7F842003"/>
    <w:rsid w:val="F764A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仿宋_GB2312" w:hAnsi="仿宋_GB2312" w:eastAsia="仿宋_GB2312" w:cstheme="minorBidi"/>
      <w:sz w:val="32"/>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1865</Words>
  <Characters>1885</Characters>
  <Lines>0</Lines>
  <Paragraphs>0</Paragraphs>
  <TotalTime>1</TotalTime>
  <ScaleCrop>false</ScaleCrop>
  <LinksUpToDate>false</LinksUpToDate>
  <CharactersWithSpaces>1886</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2026-09-17T12:27:00Z</dcterms:created>
  <dc:creator>zhouq</dc:creator>
  <cp:lastModifiedBy>打字室</cp:lastModifiedBy>
  <dcterms:modified xsi:type="dcterms:W3CDTF">2026-09-21T09:26:06Z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KSOTemplateDocerSaveRecord">
    <vt:lpwstr>eyJoZGlkIjoiZjcwODAyMDhjOGY5NDM3YjA2Y2JmZTBhNzlhOWMzNzYiLCJ1c2VySWQiOiIzMTgyNjI3OTAifQ==</vt:lpwstr>
  </property>
  <property fmtid="{D5CDD505-2E9C-101B-9397-08002B2CF9AE}" pid="4" name="ICV">
    <vt:lpwstr>01EC2C426E314F4EBE6633EC70A0F75D_12</vt:lpwstr>
  </property>
</Properties>
</file>