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8B99C4">
      <w:pPr>
        <w:pStyle w:val="2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560" w:lineRule="exact"/>
        <w:ind w:left="0" w:leftChars="0" w:firstLine="800" w:firstLineChars="200"/>
        <w:jc w:val="center"/>
        <w:textAlignment w:val="auto"/>
        <w:rPr>
          <w:rStyle w:val="18"/>
          <w:rFonts w:hint="eastAsia" w:ascii="方正小标宋简体" w:hAnsi="方正小标宋简体" w:eastAsia="方正小标宋简体" w:cs="方正小标宋简体"/>
          <w:b w:val="0"/>
          <w:bCs w:val="0"/>
          <w:color w:val="auto"/>
          <w:sz w:val="40"/>
          <w:szCs w:val="40"/>
          <w:lang w:eastAsia="zh-CN"/>
        </w:rPr>
      </w:pPr>
      <w:bookmarkStart w:id="23" w:name="_GoBack"/>
      <w:bookmarkStart w:id="0" w:name="OLE_LINK10"/>
    </w:p>
    <w:p w14:paraId="244A0EA7">
      <w:pPr>
        <w:pStyle w:val="2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560" w:lineRule="exact"/>
        <w:ind w:left="0" w:leftChars="0" w:firstLine="800" w:firstLineChars="200"/>
        <w:jc w:val="center"/>
        <w:textAlignment w:val="auto"/>
        <w:rPr>
          <w:rStyle w:val="18"/>
          <w:rFonts w:hint="eastAsia" w:ascii="方正小标宋简体" w:hAnsi="方正小标宋简体" w:eastAsia="方正小标宋简体" w:cs="方正小标宋简体"/>
          <w:b w:val="0"/>
          <w:bCs w:val="0"/>
          <w:color w:val="auto"/>
          <w:sz w:val="40"/>
          <w:szCs w:val="40"/>
          <w:lang w:eastAsia="zh-CN"/>
        </w:rPr>
      </w:pPr>
    </w:p>
    <w:p w14:paraId="03242D5C">
      <w:pPr>
        <w:pStyle w:val="2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560" w:lineRule="exact"/>
        <w:ind w:left="0" w:leftChars="0" w:firstLine="800" w:firstLineChars="200"/>
        <w:jc w:val="center"/>
        <w:textAlignment w:val="auto"/>
        <w:rPr>
          <w:rStyle w:val="18"/>
          <w:rFonts w:hint="eastAsia" w:ascii="方正小标宋简体" w:hAnsi="方正小标宋简体" w:eastAsia="方正小标宋简体" w:cs="方正小标宋简体"/>
          <w:b w:val="0"/>
          <w:bCs w:val="0"/>
          <w:color w:val="auto"/>
          <w:sz w:val="40"/>
          <w:szCs w:val="40"/>
          <w:lang w:eastAsia="zh-CN"/>
        </w:rPr>
      </w:pPr>
    </w:p>
    <w:p w14:paraId="2EF616B7">
      <w:pPr>
        <w:pStyle w:val="2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560" w:lineRule="exact"/>
        <w:ind w:left="0" w:leftChars="0" w:firstLine="800" w:firstLineChars="200"/>
        <w:jc w:val="center"/>
        <w:textAlignment w:val="auto"/>
        <w:rPr>
          <w:rStyle w:val="18"/>
          <w:rFonts w:hint="eastAsia" w:ascii="方正小标宋简体" w:hAnsi="方正小标宋简体" w:eastAsia="方正小标宋简体" w:cs="方正小标宋简体"/>
          <w:b w:val="0"/>
          <w:bCs w:val="0"/>
          <w:color w:val="auto"/>
          <w:sz w:val="40"/>
          <w:szCs w:val="40"/>
          <w:lang w:eastAsia="zh-CN"/>
        </w:rPr>
      </w:pPr>
    </w:p>
    <w:p w14:paraId="706E89A3">
      <w:pPr>
        <w:pStyle w:val="2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560" w:lineRule="exact"/>
        <w:ind w:left="0" w:leftChars="0" w:firstLine="800" w:firstLineChars="200"/>
        <w:jc w:val="center"/>
        <w:textAlignment w:val="auto"/>
        <w:rPr>
          <w:rStyle w:val="18"/>
          <w:rFonts w:hint="eastAsia" w:ascii="方正小标宋简体" w:hAnsi="方正小标宋简体" w:eastAsia="方正小标宋简体" w:cs="方正小标宋简体"/>
          <w:b w:val="0"/>
          <w:bCs w:val="0"/>
          <w:color w:val="auto"/>
          <w:sz w:val="40"/>
          <w:szCs w:val="40"/>
          <w:lang w:eastAsia="zh-CN"/>
        </w:rPr>
      </w:pPr>
    </w:p>
    <w:p w14:paraId="7ACCF2B1">
      <w:pPr>
        <w:keepNext w:val="0"/>
        <w:keepLines w:val="0"/>
        <w:pageBreakBefore w:val="0"/>
        <w:wordWrap/>
        <w:overflowPunct/>
        <w:bidi w:val="0"/>
        <w:spacing w:line="700" w:lineRule="exact"/>
        <w:ind w:firstLine="0" w:firstLineChars="0"/>
        <w:jc w:val="center"/>
        <w:textAlignment w:val="auto"/>
        <w:outlineLvl w:val="9"/>
        <w:rPr>
          <w:rFonts w:hint="eastAsia" w:ascii="Times New Roman" w:hAnsi="Times New Roman" w:eastAsia="方正小标宋简体" w:cs="Times New Roman"/>
          <w:color w:val="auto"/>
          <w:sz w:val="52"/>
          <w:szCs w:val="52"/>
          <w:highlight w:val="none"/>
        </w:rPr>
      </w:pPr>
      <w:r>
        <w:rPr>
          <w:rFonts w:hint="eastAsia" w:ascii="Times New Roman" w:hAnsi="Times New Roman" w:eastAsia="方正小标宋简体" w:cs="Times New Roman"/>
          <w:color w:val="auto"/>
          <w:sz w:val="52"/>
          <w:szCs w:val="52"/>
          <w:highlight w:val="none"/>
          <w:lang w:eastAsia="zh-CN"/>
        </w:rPr>
        <w:t>黔西南州</w:t>
      </w:r>
      <w:r>
        <w:rPr>
          <w:rFonts w:hint="eastAsia" w:ascii="Times New Roman" w:hAnsi="Times New Roman" w:eastAsia="方正小标宋简体" w:cs="Times New Roman"/>
          <w:color w:val="auto"/>
          <w:sz w:val="52"/>
          <w:szCs w:val="52"/>
          <w:highlight w:val="none"/>
        </w:rPr>
        <w:t>“十五五”科技创新规划</w:t>
      </w:r>
      <w:bookmarkEnd w:id="0"/>
    </w:p>
    <w:p w14:paraId="163272F4">
      <w:pPr>
        <w:pStyle w:val="14"/>
        <w:keepNext w:val="0"/>
        <w:keepLines w:val="0"/>
        <w:pageBreakBefore w:val="0"/>
        <w:widowControl w:val="0"/>
        <w:kinsoku/>
        <w:wordWrap/>
        <w:overflowPunct/>
        <w:topLinePunct w:val="0"/>
        <w:autoSpaceDE/>
        <w:autoSpaceDN/>
        <w:bidi w:val="0"/>
        <w:adjustRightInd/>
        <w:snapToGrid/>
        <w:spacing w:line="700" w:lineRule="exact"/>
        <w:ind w:right="0" w:firstLine="0" w:firstLineChars="0"/>
        <w:jc w:val="center"/>
        <w:textAlignment w:val="auto"/>
        <w:outlineLvl w:val="9"/>
        <w:rPr>
          <w:rFonts w:hint="eastAsia" w:ascii="Times New Roman" w:hAnsi="Times New Roman" w:eastAsia="楷体_GB2312" w:cs="Times New Roman"/>
          <w:color w:val="auto"/>
          <w:sz w:val="44"/>
          <w:szCs w:val="44"/>
          <w:highlight w:val="none"/>
          <w:lang w:val="en-US" w:eastAsia="zh-CN"/>
        </w:rPr>
      </w:pPr>
      <w:r>
        <w:rPr>
          <w:rFonts w:hint="eastAsia" w:ascii="Times New Roman" w:hAnsi="Times New Roman" w:eastAsia="楷体_GB2312" w:cs="Times New Roman"/>
          <w:color w:val="auto"/>
          <w:sz w:val="44"/>
          <w:szCs w:val="44"/>
          <w:highlight w:val="none"/>
          <w:lang w:val="en-US" w:eastAsia="zh-CN"/>
        </w:rPr>
        <w:t>（征求意见稿）</w:t>
      </w:r>
    </w:p>
    <w:p w14:paraId="521D07C7">
      <w:pPr>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color w:val="auto"/>
          <w:sz w:val="32"/>
          <w:szCs w:val="32"/>
        </w:rPr>
      </w:pPr>
    </w:p>
    <w:p w14:paraId="2619A791">
      <w:pPr>
        <w:pStyle w:val="6"/>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color w:val="auto"/>
          <w:sz w:val="32"/>
          <w:szCs w:val="32"/>
        </w:rPr>
      </w:pPr>
    </w:p>
    <w:p w14:paraId="5EA42AB5">
      <w:pPr>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color w:val="auto"/>
          <w:sz w:val="32"/>
          <w:szCs w:val="32"/>
        </w:rPr>
      </w:pPr>
    </w:p>
    <w:p w14:paraId="66F33E51">
      <w:pPr>
        <w:pStyle w:val="6"/>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color w:val="auto"/>
          <w:sz w:val="32"/>
          <w:szCs w:val="32"/>
        </w:rPr>
      </w:pPr>
    </w:p>
    <w:p w14:paraId="7367B067">
      <w:pPr>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color w:val="auto"/>
          <w:sz w:val="32"/>
          <w:szCs w:val="32"/>
        </w:rPr>
      </w:pPr>
    </w:p>
    <w:p w14:paraId="7A3735CB">
      <w:pPr>
        <w:pStyle w:val="6"/>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color w:val="auto"/>
          <w:sz w:val="32"/>
          <w:szCs w:val="32"/>
        </w:rPr>
      </w:pPr>
    </w:p>
    <w:p w14:paraId="3A5F9606">
      <w:pPr>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color w:val="auto"/>
          <w:sz w:val="32"/>
          <w:szCs w:val="32"/>
        </w:rPr>
      </w:pPr>
    </w:p>
    <w:p w14:paraId="21F2A700">
      <w:pPr>
        <w:pStyle w:val="6"/>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color w:val="auto"/>
          <w:sz w:val="32"/>
          <w:szCs w:val="32"/>
        </w:rPr>
      </w:pPr>
    </w:p>
    <w:p w14:paraId="58973A02">
      <w:pPr>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color w:val="auto"/>
          <w:sz w:val="32"/>
          <w:szCs w:val="32"/>
        </w:rPr>
      </w:pPr>
    </w:p>
    <w:p w14:paraId="76C474B4">
      <w:pPr>
        <w:pStyle w:val="6"/>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color w:val="auto"/>
          <w:sz w:val="32"/>
          <w:szCs w:val="32"/>
        </w:rPr>
      </w:pPr>
    </w:p>
    <w:p w14:paraId="025284BA">
      <w:pPr>
        <w:rPr>
          <w:rFonts w:hint="eastAsia"/>
          <w:color w:val="auto"/>
        </w:rPr>
      </w:pPr>
    </w:p>
    <w:p w14:paraId="7325243C">
      <w:pPr>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color w:val="auto"/>
          <w:sz w:val="32"/>
          <w:szCs w:val="32"/>
        </w:rPr>
      </w:pPr>
    </w:p>
    <w:p w14:paraId="00E0B357">
      <w:pPr>
        <w:pStyle w:val="6"/>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color w:val="auto"/>
          <w:sz w:val="32"/>
          <w:szCs w:val="32"/>
        </w:rPr>
      </w:pPr>
    </w:p>
    <w:p w14:paraId="301E70F0">
      <w:pPr>
        <w:keepNext w:val="0"/>
        <w:keepLines w:val="0"/>
        <w:pageBreakBefore w:val="0"/>
        <w:wordWrap/>
        <w:overflowPunct/>
        <w:bidi w:val="0"/>
        <w:spacing w:line="240" w:lineRule="auto"/>
        <w:ind w:left="0" w:leftChars="0" w:right="0" w:rightChars="0" w:firstLine="0" w:firstLineChars="0"/>
        <w:jc w:val="center"/>
        <w:textAlignment w:val="auto"/>
        <w:outlineLvl w:val="9"/>
        <w:rPr>
          <w:rFonts w:hint="default" w:ascii="Times New Roman" w:hAnsi="Times New Roman" w:eastAsia="黑体" w:cs="Times New Roman"/>
          <w:color w:val="auto"/>
          <w:sz w:val="36"/>
          <w:szCs w:val="36"/>
          <w:highlight w:val="none"/>
          <w:lang w:eastAsia="zh-CN"/>
        </w:rPr>
      </w:pPr>
      <w:r>
        <w:rPr>
          <w:rFonts w:hint="eastAsia" w:ascii="Times New Roman" w:hAnsi="Times New Roman" w:eastAsia="黑体" w:cs="Times New Roman"/>
          <w:color w:val="auto"/>
          <w:sz w:val="36"/>
          <w:szCs w:val="36"/>
          <w:highlight w:val="none"/>
          <w:lang w:val="en-US" w:eastAsia="zh-CN"/>
        </w:rPr>
        <w:t>黔</w:t>
      </w:r>
      <w:r>
        <w:rPr>
          <w:rFonts w:hint="default" w:ascii="Times New Roman" w:hAnsi="Times New Roman" w:eastAsia="黑体" w:cs="Times New Roman"/>
          <w:color w:val="auto"/>
          <w:sz w:val="36"/>
          <w:szCs w:val="36"/>
          <w:highlight w:val="none"/>
          <w:lang w:val="en-US" w:eastAsia="zh-CN"/>
        </w:rPr>
        <w:t>西南州科学技术局</w:t>
      </w:r>
    </w:p>
    <w:p w14:paraId="49805804">
      <w:pPr>
        <w:keepNext w:val="0"/>
        <w:keepLines w:val="0"/>
        <w:pageBreakBefore w:val="0"/>
        <w:wordWrap/>
        <w:overflowPunct/>
        <w:bidi w:val="0"/>
        <w:spacing w:line="240" w:lineRule="auto"/>
        <w:ind w:left="0" w:leftChars="0" w:right="0" w:rightChars="0" w:firstLine="0" w:firstLineChars="0"/>
        <w:jc w:val="center"/>
        <w:textAlignment w:val="auto"/>
        <w:outlineLvl w:val="9"/>
        <w:rPr>
          <w:rFonts w:hint="default" w:ascii="Times New Roman" w:hAnsi="Times New Roman" w:eastAsia="黑体" w:cs="Times New Roman"/>
          <w:color w:val="auto"/>
          <w:sz w:val="36"/>
          <w:szCs w:val="36"/>
          <w:highlight w:val="none"/>
          <w:lang w:val="en-US" w:eastAsia="zh-CN"/>
        </w:rPr>
        <w:sectPr>
          <w:pgSz w:w="11906" w:h="16838"/>
          <w:pgMar w:top="1440" w:right="1800" w:bottom="1440" w:left="1800" w:header="851" w:footer="992" w:gutter="0"/>
          <w:cols w:space="720" w:num="1"/>
          <w:docGrid w:type="lines" w:linePitch="312" w:charSpace="0"/>
        </w:sectPr>
      </w:pPr>
      <w:r>
        <w:rPr>
          <w:rFonts w:hint="default" w:ascii="Times New Roman" w:hAnsi="Times New Roman" w:eastAsia="黑体" w:cs="Times New Roman"/>
          <w:color w:val="auto"/>
          <w:sz w:val="36"/>
          <w:szCs w:val="36"/>
          <w:highlight w:val="none"/>
          <w:lang w:val="en-US" w:eastAsia="zh-CN"/>
        </w:rPr>
        <w:t>2026</w:t>
      </w:r>
      <w:r>
        <w:rPr>
          <w:rFonts w:hint="eastAsia" w:ascii="Times New Roman" w:hAnsi="Times New Roman" w:eastAsia="黑体" w:cs="Times New Roman"/>
          <w:color w:val="auto"/>
          <w:sz w:val="36"/>
          <w:szCs w:val="36"/>
          <w:highlight w:val="none"/>
          <w:lang w:val="en-US" w:eastAsia="zh-CN"/>
        </w:rPr>
        <w:t>年9月</w:t>
      </w:r>
    </w:p>
    <w:p w14:paraId="2127696F">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“十五五”时期，是我省建设特色科技强省</w:t>
      </w:r>
      <w:r>
        <w:rPr>
          <w:rFonts w:hint="eastAsia" w:ascii="Times New Roman" w:hAnsi="Times New Roman" w:eastAsia="仿宋_GB2312" w:cs="Times New Roman"/>
          <w:color w:val="auto"/>
          <w:kern w:val="2"/>
          <w:sz w:val="32"/>
          <w:szCs w:val="32"/>
          <w:highlight w:val="none"/>
          <w:lang w:val="en-US" w:eastAsia="zh-CN" w:bidi="ar-SA"/>
        </w:rPr>
        <w:t>的关键时期</w:t>
      </w:r>
      <w:r>
        <w:rPr>
          <w:rFonts w:hint="eastAsia" w:ascii="仿宋_GB2312" w:hAnsi="仿宋_GB2312" w:eastAsia="仿宋_GB2312" w:cs="仿宋_GB2312"/>
          <w:color w:val="auto"/>
          <w:kern w:val="2"/>
          <w:sz w:val="32"/>
          <w:szCs w:val="32"/>
          <w:lang w:val="en-US" w:eastAsia="zh-CN" w:bidi="ar-SA"/>
        </w:rPr>
        <w:t>，是黔西南州趁势而上、奋力追赶的攻坚期，</w:t>
      </w:r>
      <w:r>
        <w:rPr>
          <w:rFonts w:hint="eastAsia" w:ascii="Times New Roman" w:hAnsi="Times New Roman" w:eastAsia="仿宋_GB2312" w:cs="Times New Roman"/>
          <w:color w:val="auto"/>
          <w:kern w:val="2"/>
          <w:sz w:val="32"/>
          <w:szCs w:val="32"/>
          <w:highlight w:val="none"/>
          <w:lang w:val="en-US" w:eastAsia="zh-CN" w:bidi="ar-SA"/>
        </w:rPr>
        <w:t>为明确未来五年全州科技创新发展方向和工作重点，根据《贵州省“十五五”科技创新规划》和《黔西南布依族苗族自治州国民经济和社会发展第十五个五年规划纲要》，制定本规划</w:t>
      </w:r>
      <w:r>
        <w:rPr>
          <w:rFonts w:hint="eastAsia" w:ascii="仿宋_GB2312" w:hAnsi="仿宋_GB2312" w:eastAsia="仿宋_GB2312" w:cs="仿宋_GB2312"/>
          <w:color w:val="auto"/>
          <w:kern w:val="2"/>
          <w:sz w:val="32"/>
          <w:szCs w:val="32"/>
          <w:lang w:val="en-US" w:eastAsia="zh-CN" w:bidi="ar-SA"/>
        </w:rPr>
        <w:t>。</w:t>
      </w:r>
    </w:p>
    <w:p w14:paraId="763CC73B">
      <w:pPr>
        <w:pStyle w:val="2"/>
        <w:pageBreakBefore w:val="0"/>
        <w:widowControl w:val="0"/>
        <w:kinsoku/>
        <w:wordWrap/>
        <w:overflowPunct/>
        <w:topLinePunct w:val="0"/>
        <w:autoSpaceDE/>
        <w:autoSpaceDN/>
        <w:bidi w:val="0"/>
        <w:adjustRightInd/>
        <w:snapToGrid/>
        <w:spacing w:before="0" w:beforeLines="0" w:after="0" w:afterLines="0" w:line="600" w:lineRule="exact"/>
        <w:ind w:firstLine="640" w:firstLineChars="200"/>
        <w:jc w:val="both"/>
        <w:textAlignment w:val="auto"/>
        <w:rPr>
          <w:rFonts w:hint="eastAsia" w:ascii="Times New Roman" w:hAnsi="Times New Roman" w:eastAsia="黑体" w:cs="Times New Roman"/>
          <w:color w:val="auto"/>
          <w:szCs w:val="24"/>
          <w:highlight w:val="none"/>
          <w:lang w:val="en-US" w:eastAsia="zh-CN"/>
        </w:rPr>
      </w:pPr>
      <w:bookmarkStart w:id="1" w:name="_Toc1501466093"/>
      <w:r>
        <w:rPr>
          <w:rFonts w:hint="eastAsia" w:ascii="Times New Roman" w:hAnsi="Times New Roman" w:eastAsia="黑体" w:cs="Times New Roman"/>
          <w:color w:val="auto"/>
          <w:szCs w:val="24"/>
          <w:highlight w:val="none"/>
          <w:lang w:val="en-US" w:eastAsia="zh-CN"/>
        </w:rPr>
        <w:t>一、总体要求</w:t>
      </w:r>
      <w:bookmarkEnd w:id="1"/>
    </w:p>
    <w:p w14:paraId="5C4D658A">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640" w:firstLineChars="200"/>
        <w:textAlignment w:val="auto"/>
        <w:rPr>
          <w:rFonts w:hint="default" w:ascii="仿宋_GB2312" w:hAnsi="仿宋_GB2312" w:eastAsia="仿宋_GB2312" w:cs="仿宋_GB2312"/>
          <w:color w:val="auto"/>
          <w:kern w:val="2"/>
          <w:sz w:val="32"/>
          <w:szCs w:val="32"/>
          <w:lang w:val="en-US" w:eastAsia="zh-CN" w:bidi="ar-SA"/>
        </w:rPr>
      </w:pPr>
      <w:r>
        <w:rPr>
          <w:rFonts w:hint="default" w:ascii="仿宋_GB2312" w:hAnsi="仿宋_GB2312" w:eastAsia="仿宋_GB2312" w:cs="仿宋_GB2312"/>
          <w:color w:val="auto"/>
          <w:kern w:val="2"/>
          <w:sz w:val="32"/>
          <w:szCs w:val="32"/>
          <w:lang w:val="en-US" w:eastAsia="zh-CN" w:bidi="ar-SA"/>
        </w:rPr>
        <w:t>坚持以习近平新时代中国特色社会主义思想为指导，</w:t>
      </w:r>
      <w:r>
        <w:rPr>
          <w:rFonts w:hint="eastAsia" w:ascii="仿宋_GB2312" w:hAnsi="仿宋_GB2312" w:eastAsia="仿宋_GB2312" w:cs="仿宋_GB2312"/>
          <w:color w:val="auto"/>
          <w:kern w:val="2"/>
          <w:sz w:val="32"/>
          <w:szCs w:val="32"/>
          <w:lang w:val="en-US" w:eastAsia="zh-CN" w:bidi="ar-SA"/>
        </w:rPr>
        <w:t>全面贯彻党的二十大和二十届历次全会精神</w:t>
      </w:r>
      <w:r>
        <w:rPr>
          <w:rFonts w:hint="default" w:ascii="仿宋_GB2312" w:hAnsi="仿宋_GB2312" w:eastAsia="仿宋_GB2312" w:cs="仿宋_GB2312"/>
          <w:color w:val="auto"/>
          <w:kern w:val="2"/>
          <w:sz w:val="32"/>
          <w:szCs w:val="32"/>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省第十三次党代会和省委十三届历次全会精神，认真贯彻习近平总书记在贵州考察时重要讲话精神以及关于科技创新的重要论述，始终坚持以高质量发展统揽全局，</w:t>
      </w:r>
      <w:r>
        <w:rPr>
          <w:rFonts w:hint="default" w:ascii="仿宋_GB2312" w:hAnsi="仿宋_GB2312" w:eastAsia="仿宋_GB2312" w:cs="仿宋_GB2312"/>
          <w:color w:val="auto"/>
          <w:kern w:val="2"/>
          <w:sz w:val="32"/>
          <w:szCs w:val="32"/>
          <w:lang w:val="en-US" w:eastAsia="zh-CN" w:bidi="ar-SA"/>
        </w:rPr>
        <w:t>突出“四个面向”战略导向</w:t>
      </w:r>
      <w:r>
        <w:rPr>
          <w:rFonts w:hint="eastAsia" w:ascii="仿宋_GB2312" w:hAnsi="仿宋_GB2312" w:eastAsia="仿宋_GB2312" w:cs="仿宋_GB2312"/>
          <w:color w:val="auto"/>
          <w:kern w:val="2"/>
          <w:sz w:val="32"/>
          <w:szCs w:val="32"/>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大力实施强化比较优势战略，立足产业发展基础和资源禀赋，</w:t>
      </w:r>
      <w:r>
        <w:rPr>
          <w:rFonts w:hint="default" w:ascii="仿宋_GB2312" w:hAnsi="仿宋_GB2312" w:eastAsia="仿宋_GB2312" w:cs="仿宋_GB2312"/>
          <w:color w:val="auto"/>
          <w:kern w:val="2"/>
          <w:sz w:val="32"/>
          <w:szCs w:val="32"/>
          <w:lang w:val="en-US" w:eastAsia="zh-CN" w:bidi="ar-SA"/>
        </w:rPr>
        <w:t>坚定不移走产业依托型科技创新路子</w:t>
      </w:r>
      <w:r>
        <w:rPr>
          <w:rFonts w:hint="eastAsia" w:ascii="仿宋_GB2312" w:hAnsi="仿宋_GB2312" w:eastAsia="仿宋_GB2312" w:cs="仿宋_GB2312"/>
          <w:color w:val="auto"/>
          <w:kern w:val="2"/>
          <w:sz w:val="32"/>
          <w:szCs w:val="32"/>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推动科技创新和产业创新深度融合，</w:t>
      </w:r>
      <w:r>
        <w:rPr>
          <w:rFonts w:hint="default" w:ascii="仿宋_GB2312" w:hAnsi="仿宋_GB2312" w:eastAsia="仿宋_GB2312" w:cs="仿宋_GB2312"/>
          <w:color w:val="auto"/>
          <w:kern w:val="2"/>
          <w:sz w:val="32"/>
          <w:szCs w:val="32"/>
          <w:lang w:val="en-US" w:eastAsia="zh-CN" w:bidi="ar-SA"/>
        </w:rPr>
        <w:t>统筹教育科技人才一体化发展，</w:t>
      </w:r>
      <w:r>
        <w:rPr>
          <w:rFonts w:hint="eastAsia" w:ascii="仿宋_GB2312" w:hAnsi="仿宋_GB2312" w:eastAsia="仿宋_GB2312" w:cs="仿宋_GB2312"/>
          <w:color w:val="auto"/>
          <w:kern w:val="2"/>
          <w:sz w:val="32"/>
          <w:szCs w:val="32"/>
          <w:lang w:val="en-US" w:eastAsia="zh-CN" w:bidi="ar-SA"/>
        </w:rPr>
        <w:t>大力推进科技创新平台建设，强化科技创新主体地位，通过强化有组织的科研开展科技攻关和成果转化，</w:t>
      </w:r>
      <w:r>
        <w:rPr>
          <w:rFonts w:hint="default" w:ascii="仿宋_GB2312" w:hAnsi="仿宋_GB2312" w:eastAsia="仿宋_GB2312" w:cs="仿宋_GB2312"/>
          <w:color w:val="auto"/>
          <w:kern w:val="2"/>
          <w:sz w:val="32"/>
          <w:szCs w:val="32"/>
          <w:lang w:val="en-US" w:eastAsia="zh-CN" w:bidi="ar-SA"/>
        </w:rPr>
        <w:t>全面增强自主创新能力，</w:t>
      </w:r>
      <w:r>
        <w:rPr>
          <w:rFonts w:hint="eastAsia" w:ascii="仿宋_GB2312" w:hAnsi="仿宋_GB2312" w:eastAsia="仿宋_GB2312" w:cs="仿宋_GB2312"/>
          <w:color w:val="auto"/>
          <w:kern w:val="2"/>
          <w:sz w:val="32"/>
          <w:szCs w:val="32"/>
          <w:lang w:val="en-US" w:eastAsia="zh-CN" w:bidi="ar-SA"/>
        </w:rPr>
        <w:t>不断催生新质生产力，持续推进创新型黔西南建设，为</w:t>
      </w:r>
      <w:r>
        <w:rPr>
          <w:rFonts w:hint="default" w:ascii="仿宋_GB2312" w:hAnsi="仿宋_GB2312" w:eastAsia="仿宋_GB2312" w:cs="仿宋_GB2312"/>
          <w:color w:val="auto"/>
          <w:kern w:val="2"/>
          <w:sz w:val="32"/>
          <w:szCs w:val="32"/>
          <w:lang w:val="en-US" w:eastAsia="zh-CN" w:bidi="ar-SA"/>
        </w:rPr>
        <w:t>全州高质量发展</w:t>
      </w:r>
      <w:r>
        <w:rPr>
          <w:rFonts w:hint="eastAsia" w:ascii="仿宋_GB2312" w:hAnsi="仿宋_GB2312" w:eastAsia="仿宋_GB2312" w:cs="仿宋_GB2312"/>
          <w:color w:val="auto"/>
          <w:kern w:val="2"/>
          <w:sz w:val="32"/>
          <w:szCs w:val="32"/>
          <w:lang w:val="en-US" w:eastAsia="zh-CN" w:bidi="ar-SA"/>
        </w:rPr>
        <w:t>提供有力支撑。</w:t>
      </w:r>
    </w:p>
    <w:p w14:paraId="5F3F439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到2030年，科技创新水平明显提升，企业创新主体地位进一步加强，科技创新平台推进建设，</w:t>
      </w:r>
      <w:r>
        <w:rPr>
          <w:rFonts w:hint="eastAsia" w:ascii="Times New Roman" w:hAnsi="Times New Roman" w:eastAsia="仿宋_GB2312" w:cs="仿宋_GB2312"/>
          <w:strike w:val="0"/>
          <w:color w:val="auto"/>
          <w:kern w:val="2"/>
          <w:sz w:val="32"/>
          <w:szCs w:val="32"/>
          <w:highlight w:val="none"/>
          <w:lang w:val="en-US" w:eastAsia="zh-CN" w:bidi="ar-SA"/>
        </w:rPr>
        <w:t>教育科技人才一体发展</w:t>
      </w:r>
      <w:r>
        <w:rPr>
          <w:rFonts w:hint="eastAsia" w:ascii="Times New Roman" w:hAnsi="Times New Roman" w:eastAsia="仿宋_GB2312" w:cs="仿宋_GB2312"/>
          <w:color w:val="auto"/>
          <w:kern w:val="2"/>
          <w:sz w:val="32"/>
          <w:szCs w:val="32"/>
          <w:highlight w:val="none"/>
          <w:lang w:val="en-US" w:eastAsia="zh-CN" w:bidi="ar-SA"/>
        </w:rPr>
        <w:t>，科技创新生态持续优化，特色优势产业关键核心技术取得突破，自主创新和科技成果转化能力不断增强。</w:t>
      </w:r>
    </w:p>
    <w:p w14:paraId="2AF566D3">
      <w:pP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4863"/>
        <w:gridCol w:w="1350"/>
        <w:gridCol w:w="1204"/>
      </w:tblGrid>
      <w:tr w14:paraId="13729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473" w:type="dxa"/>
            <w:gridSpan w:val="4"/>
            <w:noWrap w:val="0"/>
            <w:vAlign w:val="center"/>
          </w:tcPr>
          <w:p w14:paraId="1609604E">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_GB2312" w:hAnsi="仿宋_GB2312" w:eastAsia="仿宋_GB2312" w:cs="仿宋_GB2312"/>
                <w:b/>
                <w:bCs/>
                <w:color w:val="auto"/>
                <w:sz w:val="28"/>
                <w:szCs w:val="28"/>
                <w:vertAlign w:val="baseline"/>
                <w:lang w:val="en-US" w:eastAsia="zh-CN"/>
              </w:rPr>
            </w:pPr>
            <w:r>
              <w:rPr>
                <w:rFonts w:hint="eastAsia" w:ascii="仿宋_GB2312" w:hAnsi="仿宋_GB2312" w:eastAsia="仿宋_GB2312" w:cs="仿宋_GB2312"/>
                <w:b/>
                <w:bCs/>
                <w:i w:val="0"/>
                <w:iCs w:val="0"/>
                <w:color w:val="auto"/>
                <w:kern w:val="0"/>
                <w:sz w:val="28"/>
                <w:szCs w:val="28"/>
                <w:highlight w:val="none"/>
                <w:u w:val="none"/>
                <w:lang w:val="en-US" w:eastAsia="zh-CN" w:bidi="ar"/>
              </w:rPr>
              <w:t>专栏1 “十五五”时期科技创新预期性指标</w:t>
            </w:r>
          </w:p>
        </w:tc>
      </w:tr>
      <w:tr w14:paraId="3D76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056" w:type="dxa"/>
            <w:noWrap w:val="0"/>
            <w:vAlign w:val="center"/>
          </w:tcPr>
          <w:p w14:paraId="61BEEBC4">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_GB2312" w:hAnsi="仿宋_GB2312" w:eastAsia="仿宋_GB2312" w:cs="仿宋_GB2312"/>
                <w:b/>
                <w:bCs/>
                <w:color w:val="auto"/>
                <w:sz w:val="28"/>
                <w:szCs w:val="28"/>
                <w:vertAlign w:val="baseline"/>
                <w:lang w:val="en-US" w:eastAsia="zh-CN"/>
              </w:rPr>
            </w:pPr>
            <w:r>
              <w:rPr>
                <w:rFonts w:hint="eastAsia" w:ascii="仿宋_GB2312" w:hAnsi="仿宋_GB2312" w:eastAsia="仿宋_GB2312" w:cs="仿宋_GB2312"/>
                <w:b/>
                <w:bCs/>
                <w:color w:val="auto"/>
                <w:sz w:val="28"/>
                <w:szCs w:val="28"/>
                <w:vertAlign w:val="baseline"/>
                <w:lang w:val="en-US" w:eastAsia="zh-CN"/>
              </w:rPr>
              <w:t>序号</w:t>
            </w:r>
          </w:p>
        </w:tc>
        <w:tc>
          <w:tcPr>
            <w:tcW w:w="4863" w:type="dxa"/>
            <w:noWrap w:val="0"/>
            <w:vAlign w:val="center"/>
          </w:tcPr>
          <w:p w14:paraId="5AD30C3E">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_GB2312" w:hAnsi="仿宋_GB2312" w:eastAsia="仿宋_GB2312" w:cs="仿宋_GB2312"/>
                <w:b/>
                <w:bCs/>
                <w:color w:val="auto"/>
                <w:sz w:val="28"/>
                <w:szCs w:val="28"/>
                <w:vertAlign w:val="baseline"/>
                <w:lang w:val="en-US" w:eastAsia="zh-CN"/>
              </w:rPr>
            </w:pPr>
            <w:r>
              <w:rPr>
                <w:rFonts w:hint="eastAsia" w:ascii="仿宋_GB2312" w:hAnsi="仿宋_GB2312" w:eastAsia="仿宋_GB2312" w:cs="仿宋_GB2312"/>
                <w:b/>
                <w:bCs/>
                <w:color w:val="auto"/>
                <w:sz w:val="28"/>
                <w:szCs w:val="28"/>
                <w:vertAlign w:val="baseline"/>
                <w:lang w:val="en-US" w:eastAsia="zh-CN"/>
              </w:rPr>
              <w:t>指标名称</w:t>
            </w:r>
          </w:p>
        </w:tc>
        <w:tc>
          <w:tcPr>
            <w:tcW w:w="1350" w:type="dxa"/>
            <w:noWrap w:val="0"/>
            <w:vAlign w:val="center"/>
          </w:tcPr>
          <w:p w14:paraId="4D81E6E1">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2025年</w:t>
            </w:r>
          </w:p>
        </w:tc>
        <w:tc>
          <w:tcPr>
            <w:tcW w:w="1204" w:type="dxa"/>
            <w:noWrap w:val="0"/>
            <w:vAlign w:val="center"/>
          </w:tcPr>
          <w:p w14:paraId="36ED000E">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_GB2312" w:hAnsi="仿宋_GB2312" w:eastAsia="仿宋_GB2312" w:cs="仿宋_GB2312"/>
                <w:b/>
                <w:bCs/>
                <w:color w:val="auto"/>
                <w:sz w:val="28"/>
                <w:szCs w:val="28"/>
                <w:vertAlign w:val="baseline"/>
                <w:lang w:val="en-US" w:eastAsia="zh-CN"/>
              </w:rPr>
            </w:pPr>
            <w:r>
              <w:rPr>
                <w:rFonts w:hint="eastAsia" w:ascii="仿宋_GB2312" w:hAnsi="仿宋_GB2312" w:eastAsia="仿宋_GB2312" w:cs="仿宋_GB2312"/>
                <w:b/>
                <w:bCs/>
                <w:color w:val="auto"/>
                <w:sz w:val="28"/>
                <w:szCs w:val="28"/>
                <w:vertAlign w:val="baseline"/>
                <w:lang w:val="en-US" w:eastAsia="zh-CN"/>
              </w:rPr>
              <w:t>2030年</w:t>
            </w:r>
          </w:p>
        </w:tc>
      </w:tr>
      <w:tr w14:paraId="023FE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 w:type="dxa"/>
            <w:noWrap w:val="0"/>
            <w:vAlign w:val="center"/>
          </w:tcPr>
          <w:p w14:paraId="31DF58E2">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_GB2312" w:hAnsi="仿宋_GB2312" w:eastAsia="仿宋_GB2312" w:cs="仿宋_GB2312"/>
                <w:color w:val="auto"/>
                <w:sz w:val="28"/>
                <w:szCs w:val="28"/>
                <w:vertAlign w:val="baseline"/>
                <w:lang w:val="en-US" w:eastAsia="zh-CN"/>
              </w:rPr>
            </w:pPr>
            <w:r>
              <w:rPr>
                <w:rFonts w:hint="eastAsia" w:ascii="仿宋_GB2312" w:hAnsi="仿宋_GB2312" w:eastAsia="仿宋_GB2312" w:cs="仿宋_GB2312"/>
                <w:color w:val="auto"/>
                <w:sz w:val="28"/>
                <w:szCs w:val="28"/>
                <w:vertAlign w:val="baseline"/>
                <w:lang w:val="en-US" w:eastAsia="zh-CN"/>
              </w:rPr>
              <w:t>1</w:t>
            </w:r>
          </w:p>
        </w:tc>
        <w:tc>
          <w:tcPr>
            <w:tcW w:w="4863" w:type="dxa"/>
            <w:noWrap w:val="0"/>
            <w:vAlign w:val="center"/>
          </w:tcPr>
          <w:p w14:paraId="29A55A9C">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仿宋_GB2312" w:hAnsi="仿宋_GB2312" w:eastAsia="仿宋_GB2312" w:cs="仿宋_GB2312"/>
                <w:color w:val="auto"/>
                <w:sz w:val="28"/>
                <w:szCs w:val="28"/>
                <w:vertAlign w:val="baseline"/>
                <w:lang w:val="en-US" w:eastAsia="zh-CN"/>
              </w:rPr>
            </w:pPr>
            <w:r>
              <w:rPr>
                <w:rFonts w:hint="eastAsia" w:ascii="仿宋_GB2312" w:hAnsi="仿宋_GB2312" w:eastAsia="仿宋_GB2312" w:cs="仿宋_GB2312"/>
                <w:b w:val="0"/>
                <w:bCs w:val="0"/>
                <w:color w:val="auto"/>
                <w:sz w:val="28"/>
                <w:szCs w:val="28"/>
                <w:lang w:val="en-US" w:eastAsia="zh-CN"/>
              </w:rPr>
              <w:t>全社会研发经费投入强度</w:t>
            </w:r>
            <w:r>
              <w:rPr>
                <w:rFonts w:hint="eastAsia" w:ascii="仿宋_GB2312" w:hAnsi="仿宋_GB2312" w:eastAsia="仿宋_GB2312" w:cs="仿宋_GB2312"/>
                <w:color w:val="auto"/>
                <w:sz w:val="28"/>
                <w:szCs w:val="28"/>
                <w:vertAlign w:val="baseline"/>
                <w:lang w:val="en-US" w:eastAsia="zh-CN"/>
              </w:rPr>
              <w:t>（%）</w:t>
            </w:r>
          </w:p>
        </w:tc>
        <w:tc>
          <w:tcPr>
            <w:tcW w:w="1350" w:type="dxa"/>
            <w:noWrap w:val="0"/>
            <w:vAlign w:val="center"/>
          </w:tcPr>
          <w:p w14:paraId="241558E0">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0.5</w:t>
            </w:r>
          </w:p>
        </w:tc>
        <w:tc>
          <w:tcPr>
            <w:tcW w:w="1204" w:type="dxa"/>
            <w:noWrap w:val="0"/>
            <w:vAlign w:val="center"/>
          </w:tcPr>
          <w:p w14:paraId="0DDEDAEC">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_GB2312" w:hAnsi="仿宋_GB2312" w:eastAsia="仿宋_GB2312" w:cs="仿宋_GB2312"/>
                <w:color w:val="auto"/>
                <w:sz w:val="28"/>
                <w:szCs w:val="28"/>
                <w:vertAlign w:val="baseline"/>
                <w:lang w:val="en-US" w:eastAsia="zh-CN"/>
              </w:rPr>
            </w:pPr>
            <w:r>
              <w:rPr>
                <w:rFonts w:hint="eastAsia" w:ascii="仿宋_GB2312" w:hAnsi="仿宋_GB2312" w:eastAsia="仿宋_GB2312" w:cs="仿宋_GB2312"/>
                <w:color w:val="auto"/>
                <w:sz w:val="28"/>
                <w:szCs w:val="28"/>
                <w:vertAlign w:val="baseline"/>
                <w:lang w:val="en-US" w:eastAsia="zh-CN"/>
              </w:rPr>
              <w:t>1</w:t>
            </w:r>
          </w:p>
        </w:tc>
      </w:tr>
      <w:tr w14:paraId="1BE99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 w:type="dxa"/>
            <w:noWrap w:val="0"/>
            <w:vAlign w:val="center"/>
          </w:tcPr>
          <w:p w14:paraId="701DF4D8">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_GB2312" w:hAnsi="仿宋_GB2312" w:eastAsia="仿宋_GB2312" w:cs="仿宋_GB2312"/>
                <w:color w:val="auto"/>
                <w:sz w:val="28"/>
                <w:szCs w:val="28"/>
                <w:vertAlign w:val="baseline"/>
                <w:lang w:val="en-US" w:eastAsia="zh-CN"/>
              </w:rPr>
            </w:pPr>
            <w:r>
              <w:rPr>
                <w:rFonts w:hint="eastAsia" w:ascii="仿宋_GB2312" w:hAnsi="仿宋_GB2312" w:eastAsia="仿宋_GB2312" w:cs="仿宋_GB2312"/>
                <w:color w:val="auto"/>
                <w:sz w:val="28"/>
                <w:szCs w:val="28"/>
                <w:vertAlign w:val="baseline"/>
                <w:lang w:val="en-US" w:eastAsia="zh-CN"/>
              </w:rPr>
              <w:t>2</w:t>
            </w:r>
          </w:p>
        </w:tc>
        <w:tc>
          <w:tcPr>
            <w:tcW w:w="4863" w:type="dxa"/>
            <w:noWrap w:val="0"/>
            <w:vAlign w:val="center"/>
          </w:tcPr>
          <w:p w14:paraId="6BEC3DA9">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仿宋_GB2312" w:hAnsi="仿宋_GB2312" w:eastAsia="仿宋_GB2312" w:cs="仿宋_GB2312"/>
                <w:color w:val="auto"/>
                <w:sz w:val="28"/>
                <w:szCs w:val="28"/>
                <w:vertAlign w:val="baseline"/>
                <w:lang w:val="en-US" w:eastAsia="zh-CN"/>
              </w:rPr>
            </w:pPr>
            <w:r>
              <w:rPr>
                <w:rFonts w:hint="eastAsia" w:ascii="Times New Roman" w:hAnsi="Times New Roman" w:eastAsia="仿宋_GB2312" w:cs="仿宋_GB2312"/>
                <w:i w:val="0"/>
                <w:iCs w:val="0"/>
                <w:color w:val="auto"/>
                <w:kern w:val="0"/>
                <w:sz w:val="28"/>
                <w:szCs w:val="28"/>
                <w:highlight w:val="none"/>
                <w:u w:val="none"/>
                <w:lang w:val="en-US" w:eastAsia="zh-CN" w:bidi="ar"/>
              </w:rPr>
              <w:t>规模以上高新技术企业数（家）</w:t>
            </w:r>
          </w:p>
        </w:tc>
        <w:tc>
          <w:tcPr>
            <w:tcW w:w="1350" w:type="dxa"/>
            <w:noWrap w:val="0"/>
            <w:vAlign w:val="center"/>
          </w:tcPr>
          <w:p w14:paraId="6220A28C">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30</w:t>
            </w:r>
          </w:p>
        </w:tc>
        <w:tc>
          <w:tcPr>
            <w:tcW w:w="1204" w:type="dxa"/>
            <w:noWrap w:val="0"/>
            <w:vAlign w:val="center"/>
          </w:tcPr>
          <w:p w14:paraId="4C72E5C8">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仿宋_GB2312" w:hAnsi="仿宋_GB2312" w:eastAsia="仿宋_GB2312" w:cs="仿宋_GB2312"/>
                <w:color w:val="auto"/>
                <w:sz w:val="28"/>
                <w:szCs w:val="28"/>
                <w:vertAlign w:val="baseline"/>
                <w:lang w:val="en-US" w:eastAsia="zh-CN"/>
              </w:rPr>
            </w:pPr>
            <w:r>
              <w:rPr>
                <w:rFonts w:hint="eastAsia" w:ascii="仿宋_GB2312" w:hAnsi="仿宋_GB2312" w:eastAsia="仿宋_GB2312" w:cs="仿宋_GB2312"/>
                <w:color w:val="auto"/>
                <w:sz w:val="28"/>
                <w:szCs w:val="28"/>
                <w:vertAlign w:val="baseline"/>
                <w:lang w:val="en-US" w:eastAsia="zh-CN"/>
              </w:rPr>
              <w:t>40</w:t>
            </w:r>
          </w:p>
        </w:tc>
      </w:tr>
      <w:tr w14:paraId="64A3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 w:type="dxa"/>
            <w:noWrap w:val="0"/>
            <w:vAlign w:val="center"/>
          </w:tcPr>
          <w:p w14:paraId="099402F7">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_GB2312" w:hAnsi="仿宋_GB2312" w:eastAsia="仿宋_GB2312" w:cs="仿宋_GB2312"/>
                <w:color w:val="auto"/>
                <w:sz w:val="28"/>
                <w:szCs w:val="28"/>
                <w:vertAlign w:val="baseline"/>
                <w:lang w:val="en-US" w:eastAsia="zh-CN"/>
              </w:rPr>
            </w:pPr>
            <w:r>
              <w:rPr>
                <w:rFonts w:hint="eastAsia" w:ascii="仿宋_GB2312" w:hAnsi="仿宋_GB2312" w:eastAsia="仿宋_GB2312" w:cs="仿宋_GB2312"/>
                <w:color w:val="auto"/>
                <w:sz w:val="28"/>
                <w:szCs w:val="28"/>
                <w:vertAlign w:val="baseline"/>
                <w:lang w:val="en-US" w:eastAsia="zh-CN"/>
              </w:rPr>
              <w:t>3</w:t>
            </w:r>
          </w:p>
        </w:tc>
        <w:tc>
          <w:tcPr>
            <w:tcW w:w="4863" w:type="dxa"/>
            <w:noWrap w:val="0"/>
            <w:vAlign w:val="center"/>
          </w:tcPr>
          <w:p w14:paraId="239383B1">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default" w:ascii="仿宋_GB2312" w:hAnsi="仿宋_GB2312" w:eastAsia="仿宋_GB2312" w:cs="仿宋_GB2312"/>
                <w:color w:val="auto"/>
                <w:sz w:val="28"/>
                <w:szCs w:val="28"/>
                <w:vertAlign w:val="baseline"/>
                <w:lang w:val="en-US" w:eastAsia="zh-CN"/>
              </w:rPr>
            </w:pPr>
            <w:r>
              <w:rPr>
                <w:rFonts w:hint="eastAsia" w:ascii="仿宋_GB2312" w:hAnsi="仿宋_GB2312" w:eastAsia="仿宋_GB2312" w:cs="仿宋_GB2312"/>
                <w:b w:val="0"/>
                <w:bCs w:val="0"/>
                <w:color w:val="auto"/>
                <w:sz w:val="28"/>
                <w:szCs w:val="28"/>
                <w:lang w:val="en-US" w:eastAsia="zh-CN"/>
              </w:rPr>
              <w:t>技术合同成交额</w:t>
            </w:r>
            <w:r>
              <w:rPr>
                <w:rFonts w:hint="eastAsia" w:ascii="仿宋_GB2312" w:hAnsi="仿宋_GB2312" w:eastAsia="仿宋_GB2312" w:cs="仿宋_GB2312"/>
                <w:color w:val="auto"/>
                <w:sz w:val="28"/>
                <w:szCs w:val="28"/>
                <w:vertAlign w:val="baseline"/>
                <w:lang w:val="en-US" w:eastAsia="zh-CN"/>
              </w:rPr>
              <w:t>与地区生产总值之比（%）</w:t>
            </w:r>
          </w:p>
        </w:tc>
        <w:tc>
          <w:tcPr>
            <w:tcW w:w="1350" w:type="dxa"/>
            <w:noWrap w:val="0"/>
            <w:vAlign w:val="center"/>
          </w:tcPr>
          <w:p w14:paraId="22E42BB4">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 xml:space="preserve"> 2</w:t>
            </w:r>
          </w:p>
        </w:tc>
        <w:tc>
          <w:tcPr>
            <w:tcW w:w="1204" w:type="dxa"/>
            <w:noWrap w:val="0"/>
            <w:vAlign w:val="center"/>
          </w:tcPr>
          <w:p w14:paraId="78D95111">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_GB2312" w:hAnsi="仿宋_GB2312" w:eastAsia="仿宋_GB2312" w:cs="仿宋_GB2312"/>
                <w:color w:val="auto"/>
                <w:sz w:val="28"/>
                <w:szCs w:val="28"/>
                <w:vertAlign w:val="baseline"/>
                <w:lang w:val="en-US" w:eastAsia="zh-CN"/>
              </w:rPr>
            </w:pPr>
            <w:r>
              <w:rPr>
                <w:rFonts w:hint="eastAsia" w:ascii="仿宋_GB2312" w:hAnsi="仿宋_GB2312" w:eastAsia="仿宋_GB2312" w:cs="仿宋_GB2312"/>
                <w:color w:val="auto"/>
                <w:sz w:val="28"/>
                <w:szCs w:val="28"/>
                <w:vertAlign w:val="baseline"/>
                <w:lang w:val="en-US" w:eastAsia="zh-CN"/>
              </w:rPr>
              <w:t xml:space="preserve">2.5 </w:t>
            </w:r>
          </w:p>
        </w:tc>
      </w:tr>
      <w:tr w14:paraId="6E4FC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 w:type="dxa"/>
            <w:noWrap w:val="0"/>
            <w:vAlign w:val="center"/>
          </w:tcPr>
          <w:p w14:paraId="6C022502">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4</w:t>
            </w:r>
          </w:p>
        </w:tc>
        <w:tc>
          <w:tcPr>
            <w:tcW w:w="4863" w:type="dxa"/>
            <w:noWrap w:val="0"/>
            <w:vAlign w:val="center"/>
          </w:tcPr>
          <w:p w14:paraId="6A3C845F">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b w:val="0"/>
                <w:bCs w:val="0"/>
                <w:color w:val="auto"/>
                <w:sz w:val="28"/>
                <w:szCs w:val="28"/>
                <w:highlight w:val="none"/>
                <w:lang w:val="en-US" w:eastAsia="zh-CN"/>
              </w:rPr>
              <w:t>每万人口高价值发明专利</w:t>
            </w:r>
            <w:r>
              <w:rPr>
                <w:rFonts w:hint="eastAsia" w:ascii="仿宋_GB2312" w:hAnsi="仿宋_GB2312" w:eastAsia="仿宋_GB2312" w:cs="仿宋_GB2312"/>
                <w:b w:val="0"/>
                <w:bCs w:val="0"/>
                <w:strike w:val="0"/>
                <w:color w:val="auto"/>
                <w:sz w:val="28"/>
                <w:szCs w:val="28"/>
                <w:highlight w:val="none"/>
                <w:lang w:val="en-US" w:eastAsia="zh-CN"/>
              </w:rPr>
              <w:t>拥有量</w:t>
            </w:r>
            <w:r>
              <w:rPr>
                <w:rFonts w:hint="eastAsia" w:ascii="仿宋_GB2312" w:hAnsi="仿宋_GB2312" w:eastAsia="仿宋_GB2312" w:cs="仿宋_GB2312"/>
                <w:b w:val="0"/>
                <w:bCs w:val="0"/>
                <w:color w:val="auto"/>
                <w:sz w:val="28"/>
                <w:szCs w:val="28"/>
                <w:highlight w:val="none"/>
                <w:lang w:val="en-US" w:eastAsia="zh-CN"/>
              </w:rPr>
              <w:t>（</w:t>
            </w:r>
            <w:r>
              <w:rPr>
                <w:rFonts w:hint="eastAsia" w:ascii="仿宋_GB2312" w:hAnsi="仿宋_GB2312" w:eastAsia="仿宋_GB2312" w:cs="仿宋_GB2312"/>
                <w:color w:val="auto"/>
                <w:sz w:val="28"/>
                <w:szCs w:val="28"/>
                <w:highlight w:val="none"/>
                <w:vertAlign w:val="baseline"/>
                <w:lang w:val="en-US" w:eastAsia="zh-CN"/>
              </w:rPr>
              <w:t>件）</w:t>
            </w:r>
          </w:p>
        </w:tc>
        <w:tc>
          <w:tcPr>
            <w:tcW w:w="1350" w:type="dxa"/>
            <w:noWrap w:val="0"/>
            <w:vAlign w:val="center"/>
          </w:tcPr>
          <w:p w14:paraId="58919EAC">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0.7</w:t>
            </w:r>
          </w:p>
        </w:tc>
        <w:tc>
          <w:tcPr>
            <w:tcW w:w="1204" w:type="dxa"/>
            <w:noWrap w:val="0"/>
            <w:vAlign w:val="center"/>
          </w:tcPr>
          <w:p w14:paraId="78AF0DB3">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1左右</w:t>
            </w:r>
          </w:p>
        </w:tc>
      </w:tr>
      <w:tr w14:paraId="08812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 w:type="dxa"/>
            <w:noWrap w:val="0"/>
            <w:vAlign w:val="center"/>
          </w:tcPr>
          <w:p w14:paraId="65863017">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_GB2312" w:hAnsi="仿宋_GB2312" w:eastAsia="仿宋_GB2312" w:cs="仿宋_GB2312"/>
                <w:color w:val="auto"/>
                <w:sz w:val="28"/>
                <w:szCs w:val="28"/>
                <w:vertAlign w:val="baseline"/>
                <w:lang w:val="en-US" w:eastAsia="zh-CN"/>
              </w:rPr>
            </w:pPr>
            <w:r>
              <w:rPr>
                <w:rFonts w:hint="eastAsia" w:ascii="仿宋_GB2312" w:hAnsi="仿宋_GB2312" w:eastAsia="仿宋_GB2312" w:cs="仿宋_GB2312"/>
                <w:color w:val="auto"/>
                <w:sz w:val="28"/>
                <w:szCs w:val="28"/>
                <w:vertAlign w:val="baseline"/>
                <w:lang w:val="en-US" w:eastAsia="zh-CN"/>
              </w:rPr>
              <w:t>5</w:t>
            </w:r>
          </w:p>
        </w:tc>
        <w:tc>
          <w:tcPr>
            <w:tcW w:w="4863" w:type="dxa"/>
            <w:noWrap w:val="0"/>
            <w:vAlign w:val="center"/>
          </w:tcPr>
          <w:p w14:paraId="04CB9811">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28"/>
                <w:szCs w:val="28"/>
                <w:lang w:val="en-US" w:eastAsia="zh-CN"/>
              </w:rPr>
              <w:t>数字经济核心产业增加值占地区生产总值比重</w:t>
            </w:r>
            <w:r>
              <w:rPr>
                <w:rFonts w:hint="eastAsia" w:ascii="仿宋_GB2312" w:hAnsi="仿宋_GB2312" w:eastAsia="仿宋_GB2312" w:cs="仿宋_GB2312"/>
                <w:color w:val="auto"/>
                <w:sz w:val="28"/>
                <w:szCs w:val="28"/>
                <w:vertAlign w:val="baseline"/>
                <w:lang w:val="en-US" w:eastAsia="zh-CN"/>
              </w:rPr>
              <w:t>（%）</w:t>
            </w:r>
          </w:p>
        </w:tc>
        <w:tc>
          <w:tcPr>
            <w:tcW w:w="1350" w:type="dxa"/>
            <w:noWrap w:val="0"/>
            <w:vAlign w:val="center"/>
          </w:tcPr>
          <w:p w14:paraId="756768C9">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3.4</w:t>
            </w:r>
          </w:p>
        </w:tc>
        <w:tc>
          <w:tcPr>
            <w:tcW w:w="1204" w:type="dxa"/>
            <w:noWrap w:val="0"/>
            <w:vAlign w:val="center"/>
          </w:tcPr>
          <w:p w14:paraId="17BDC7E8">
            <w:pPr>
              <w:pStyle w:val="6"/>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_GB2312" w:hAnsi="仿宋_GB2312" w:eastAsia="仿宋_GB2312" w:cs="仿宋_GB2312"/>
                <w:color w:val="auto"/>
                <w:sz w:val="28"/>
                <w:szCs w:val="28"/>
                <w:vertAlign w:val="baseline"/>
                <w:lang w:val="en-US" w:eastAsia="zh-CN"/>
              </w:rPr>
            </w:pPr>
            <w:r>
              <w:rPr>
                <w:rFonts w:hint="eastAsia" w:ascii="仿宋_GB2312" w:hAnsi="仿宋_GB2312" w:eastAsia="仿宋_GB2312" w:cs="仿宋_GB2312"/>
                <w:color w:val="auto"/>
                <w:sz w:val="28"/>
                <w:szCs w:val="28"/>
                <w:vertAlign w:val="baseline"/>
                <w:lang w:val="en-US" w:eastAsia="zh-CN"/>
              </w:rPr>
              <w:t>4.5左右</w:t>
            </w:r>
          </w:p>
        </w:tc>
      </w:tr>
    </w:tbl>
    <w:p w14:paraId="198B23F8">
      <w:pPr>
        <w:pStyle w:val="2"/>
        <w:pageBreakBefore w:val="0"/>
        <w:widowControl w:val="0"/>
        <w:kinsoku/>
        <w:wordWrap/>
        <w:overflowPunct/>
        <w:topLinePunct w:val="0"/>
        <w:autoSpaceDE/>
        <w:autoSpaceDN/>
        <w:bidi w:val="0"/>
        <w:adjustRightInd/>
        <w:snapToGrid/>
        <w:spacing w:before="0" w:beforeLines="0" w:after="0" w:afterLines="0" w:line="600" w:lineRule="exact"/>
        <w:ind w:firstLine="640" w:firstLineChars="200"/>
        <w:jc w:val="both"/>
        <w:textAlignment w:val="auto"/>
        <w:rPr>
          <w:rFonts w:hint="eastAsia" w:ascii="Times New Roman" w:hAnsi="Times New Roman" w:eastAsia="黑体" w:cs="Times New Roman"/>
          <w:color w:val="auto"/>
          <w:szCs w:val="24"/>
          <w:highlight w:val="none"/>
          <w:lang w:val="en-US" w:eastAsia="zh-CN"/>
        </w:rPr>
      </w:pPr>
      <w:r>
        <w:rPr>
          <w:rFonts w:hint="eastAsia" w:ascii="Times New Roman" w:hAnsi="Times New Roman" w:eastAsia="黑体" w:cs="Times New Roman"/>
          <w:color w:val="auto"/>
          <w:szCs w:val="24"/>
          <w:highlight w:val="none"/>
          <w:lang w:val="en-US" w:eastAsia="zh-CN"/>
        </w:rPr>
        <w:t>二、重点任务</w:t>
      </w:r>
    </w:p>
    <w:p w14:paraId="29BAA33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立足黔西南州产业发展基础和资源禀赋，加强重点领域关键技术攻关，推进科技创新平台体系建设，科技支撑新型综合能源、资源精深加工、新能源新材料产业集群、轻工产业、现代山地特色高效农业发展，</w:t>
      </w:r>
      <w:r>
        <w:rPr>
          <w:rFonts w:hint="eastAsia" w:ascii="Times New Roman" w:hAnsi="Times New Roman" w:eastAsia="仿宋_GB2312" w:cs="仿宋_GB2312"/>
          <w:strike w:val="0"/>
          <w:color w:val="auto"/>
          <w:kern w:val="2"/>
          <w:sz w:val="32"/>
          <w:szCs w:val="32"/>
          <w:highlight w:val="none"/>
          <w:lang w:val="en-US" w:eastAsia="zh-CN" w:bidi="ar-SA"/>
        </w:rPr>
        <w:t>强化</w:t>
      </w:r>
      <w:r>
        <w:rPr>
          <w:rFonts w:hint="eastAsia" w:ascii="Times New Roman" w:hAnsi="Times New Roman" w:eastAsia="仿宋_GB2312" w:cs="仿宋_GB2312"/>
          <w:color w:val="auto"/>
          <w:kern w:val="2"/>
          <w:sz w:val="32"/>
          <w:szCs w:val="32"/>
          <w:highlight w:val="none"/>
          <w:lang w:val="en-US" w:eastAsia="zh-CN" w:bidi="ar-SA"/>
        </w:rPr>
        <w:t>社会民生领域科技创新，推动科技服务业发展，培育新兴产业，构建支撑高质量发展的科技创新新格局。</w:t>
      </w:r>
    </w:p>
    <w:p w14:paraId="2D2CA856">
      <w:pPr>
        <w:pStyle w:val="3"/>
        <w:pageBreakBefore w:val="0"/>
        <w:widowControl w:val="0"/>
        <w:kinsoku/>
        <w:wordWrap/>
        <w:overflowPunct/>
        <w:topLinePunct w:val="0"/>
        <w:autoSpaceDE/>
        <w:autoSpaceDN/>
        <w:bidi w:val="0"/>
        <w:adjustRightInd/>
        <w:snapToGrid/>
        <w:spacing w:before="0" w:beforeLines="-2147483648" w:after="0" w:line="600" w:lineRule="exact"/>
        <w:ind w:firstLine="640"/>
        <w:jc w:val="both"/>
        <w:textAlignment w:val="auto"/>
        <w:rPr>
          <w:rFonts w:hint="eastAsia" w:ascii="Times New Roman" w:hAnsi="Times New Roman" w:eastAsia="楷体_GB2312" w:cs="Times New Roman Regular"/>
          <w:color w:val="auto"/>
          <w:szCs w:val="24"/>
          <w:highlight w:val="none"/>
          <w:lang w:val="en-US" w:eastAsia="zh-CN"/>
        </w:rPr>
      </w:pPr>
      <w:bookmarkStart w:id="2" w:name="_Toc3602"/>
      <w:r>
        <w:rPr>
          <w:rFonts w:hint="eastAsia" w:ascii="Times New Roman" w:hAnsi="Times New Roman" w:eastAsia="楷体_GB2312" w:cs="Times New Roman Regular"/>
          <w:color w:val="auto"/>
          <w:szCs w:val="24"/>
          <w:highlight w:val="none"/>
          <w:lang w:val="en-US" w:eastAsia="zh-CN"/>
        </w:rPr>
        <w:t>（一）加强重点领域关键技术攻关</w:t>
      </w:r>
    </w:p>
    <w:bookmarkEnd w:id="2"/>
    <w:p w14:paraId="2F1895D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聚焦黔西南州比较优势和产业发展需求，在新型综合能源、资源精深加工、新能源新材料、特色轻工、现代山地特色高效农业、社会民生、科技服务业等重点领域，加强科技攻关，为经济社会发展提供高质量科技供给。</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D72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522" w:type="dxa"/>
            <w:noWrap w:val="0"/>
            <w:vAlign w:val="top"/>
          </w:tcPr>
          <w:p w14:paraId="38E39630">
            <w:pPr>
              <w:pageBreakBefore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eastAsia" w:ascii="方正仿宋_GB2312" w:hAnsi="方正仿宋_GB2312" w:eastAsia="方正仿宋_GB2312" w:cs="方正仿宋_GB2312"/>
                <w:color w:val="auto"/>
                <w:kern w:val="2"/>
                <w:sz w:val="32"/>
                <w:szCs w:val="32"/>
                <w:lang w:val="en-US" w:eastAsia="zh-CN" w:bidi="ar-SA"/>
              </w:rPr>
            </w:pPr>
            <w:r>
              <w:rPr>
                <w:rFonts w:hint="eastAsia" w:ascii="仿宋_GB2312" w:hAnsi="仿宋_GB2312" w:eastAsia="仿宋_GB2312" w:cs="仿宋_GB2312"/>
                <w:b/>
                <w:bCs/>
                <w:color w:val="auto"/>
                <w:sz w:val="28"/>
                <w:szCs w:val="28"/>
                <w:lang w:val="en-US" w:eastAsia="zh-CN"/>
              </w:rPr>
              <w:t xml:space="preserve">专栏2  </w:t>
            </w:r>
            <w:r>
              <w:rPr>
                <w:rFonts w:hint="eastAsia" w:ascii="仿宋_GB2312" w:hAnsi="仿宋_GB2312" w:eastAsia="仿宋_GB2312" w:cs="仿宋_GB2312"/>
                <w:b/>
                <w:bCs/>
                <w:i w:val="0"/>
                <w:iCs w:val="0"/>
                <w:color w:val="auto"/>
                <w:kern w:val="0"/>
                <w:sz w:val="28"/>
                <w:szCs w:val="28"/>
                <w:highlight w:val="none"/>
                <w:u w:val="none"/>
                <w:lang w:val="en-US" w:eastAsia="zh-CN" w:bidi="ar"/>
              </w:rPr>
              <w:t>关键技术攻关</w:t>
            </w:r>
          </w:p>
        </w:tc>
      </w:tr>
      <w:tr w14:paraId="40CB5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522" w:type="dxa"/>
            <w:noWrap w:val="0"/>
            <w:vAlign w:val="top"/>
          </w:tcPr>
          <w:p w14:paraId="6AEA785B">
            <w:pPr>
              <w:pStyle w:val="27"/>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default" w:ascii="Times New Roman" w:hAnsi="Times New Roman" w:eastAsia="楷体_GB2312" w:cs="Times New Roman"/>
                <w:color w:val="auto"/>
                <w:sz w:val="28"/>
                <w:szCs w:val="28"/>
                <w:highlight w:val="none"/>
                <w:lang w:val="en-US" w:eastAsia="zh-CN"/>
              </w:rPr>
            </w:pPr>
            <w:r>
              <w:rPr>
                <w:rFonts w:hint="eastAsia" w:ascii="Times New Roman" w:hAnsi="Times New Roman" w:eastAsia="楷体_GB2312" w:cs="Times New Roman"/>
                <w:color w:val="auto"/>
                <w:sz w:val="28"/>
                <w:szCs w:val="28"/>
                <w:highlight w:val="none"/>
                <w:lang w:val="en-US" w:eastAsia="zh-CN"/>
              </w:rPr>
              <w:t xml:space="preserve">01 </w:t>
            </w:r>
            <w:r>
              <w:rPr>
                <w:rFonts w:hint="eastAsia" w:eastAsia="楷体_GB2312" w:cs="Times New Roman"/>
                <w:color w:val="auto"/>
                <w:sz w:val="28"/>
                <w:szCs w:val="28"/>
                <w:highlight w:val="none"/>
                <w:lang w:val="en-US" w:eastAsia="zh-CN"/>
              </w:rPr>
              <w:t xml:space="preserve"> </w:t>
            </w:r>
            <w:r>
              <w:rPr>
                <w:rFonts w:hint="default" w:ascii="Times New Roman" w:hAnsi="Times New Roman" w:eastAsia="楷体_GB2312" w:cs="Times New Roman"/>
                <w:color w:val="auto"/>
                <w:sz w:val="28"/>
                <w:szCs w:val="28"/>
                <w:highlight w:val="none"/>
                <w:lang w:val="en-US" w:eastAsia="zh-CN"/>
              </w:rPr>
              <w:t>新型综合能源</w:t>
            </w:r>
          </w:p>
          <w:p w14:paraId="3A91D4DF">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煤炭。</w:t>
            </w:r>
            <w:r>
              <w:rPr>
                <w:rFonts w:hint="eastAsia" w:ascii="仿宋_GB2312" w:hAnsi="仿宋_GB2312" w:eastAsia="仿宋_GB2312" w:cs="仿宋_GB2312"/>
                <w:color w:val="auto"/>
                <w:kern w:val="2"/>
                <w:sz w:val="28"/>
                <w:szCs w:val="28"/>
                <w:lang w:val="en-US" w:eastAsia="zh-CN" w:bidi="ar-SA"/>
              </w:rPr>
              <w:t>煤矿厚层软岩底板巷道综合支护、全岩巷道快速掘进、硬岩巷道快速掘进、软岩巷道协同支护等复杂条件巷道围岩控制技术；厚煤层综放开采智能化技术，煤矿输电线路智能巡检技术，高硫煤分质分级清洁高效利用技术开发；浅层煤层气地面抽采及资源化利用技术，中深部煤层气资源潜力及地质评价，页岩气资源潜力预测及地质评价；煤矿瓦斯井地联合抽采技术，瓦斯智能监测预警系统开发，化学储能煤矿应急电源；煤矸石造土造地生态修复技术；无烟煤制备高附加值负极材料技术。</w:t>
            </w:r>
          </w:p>
          <w:p w14:paraId="706166AA">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电力。</w:t>
            </w:r>
            <w:r>
              <w:rPr>
                <w:rFonts w:hint="eastAsia" w:ascii="仿宋_GB2312" w:hAnsi="仿宋_GB2312" w:eastAsia="仿宋_GB2312" w:cs="仿宋_GB2312"/>
                <w:color w:val="auto"/>
                <w:kern w:val="2"/>
                <w:sz w:val="28"/>
                <w:szCs w:val="28"/>
                <w:lang w:val="en-US" w:eastAsia="zh-CN" w:bidi="ar-SA"/>
              </w:rPr>
              <w:t>绿电直连、智能微电网技术，虚拟电厂技术；高比例可再生能源和储能技术；超（特）高压特殊走廊自然灾害立体化防控技术，特殊走廊输电线路地质扰动预警技术；煤电和新能源一体化调度技术，水电和新能源一体化调度技术；引水式电站大坝下游减脱水河段生态廊道退化与复苏技术，水电站地下无人洞室无人巡检技术。</w:t>
            </w:r>
          </w:p>
          <w:p w14:paraId="4A2E7616">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color w:val="auto"/>
                <w:sz w:val="32"/>
                <w:szCs w:val="32"/>
                <w:vertAlign w:val="baseline"/>
                <w:lang w:val="en-US" w:eastAsia="zh-CN"/>
              </w:rPr>
            </w:pPr>
            <w:r>
              <w:rPr>
                <w:rFonts w:hint="eastAsia" w:ascii="仿宋_GB2312" w:hAnsi="仿宋_GB2312" w:eastAsia="仿宋_GB2312" w:cs="仿宋_GB2312"/>
                <w:b/>
                <w:bCs/>
                <w:color w:val="auto"/>
                <w:kern w:val="2"/>
                <w:sz w:val="28"/>
                <w:szCs w:val="28"/>
                <w:lang w:val="en-US" w:eastAsia="zh-CN" w:bidi="ar-SA"/>
              </w:rPr>
              <w:t>新能源与储能。</w:t>
            </w:r>
            <w:r>
              <w:rPr>
                <w:rFonts w:hint="eastAsia" w:ascii="仿宋_GB2312" w:hAnsi="仿宋_GB2312" w:eastAsia="仿宋_GB2312" w:cs="仿宋_GB2312"/>
                <w:color w:val="auto"/>
                <w:kern w:val="2"/>
                <w:sz w:val="28"/>
                <w:szCs w:val="28"/>
                <w:lang w:val="en-US" w:eastAsia="zh-CN" w:bidi="ar-SA"/>
              </w:rPr>
              <w:t>山地风电、光伏高效利用技术，光伏组件研究与应用技术；抽水蓄能、新型储能应用技术，绿电制氢技术；二氧化碳捕集、利用、封存技术。</w:t>
            </w:r>
          </w:p>
        </w:tc>
      </w:tr>
      <w:tr w14:paraId="7BA2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522" w:type="dxa"/>
            <w:noWrap w:val="0"/>
            <w:vAlign w:val="top"/>
          </w:tcPr>
          <w:p w14:paraId="137AE5ED">
            <w:pPr>
              <w:pStyle w:val="27"/>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default" w:ascii="Times New Roman" w:hAnsi="Times New Roman" w:eastAsia="楷体_GB2312" w:cs="Times New Roman"/>
                <w:color w:val="auto"/>
                <w:sz w:val="28"/>
                <w:szCs w:val="28"/>
                <w:highlight w:val="none"/>
                <w:lang w:val="en-US" w:eastAsia="zh-CN"/>
              </w:rPr>
            </w:pPr>
            <w:bookmarkStart w:id="3" w:name="_Toc1037"/>
            <w:r>
              <w:rPr>
                <w:rFonts w:hint="eastAsia" w:ascii="Times New Roman" w:hAnsi="Times New Roman" w:eastAsia="楷体_GB2312" w:cs="Times New Roman"/>
                <w:color w:val="auto"/>
                <w:sz w:val="28"/>
                <w:szCs w:val="28"/>
                <w:highlight w:val="none"/>
                <w:lang w:val="en-US" w:eastAsia="zh-CN"/>
              </w:rPr>
              <w:t>02  资源精深加工</w:t>
            </w:r>
          </w:p>
          <w:p w14:paraId="51921313">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黄金。</w:t>
            </w:r>
            <w:r>
              <w:rPr>
                <w:rFonts w:hint="eastAsia" w:ascii="仿宋_GB2312" w:hAnsi="仿宋_GB2312" w:eastAsia="仿宋_GB2312" w:cs="仿宋_GB2312"/>
                <w:color w:val="auto"/>
                <w:kern w:val="2"/>
                <w:sz w:val="28"/>
                <w:szCs w:val="28"/>
                <w:lang w:val="en-US" w:eastAsia="zh-CN" w:bidi="ar-SA"/>
              </w:rPr>
              <w:t>卡林型金矿成矿规律及深部复杂地质条件找矿技术方法研究，矿集区及老矿山深边部找矿增储，卡林型金矿（锑萤石）隐伏控矿构造地质演化与地球物理化学特征关系、找矿标志研究及智能找矿预测，加强金矿伴生汞锑等资源的矿物学特征与解离技术及装备、选冶技术研究；强扰动破碎矿体安全回采技术，复杂破碎矿岩非爆破机械化连续开采技术；微生物预处理、无氰提金、低品位金矿绿色堆浸技术，卡林型金矿高效浮选技术，CIL炭浸法工艺优化技术；黄金冶炼固废与尾矿无害化与资源化利用技术，黄金精深加工技术。</w:t>
            </w:r>
          </w:p>
          <w:p w14:paraId="2B89DE18">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铝及铝加工。</w:t>
            </w:r>
            <w:r>
              <w:rPr>
                <w:rFonts w:hint="eastAsia" w:ascii="仿宋_GB2312" w:hAnsi="仿宋_GB2312" w:eastAsia="仿宋_GB2312" w:cs="仿宋_GB2312"/>
                <w:color w:val="auto"/>
                <w:kern w:val="2"/>
                <w:sz w:val="28"/>
                <w:szCs w:val="28"/>
                <w:lang w:val="en-US" w:eastAsia="zh-CN" w:bidi="ar-SA"/>
              </w:rPr>
              <w:t>电解铝深度节能与高效智能化生产技术，开发新能源汽车用铝、军工铝、航空航天铝、电子电池用铝箔（板）、高纯铝等高端铝型材生产制造技术，开展再生铝绿色回收利用技术，推动智能化电解铝及铝加工装备开发及利用。</w:t>
            </w:r>
          </w:p>
          <w:p w14:paraId="3910DC6E">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其他优势矿种。</w:t>
            </w:r>
            <w:r>
              <w:rPr>
                <w:rFonts w:hint="eastAsia" w:ascii="仿宋_GB2312" w:hAnsi="仿宋_GB2312" w:eastAsia="仿宋_GB2312" w:cs="仿宋_GB2312"/>
                <w:color w:val="auto"/>
                <w:kern w:val="2"/>
                <w:sz w:val="28"/>
                <w:szCs w:val="28"/>
                <w:lang w:val="en-US" w:eastAsia="zh-CN" w:bidi="ar-SA"/>
              </w:rPr>
              <w:t>钙矿资源高值化利用关键技术，纳米钙及新型钙产品绿色制备技术；硅矿洗选技术，硅基玻璃纤维技术；锑成矿规律及找矿技术方法研究；钛矿（锐钛矿）清洁高效综合利用技术；火法炼锌及伴生金属综合回收技术；萤石成矿规律与找矿预测研究，萤石高效绿色选矿与利用技术；钽铌超高纯钽锭、中间合金、球形粉体材料等高端产品制备技术，钽铌冶炼废渣资源化利用技术。</w:t>
            </w:r>
          </w:p>
          <w:p w14:paraId="009FC6E9">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color w:val="auto"/>
                <w:lang w:val="en-US" w:eastAsia="zh-CN"/>
              </w:rPr>
            </w:pPr>
            <w:r>
              <w:rPr>
                <w:rFonts w:hint="eastAsia" w:ascii="仿宋_GB2312" w:hAnsi="仿宋_GB2312" w:eastAsia="仿宋_GB2312" w:cs="仿宋_GB2312"/>
                <w:b/>
                <w:bCs/>
                <w:color w:val="auto"/>
                <w:kern w:val="2"/>
                <w:sz w:val="28"/>
                <w:szCs w:val="28"/>
                <w:lang w:val="en-US" w:eastAsia="zh-CN" w:bidi="ar-SA"/>
              </w:rPr>
              <w:t>钢铁及铁合金。</w:t>
            </w:r>
            <w:r>
              <w:rPr>
                <w:rFonts w:hint="eastAsia" w:ascii="仿宋_GB2312" w:hAnsi="仿宋_GB2312" w:eastAsia="仿宋_GB2312" w:cs="仿宋_GB2312"/>
                <w:color w:val="auto"/>
                <w:kern w:val="2"/>
                <w:sz w:val="28"/>
                <w:szCs w:val="28"/>
                <w:lang w:val="en-US" w:eastAsia="zh-CN" w:bidi="ar-SA"/>
              </w:rPr>
              <w:t>高效节能减碳与余热利用技术，小品种特殊钢、低碳铁合金及特种铁合金冶炼技术，电解金属锰清洁生产与锰系新能源材料联产技术。</w:t>
            </w:r>
          </w:p>
        </w:tc>
      </w:tr>
      <w:bookmarkEnd w:id="3"/>
      <w:tr w14:paraId="2D26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14:paraId="5EC52A9E">
            <w:pPr>
              <w:pStyle w:val="27"/>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Times New Roman" w:hAnsi="Times New Roman" w:eastAsia="楷体_GB2312" w:cs="Times New Roman"/>
                <w:color w:val="auto"/>
                <w:sz w:val="28"/>
                <w:szCs w:val="28"/>
                <w:highlight w:val="none"/>
                <w:lang w:val="en-US" w:eastAsia="zh-CN"/>
              </w:rPr>
            </w:pPr>
            <w:r>
              <w:rPr>
                <w:rFonts w:hint="eastAsia" w:ascii="Times New Roman" w:hAnsi="Times New Roman" w:eastAsia="楷体_GB2312" w:cs="Times New Roman"/>
                <w:color w:val="auto"/>
                <w:sz w:val="28"/>
                <w:szCs w:val="28"/>
                <w:highlight w:val="none"/>
                <w:lang w:val="en-US" w:eastAsia="zh-CN"/>
              </w:rPr>
              <w:t>03  新能源新材料</w:t>
            </w:r>
          </w:p>
          <w:p w14:paraId="4DE209F4">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新能源电池及材料</w:t>
            </w:r>
            <w:r>
              <w:rPr>
                <w:rFonts w:hint="eastAsia" w:ascii="仿宋_GB2312" w:hAnsi="仿宋_GB2312" w:eastAsia="仿宋_GB2312" w:cs="仿宋_GB2312"/>
                <w:color w:val="auto"/>
                <w:kern w:val="2"/>
                <w:sz w:val="28"/>
                <w:szCs w:val="28"/>
                <w:lang w:val="en-US" w:eastAsia="zh-CN" w:bidi="ar-SA"/>
              </w:rPr>
              <w:t>。新型碳负极材料制备技术及产业化；高比能高安全硅碳负极关键材料；磷酸铁锂和高镍三元正极材料制备技术及产业化；钠离子电池体系及高能量固态电池技术；废旧正负极电池材料回收和高值化利用技术；硝铵、氯碱化工、氟化工与新能源电池材料产业耦合绿色生产技术。</w:t>
            </w:r>
          </w:p>
          <w:p w14:paraId="40DA5B1F">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Times New Roman" w:hAnsi="Times New Roman" w:eastAsia="楷体_GB2312" w:cs="Times New Roman"/>
                <w:color w:val="auto"/>
                <w:sz w:val="28"/>
                <w:szCs w:val="28"/>
                <w:highlight w:val="none"/>
                <w:lang w:val="en-US" w:eastAsia="zh-CN"/>
              </w:rPr>
            </w:pPr>
            <w:r>
              <w:rPr>
                <w:rFonts w:hint="eastAsia" w:ascii="仿宋_GB2312" w:hAnsi="仿宋_GB2312" w:eastAsia="仿宋_GB2312" w:cs="仿宋_GB2312"/>
                <w:b/>
                <w:bCs/>
                <w:color w:val="auto"/>
                <w:kern w:val="2"/>
                <w:sz w:val="28"/>
                <w:szCs w:val="28"/>
                <w:lang w:val="en-US" w:eastAsia="zh-CN" w:bidi="ar-SA"/>
              </w:rPr>
              <w:t>特色材料。</w:t>
            </w:r>
            <w:r>
              <w:rPr>
                <w:rFonts w:hint="eastAsia" w:ascii="仿宋_GB2312" w:hAnsi="仿宋_GB2312" w:eastAsia="仿宋_GB2312" w:cs="仿宋_GB2312"/>
                <w:color w:val="auto"/>
                <w:kern w:val="2"/>
                <w:sz w:val="28"/>
                <w:szCs w:val="28"/>
                <w:lang w:val="en-US" w:eastAsia="zh-CN" w:bidi="ar-SA"/>
              </w:rPr>
              <w:t>高性能刚玉基耐火耐磨材料制备技术及产业化，活性炭吸附改性技术与产业化，硬碳、硅碳、特碳等碳材料制备技术及产业化，汽车玻璃、手机玻璃等特种玻璃产业化。</w:t>
            </w:r>
          </w:p>
        </w:tc>
      </w:tr>
      <w:tr w14:paraId="04552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0" w:hRule="atLeast"/>
        </w:trPr>
        <w:tc>
          <w:tcPr>
            <w:tcW w:w="8522" w:type="dxa"/>
            <w:noWrap w:val="0"/>
            <w:vAlign w:val="top"/>
          </w:tcPr>
          <w:p w14:paraId="77BC67A6">
            <w:pPr>
              <w:pStyle w:val="27"/>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Times New Roman" w:hAnsi="Times New Roman" w:eastAsia="楷体_GB2312" w:cs="Times New Roman"/>
                <w:color w:val="auto"/>
                <w:sz w:val="28"/>
                <w:szCs w:val="28"/>
                <w:highlight w:val="none"/>
                <w:lang w:val="en-US" w:eastAsia="zh-CN"/>
              </w:rPr>
            </w:pPr>
            <w:bookmarkStart w:id="4" w:name="_Toc20366"/>
            <w:r>
              <w:rPr>
                <w:rFonts w:hint="eastAsia" w:ascii="Times New Roman" w:hAnsi="Times New Roman" w:eastAsia="楷体_GB2312" w:cs="Times New Roman"/>
                <w:color w:val="auto"/>
                <w:sz w:val="28"/>
                <w:szCs w:val="28"/>
                <w:highlight w:val="none"/>
                <w:lang w:val="en-US" w:eastAsia="zh-CN"/>
              </w:rPr>
              <w:t>04  特色轻工</w:t>
            </w:r>
            <w:bookmarkEnd w:id="4"/>
          </w:p>
          <w:p w14:paraId="4EA6C44D">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纺织服装。</w:t>
            </w:r>
            <w:r>
              <w:rPr>
                <w:rFonts w:hint="eastAsia" w:ascii="仿宋_GB2312" w:hAnsi="仿宋_GB2312" w:eastAsia="仿宋_GB2312" w:cs="仿宋_GB2312"/>
                <w:color w:val="auto"/>
                <w:kern w:val="2"/>
                <w:sz w:val="28"/>
                <w:szCs w:val="28"/>
                <w:lang w:val="en-US" w:eastAsia="zh-CN" w:bidi="ar-SA"/>
              </w:rPr>
              <w:t>自动化裁剪缝制系统、智能仓储与物流系统；绿色染整与清洁生产关键技术；功能性材料研发，复合涂层技术研究；民族非遗数字资产库建设；智能提花、辅助刺绣设备，植物色素提取及印染功能开发与利用。</w:t>
            </w:r>
          </w:p>
          <w:p w14:paraId="25CD3D20">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林浆纸。</w:t>
            </w:r>
            <w:r>
              <w:rPr>
                <w:rFonts w:hint="eastAsia" w:ascii="仿宋_GB2312" w:hAnsi="仿宋_GB2312" w:eastAsia="仿宋_GB2312" w:cs="仿宋_GB2312"/>
                <w:color w:val="auto"/>
                <w:kern w:val="2"/>
                <w:sz w:val="28"/>
                <w:szCs w:val="28"/>
                <w:lang w:val="en-US" w:eastAsia="zh-CN" w:bidi="ar-SA"/>
              </w:rPr>
              <w:t>高端纸开发；环保、制浆、造纸等功能助剂研发；造纸固废资源化高值化利用；木材“三剩物”综合开发利用；生物质颗粒燃料、活性炭技术开发。</w:t>
            </w:r>
          </w:p>
          <w:p w14:paraId="613027B7">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生态特色食品。</w:t>
            </w:r>
            <w:r>
              <w:rPr>
                <w:rFonts w:hint="eastAsia" w:ascii="仿宋_GB2312" w:hAnsi="仿宋_GB2312" w:eastAsia="仿宋_GB2312" w:cs="仿宋_GB2312"/>
                <w:b w:val="0"/>
                <w:bCs w:val="0"/>
                <w:color w:val="auto"/>
                <w:kern w:val="2"/>
                <w:sz w:val="28"/>
                <w:szCs w:val="28"/>
                <w:lang w:val="en-US" w:eastAsia="zh-CN" w:bidi="ar-SA"/>
              </w:rPr>
              <w:t>基于</w:t>
            </w:r>
            <w:r>
              <w:rPr>
                <w:rFonts w:hint="eastAsia" w:ascii="仿宋_GB2312" w:hAnsi="仿宋_GB2312" w:eastAsia="仿宋_GB2312" w:cs="仿宋_GB2312"/>
                <w:color w:val="auto"/>
                <w:kern w:val="2"/>
                <w:sz w:val="28"/>
                <w:szCs w:val="28"/>
                <w:lang w:val="en-US" w:eastAsia="zh-CN" w:bidi="ar-SA"/>
              </w:rPr>
              <w:t>薏仁、茶叶、灵芝、石斛、芭蕉芋等活性成分提取分离技术及其特色产品开发；白酒生产关键工艺技术数智化；基于本地区酸笋、番茄等发酵食品挖掘与利用；茶油、精品水果、生态渔业等产业化关键技术；糯米饭、灰粽子等地方特色小吃产业化关键技术；特色肉制品现代加工技术；本地富含锶、硒、偏硅酸等微量元素水的功能挖掘与利用。</w:t>
            </w:r>
          </w:p>
          <w:p w14:paraId="7C9BB8A3">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b/>
                <w:bCs/>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健康医药。</w:t>
            </w:r>
            <w:r>
              <w:rPr>
                <w:rFonts w:hint="eastAsia" w:ascii="仿宋_GB2312" w:hAnsi="仿宋_GB2312" w:eastAsia="仿宋_GB2312" w:cs="仿宋_GB2312"/>
                <w:color w:val="auto"/>
                <w:kern w:val="2"/>
                <w:sz w:val="28"/>
                <w:szCs w:val="28"/>
                <w:lang w:val="en-US" w:eastAsia="zh-CN" w:bidi="ar-SA"/>
              </w:rPr>
              <w:t>肿瘤性疾病中西医诊疗、中药制剂的开发与应用研究；民族药炮制工艺优化；介入治疗临床研究；基因和细胞治疗；基于康养需求的特色药物开发；慢性疼痛、肿瘤、神经及心血管系统等疾病中西医结合疗法；特色医疗器械开发。</w:t>
            </w:r>
          </w:p>
        </w:tc>
      </w:tr>
      <w:tr w14:paraId="5D65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14:paraId="7F3BBF5E">
            <w:pPr>
              <w:pStyle w:val="27"/>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Times New Roman" w:hAnsi="Times New Roman" w:eastAsia="楷体_GB2312" w:cs="Times New Roman"/>
                <w:color w:val="auto"/>
                <w:sz w:val="28"/>
                <w:szCs w:val="28"/>
                <w:highlight w:val="none"/>
                <w:lang w:val="en-US" w:eastAsia="zh-CN"/>
              </w:rPr>
            </w:pPr>
            <w:bookmarkStart w:id="5" w:name="_Toc21151"/>
            <w:r>
              <w:rPr>
                <w:rFonts w:hint="eastAsia" w:ascii="Times New Roman" w:hAnsi="Times New Roman" w:eastAsia="楷体_GB2312" w:cs="Times New Roman"/>
                <w:color w:val="auto"/>
                <w:sz w:val="28"/>
                <w:szCs w:val="28"/>
                <w:highlight w:val="none"/>
                <w:lang w:val="en-US" w:eastAsia="zh-CN"/>
              </w:rPr>
              <w:t>0</w:t>
            </w:r>
            <w:r>
              <w:rPr>
                <w:rFonts w:hint="eastAsia" w:eastAsia="楷体_GB2312" w:cs="Times New Roman"/>
                <w:color w:val="auto"/>
                <w:sz w:val="28"/>
                <w:szCs w:val="28"/>
                <w:highlight w:val="none"/>
                <w:lang w:val="en-US" w:eastAsia="zh-CN"/>
              </w:rPr>
              <w:t>5</w:t>
            </w:r>
            <w:r>
              <w:rPr>
                <w:rFonts w:hint="eastAsia" w:ascii="Times New Roman" w:hAnsi="Times New Roman" w:eastAsia="楷体_GB2312" w:cs="Times New Roman"/>
                <w:color w:val="auto"/>
                <w:sz w:val="28"/>
                <w:szCs w:val="28"/>
                <w:highlight w:val="none"/>
                <w:lang w:val="en-US" w:eastAsia="zh-CN"/>
              </w:rPr>
              <w:t xml:space="preserve">  现代山地特色高效农业</w:t>
            </w:r>
          </w:p>
          <w:p w14:paraId="2B3644D9">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种质资源保护、品种繁育。</w:t>
            </w:r>
            <w:r>
              <w:rPr>
                <w:rFonts w:hint="eastAsia" w:ascii="仿宋_GB2312" w:hAnsi="仿宋_GB2312" w:eastAsia="仿宋_GB2312" w:cs="仿宋_GB2312"/>
                <w:color w:val="auto"/>
                <w:kern w:val="2"/>
                <w:sz w:val="28"/>
                <w:szCs w:val="28"/>
                <w:lang w:val="en-US" w:eastAsia="zh-CN" w:bidi="ar-SA"/>
              </w:rPr>
              <w:t>水稻、玉米、小麦、蔬菜等优势农作物品种资源收集、保护鉴定及改良利用；优质高产、抗逆性强的粮油作物突破性品种选育；古茶树资源调查保护，适制品种选育，特异品种选育；薏苡、灵芝、天麻、白及、石斛、艾纳香等中药材良种选育及品质分析；芒果、香蕉、百香果、荔枝等亚热带果树改种换种；兴义矮脚鸡、兴义鸭、安龙黄牛等地方特色畜禽种质资源保护与开发。</w:t>
            </w:r>
          </w:p>
          <w:p w14:paraId="7E4914F5">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山地农机。</w:t>
            </w:r>
            <w:r>
              <w:rPr>
                <w:rFonts w:hint="eastAsia" w:ascii="仿宋_GB2312" w:hAnsi="仿宋_GB2312" w:eastAsia="仿宋_GB2312" w:cs="仿宋_GB2312"/>
                <w:color w:val="auto"/>
                <w:kern w:val="2"/>
                <w:sz w:val="28"/>
                <w:szCs w:val="28"/>
                <w:lang w:val="en-US" w:eastAsia="zh-CN" w:bidi="ar-SA"/>
              </w:rPr>
              <w:t>丘陵山区适用农机装备研发应用；轻量化多功能组合式山地农机开发。</w:t>
            </w:r>
          </w:p>
          <w:p w14:paraId="3CB21183">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绿色高效农业。</w:t>
            </w:r>
            <w:r>
              <w:rPr>
                <w:rFonts w:hint="eastAsia" w:ascii="仿宋_GB2312" w:hAnsi="仿宋_GB2312" w:eastAsia="仿宋_GB2312" w:cs="仿宋_GB2312"/>
                <w:b w:val="0"/>
                <w:bCs w:val="0"/>
                <w:color w:val="auto"/>
                <w:kern w:val="2"/>
                <w:sz w:val="28"/>
                <w:szCs w:val="28"/>
                <w:lang w:val="en-US" w:eastAsia="zh-CN" w:bidi="ar-SA"/>
              </w:rPr>
              <w:t>油菜轻简化栽培技术；茶园生态化种植技术；山地生态果园种植技术；“林－药”“林-菌”“林－禽”等高效、互利的立体林下经济种养技术；生态渔业健康养殖、水质调控及水产品加工技术；农作物病虫害监测预警技术，畜禽水产疫病防控技术，农作物绿色生产技术，农业废弃物综合利用技术推广应用。</w:t>
            </w:r>
            <w:r>
              <w:rPr>
                <w:rFonts w:hint="eastAsia" w:ascii="仿宋_GB2312" w:hAnsi="仿宋_GB2312" w:eastAsia="仿宋_GB2312" w:cs="仿宋_GB2312"/>
                <w:b w:val="0"/>
                <w:bCs w:val="0"/>
                <w:strike w:val="0"/>
                <w:color w:val="auto"/>
                <w:kern w:val="2"/>
                <w:sz w:val="28"/>
                <w:szCs w:val="28"/>
                <w:lang w:val="en-US" w:eastAsia="zh-CN" w:bidi="ar-SA"/>
              </w:rPr>
              <w:t>土地宜机化改造、土壤改良及地力提升技术。</w:t>
            </w:r>
          </w:p>
          <w:p w14:paraId="36FAEAB8">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农产品贮藏与初加工。</w:t>
            </w:r>
            <w:r>
              <w:rPr>
                <w:rFonts w:hint="eastAsia" w:ascii="仿宋_GB2312" w:hAnsi="仿宋_GB2312" w:eastAsia="仿宋_GB2312" w:cs="仿宋_GB2312"/>
                <w:color w:val="auto"/>
                <w:kern w:val="2"/>
                <w:sz w:val="28"/>
                <w:szCs w:val="28"/>
                <w:lang w:val="en-US" w:eastAsia="zh-CN" w:bidi="ar-SA"/>
              </w:rPr>
              <w:t>冰温贮藏、气调保鲜、新型保鲜膜/剂、智能预冷、冷链物流实时监控技术推广应用。</w:t>
            </w:r>
          </w:p>
          <w:p w14:paraId="09738186">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Times New Roman" w:hAnsi="Times New Roman" w:eastAsia="楷体_GB2312" w:cs="Times New Roman"/>
                <w:color w:val="auto"/>
                <w:sz w:val="28"/>
                <w:szCs w:val="28"/>
                <w:highlight w:val="none"/>
                <w:lang w:val="en-US" w:eastAsia="zh-CN"/>
              </w:rPr>
            </w:pPr>
            <w:r>
              <w:rPr>
                <w:rFonts w:hint="eastAsia" w:ascii="仿宋_GB2312" w:hAnsi="仿宋_GB2312" w:eastAsia="仿宋_GB2312" w:cs="仿宋_GB2312"/>
                <w:b/>
                <w:bCs/>
                <w:color w:val="auto"/>
                <w:kern w:val="2"/>
                <w:sz w:val="28"/>
                <w:szCs w:val="28"/>
                <w:lang w:val="en-US" w:eastAsia="zh-CN" w:bidi="ar-SA"/>
              </w:rPr>
              <w:t>数字农业。</w:t>
            </w:r>
            <w:r>
              <w:rPr>
                <w:rFonts w:hint="eastAsia" w:ascii="仿宋_GB2312" w:hAnsi="仿宋_GB2312" w:eastAsia="仿宋_GB2312" w:cs="仿宋_GB2312"/>
                <w:b w:val="0"/>
                <w:bCs w:val="0"/>
                <w:color w:val="auto"/>
                <w:kern w:val="2"/>
                <w:sz w:val="28"/>
                <w:szCs w:val="28"/>
                <w:lang w:val="en-US" w:eastAsia="zh-CN" w:bidi="ar-SA"/>
              </w:rPr>
              <w:t>人工智能、无人机、物联网等技术与农业产业融合技术；</w:t>
            </w:r>
            <w:r>
              <w:rPr>
                <w:rFonts w:hint="eastAsia" w:ascii="仿宋_GB2312" w:hAnsi="仿宋_GB2312" w:eastAsia="仿宋_GB2312" w:cs="仿宋_GB2312"/>
                <w:color w:val="auto"/>
                <w:kern w:val="2"/>
                <w:sz w:val="28"/>
                <w:szCs w:val="28"/>
                <w:lang w:val="en-US" w:eastAsia="zh-CN" w:bidi="ar-SA"/>
              </w:rPr>
              <w:t>农业智能分析与建模、智能农机自主控制等关键技术开发。</w:t>
            </w:r>
          </w:p>
        </w:tc>
      </w:tr>
      <w:tr w14:paraId="2F0B8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14:paraId="40757BA5">
            <w:pPr>
              <w:pStyle w:val="27"/>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Times New Roman" w:hAnsi="Times New Roman" w:eastAsia="楷体_GB2312" w:cs="Times New Roman"/>
                <w:color w:val="auto"/>
                <w:sz w:val="28"/>
                <w:szCs w:val="28"/>
                <w:highlight w:val="none"/>
                <w:lang w:val="en-US" w:eastAsia="zh-CN"/>
              </w:rPr>
            </w:pPr>
            <w:r>
              <w:rPr>
                <w:rFonts w:hint="eastAsia" w:eastAsia="楷体_GB2312" w:cs="Times New Roman"/>
                <w:color w:val="auto"/>
                <w:sz w:val="28"/>
                <w:szCs w:val="28"/>
                <w:highlight w:val="none"/>
                <w:lang w:val="en-US" w:eastAsia="zh-CN"/>
              </w:rPr>
              <w:t>06</w:t>
            </w:r>
            <w:r>
              <w:rPr>
                <w:rFonts w:hint="eastAsia" w:ascii="Times New Roman" w:hAnsi="Times New Roman" w:eastAsia="楷体_GB2312" w:cs="Times New Roman"/>
                <w:color w:val="auto"/>
                <w:sz w:val="28"/>
                <w:szCs w:val="28"/>
                <w:highlight w:val="none"/>
                <w:lang w:val="en-US" w:eastAsia="zh-CN"/>
              </w:rPr>
              <w:t xml:space="preserve">  社会民生</w:t>
            </w:r>
          </w:p>
          <w:p w14:paraId="4F1EB7B8">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康养旅游。</w:t>
            </w:r>
            <w:r>
              <w:rPr>
                <w:rFonts w:hint="eastAsia" w:ascii="仿宋_GB2312" w:hAnsi="仿宋_GB2312" w:eastAsia="仿宋_GB2312" w:cs="仿宋_GB2312"/>
                <w:b w:val="0"/>
                <w:bCs w:val="0"/>
                <w:color w:val="auto"/>
                <w:kern w:val="2"/>
                <w:sz w:val="28"/>
                <w:szCs w:val="28"/>
                <w:lang w:val="en-US" w:eastAsia="zh-CN" w:bidi="ar-SA"/>
              </w:rPr>
              <w:t>围绕</w:t>
            </w:r>
            <w:r>
              <w:rPr>
                <w:rFonts w:hint="eastAsia" w:ascii="仿宋_GB2312" w:hAnsi="仿宋_GB2312" w:eastAsia="仿宋_GB2312" w:cs="仿宋_GB2312"/>
                <w:color w:val="auto"/>
                <w:kern w:val="2"/>
                <w:sz w:val="28"/>
                <w:szCs w:val="28"/>
                <w:lang w:val="en-US" w:eastAsia="zh-CN" w:bidi="ar-SA"/>
              </w:rPr>
              <w:t>“互联网+旅游”技术研究，线上数字化体验产品开发；民族特色乡村旅游数字化体验技术；山地休闲、森林康养养生技术；民族康养特色药物开发；食药同源保健食品开发。</w:t>
            </w:r>
          </w:p>
          <w:p w14:paraId="570AF6C8">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Times New Roman" w:hAnsi="Times New Roman" w:eastAsia="楷体_GB2312" w:cs="Times New Roman"/>
                <w:color w:val="auto"/>
                <w:sz w:val="28"/>
                <w:szCs w:val="28"/>
                <w:highlight w:val="none"/>
                <w:lang w:val="en-US" w:eastAsia="zh-CN"/>
              </w:rPr>
            </w:pPr>
            <w:r>
              <w:rPr>
                <w:rFonts w:hint="eastAsia" w:ascii="仿宋_GB2312" w:hAnsi="仿宋_GB2312" w:eastAsia="仿宋_GB2312" w:cs="仿宋_GB2312"/>
                <w:b/>
                <w:bCs/>
                <w:color w:val="auto"/>
                <w:kern w:val="2"/>
                <w:sz w:val="28"/>
                <w:szCs w:val="28"/>
                <w:lang w:val="en-US" w:eastAsia="zh-CN" w:bidi="ar-SA"/>
              </w:rPr>
              <w:t>生态环境。</w:t>
            </w:r>
            <w:r>
              <w:rPr>
                <w:rFonts w:hint="eastAsia" w:ascii="仿宋_GB2312" w:hAnsi="仿宋_GB2312" w:eastAsia="仿宋_GB2312" w:cs="仿宋_GB2312"/>
                <w:color w:val="auto"/>
                <w:kern w:val="2"/>
                <w:sz w:val="28"/>
                <w:szCs w:val="28"/>
                <w:lang w:val="en-US" w:eastAsia="zh-CN" w:bidi="ar-SA"/>
              </w:rPr>
              <w:t>绿色低碳、节能降耗、资源综合利用、生态环境保护高效节能环保的新工艺、新设备开发；城市环境空气中非甲烷总烃污染特征研究；石漠化深度治理关键技术应用及示范；地下水调查及污染研究、土壤和农产品污染调查研究；黔西南州生态环境监测网络体系建设在生态环境保护及监管中的应用研究。</w:t>
            </w:r>
          </w:p>
        </w:tc>
      </w:tr>
      <w:tr w14:paraId="74984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14:paraId="0F181A04">
            <w:pPr>
              <w:pStyle w:val="6"/>
              <w:keepNext w:val="0"/>
              <w:keepLines w:val="0"/>
              <w:pageBreakBefore w:val="0"/>
              <w:widowControl w:val="0"/>
              <w:numPr>
                <w:ilvl w:val="0"/>
                <w:numId w:val="0"/>
              </w:numPr>
              <w:kinsoku/>
              <w:wordWrap/>
              <w:overflowPunct/>
              <w:topLinePunct w:val="0"/>
              <w:autoSpaceDE/>
              <w:autoSpaceDN/>
              <w:bidi w:val="0"/>
              <w:adjustRightInd w:val="0"/>
              <w:snapToGrid w:val="0"/>
              <w:textAlignment w:val="auto"/>
              <w:rPr>
                <w:rFonts w:hint="default" w:ascii="仿宋_GB2312" w:hAnsi="仿宋_GB2312" w:eastAsia="仿宋_GB2312" w:cs="仿宋_GB2312"/>
                <w:b/>
                <w:bCs/>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07</w:t>
            </w:r>
            <w:r>
              <w:rPr>
                <w:rFonts w:hint="default" w:ascii="仿宋_GB2312" w:hAnsi="仿宋_GB2312" w:eastAsia="仿宋_GB2312" w:cs="仿宋_GB2312"/>
                <w:b/>
                <w:bCs/>
                <w:color w:val="auto"/>
                <w:kern w:val="2"/>
                <w:sz w:val="28"/>
                <w:szCs w:val="28"/>
                <w:lang w:val="en-US" w:eastAsia="zh-CN" w:bidi="ar-SA"/>
              </w:rPr>
              <w:t xml:space="preserve">  </w:t>
            </w:r>
            <w:r>
              <w:rPr>
                <w:rFonts w:hint="eastAsia" w:ascii="仿宋_GB2312" w:hAnsi="仿宋_GB2312" w:eastAsia="仿宋_GB2312" w:cs="仿宋_GB2312"/>
                <w:b/>
                <w:bCs/>
                <w:color w:val="auto"/>
                <w:kern w:val="2"/>
                <w:sz w:val="28"/>
                <w:szCs w:val="28"/>
                <w:lang w:val="en-US" w:eastAsia="zh-CN" w:bidi="ar-SA"/>
              </w:rPr>
              <w:t>生产安全</w:t>
            </w:r>
          </w:p>
          <w:p w14:paraId="14F53EC2">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固废处置。</w:t>
            </w:r>
            <w:r>
              <w:rPr>
                <w:rFonts w:hint="eastAsia" w:ascii="仿宋_GB2312" w:hAnsi="仿宋_GB2312" w:eastAsia="仿宋_GB2312" w:cs="仿宋_GB2312"/>
                <w:color w:val="auto"/>
                <w:kern w:val="2"/>
                <w:sz w:val="28"/>
                <w:szCs w:val="28"/>
                <w:lang w:val="en-US" w:eastAsia="zh-CN" w:bidi="ar-SA"/>
              </w:rPr>
              <w:t>粉煤灰、铁合金渣、脱硫石膏、采矿选矿废渣等大宗固体废物协同处置与综合利用攻关及产业示范；黄金尾矿资源综合消纳及全组分利用协同攻关；攻克黄金低品位废矿石有价元素高效回收技术；火法炼锌尾渣中稀贵金属综合回收技术开发与应用；市政污泥、煤矸石、粉煤灰、脱硫石膏等固体废弃物制取土壤调理剂试点示范。</w:t>
            </w:r>
          </w:p>
          <w:p w14:paraId="5D9F91F2">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防灾减灾。</w:t>
            </w:r>
            <w:r>
              <w:rPr>
                <w:rFonts w:hint="eastAsia" w:ascii="仿宋_GB2312" w:hAnsi="仿宋_GB2312" w:eastAsia="仿宋_GB2312" w:cs="仿宋_GB2312"/>
                <w:color w:val="auto"/>
                <w:kern w:val="2"/>
                <w:sz w:val="28"/>
                <w:szCs w:val="28"/>
                <w:lang w:val="en-US" w:eastAsia="zh-CN" w:bidi="ar-SA"/>
              </w:rPr>
              <w:t>喀斯特地区地质灾害早期识别、监测预警与应急处置技术体系；复杂地形下中小河流山洪与城市内涝精细化预报及应急调度技术；极端干旱与复杂环境背景下区域水资源智能调配与抗旱保供技术；跨区域、多灾种应急救援指挥通信保障与救援力量智能调度技术及装备研发。</w:t>
            </w:r>
          </w:p>
          <w:p w14:paraId="47617C08">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
                <w:bCs/>
                <w:color w:val="auto"/>
                <w:kern w:val="2"/>
                <w:sz w:val="28"/>
                <w:szCs w:val="28"/>
                <w:lang w:val="en-US" w:eastAsia="zh-CN" w:bidi="ar-SA"/>
              </w:rPr>
              <w:t>公共安全。</w:t>
            </w:r>
            <w:r>
              <w:rPr>
                <w:rFonts w:hint="eastAsia" w:ascii="仿宋_GB2312" w:hAnsi="仿宋_GB2312" w:eastAsia="仿宋_GB2312" w:cs="仿宋_GB2312"/>
                <w:color w:val="auto"/>
                <w:kern w:val="2"/>
                <w:sz w:val="28"/>
                <w:szCs w:val="28"/>
                <w:lang w:val="en-US" w:eastAsia="zh-CN" w:bidi="ar-SA"/>
              </w:rPr>
              <w:t>重大公共卫生安全预警信息化平台共享建设研究；生态环境安全保障与应急处置技术及示范；生物多样性保护相关领域的基础研究和技术应用；生物遗传资源保护关键核心技术攻关；毒品、危化品及易燃易爆品检测技术研发；食品安全防控、安全生产、消防技术。</w:t>
            </w:r>
          </w:p>
        </w:tc>
      </w:tr>
      <w:tr w14:paraId="5D2A5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14:paraId="562FE64B">
            <w:pPr>
              <w:pStyle w:val="27"/>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Times New Roman" w:hAnsi="Times New Roman" w:eastAsia="楷体_GB2312" w:cs="Times New Roman"/>
                <w:color w:val="auto"/>
                <w:sz w:val="28"/>
                <w:szCs w:val="28"/>
                <w:highlight w:val="none"/>
                <w:lang w:val="en-US" w:eastAsia="zh-CN"/>
              </w:rPr>
            </w:pPr>
            <w:r>
              <w:rPr>
                <w:rFonts w:hint="eastAsia" w:eastAsia="楷体_GB2312" w:cs="Times New Roman"/>
                <w:color w:val="auto"/>
                <w:sz w:val="28"/>
                <w:szCs w:val="28"/>
                <w:highlight w:val="none"/>
                <w:lang w:val="en-US" w:eastAsia="zh-CN"/>
              </w:rPr>
              <w:t>08</w:t>
            </w:r>
            <w:r>
              <w:rPr>
                <w:rFonts w:hint="eastAsia" w:ascii="Times New Roman" w:hAnsi="Times New Roman" w:eastAsia="楷体_GB2312" w:cs="Times New Roman"/>
                <w:color w:val="auto"/>
                <w:sz w:val="28"/>
                <w:szCs w:val="28"/>
                <w:highlight w:val="none"/>
                <w:lang w:val="en-US" w:eastAsia="zh-CN"/>
              </w:rPr>
              <w:t xml:space="preserve">  </w:t>
            </w:r>
            <w:r>
              <w:rPr>
                <w:rFonts w:hint="eastAsia" w:eastAsia="楷体_GB2312" w:cs="Times New Roman"/>
                <w:strike w:val="0"/>
                <w:color w:val="auto"/>
                <w:sz w:val="28"/>
                <w:szCs w:val="28"/>
                <w:highlight w:val="none"/>
                <w:lang w:val="en-US" w:eastAsia="zh-CN"/>
              </w:rPr>
              <w:t>科技</w:t>
            </w:r>
            <w:r>
              <w:rPr>
                <w:rFonts w:hint="eastAsia" w:ascii="Times New Roman" w:hAnsi="Times New Roman" w:eastAsia="楷体_GB2312" w:cs="Times New Roman"/>
                <w:color w:val="auto"/>
                <w:sz w:val="28"/>
                <w:szCs w:val="28"/>
                <w:highlight w:val="none"/>
                <w:lang w:val="en-US" w:eastAsia="zh-CN"/>
              </w:rPr>
              <w:t>服务业</w:t>
            </w:r>
          </w:p>
          <w:p w14:paraId="2891669E">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检验检测服务。</w:t>
            </w:r>
            <w:r>
              <w:rPr>
                <w:rFonts w:hint="eastAsia" w:ascii="仿宋_GB2312" w:hAnsi="仿宋_GB2312" w:eastAsia="仿宋_GB2312" w:cs="仿宋_GB2312"/>
                <w:color w:val="auto"/>
                <w:sz w:val="28"/>
                <w:szCs w:val="28"/>
                <w:highlight w:val="none"/>
                <w:lang w:val="en-US" w:eastAsia="zh-CN"/>
              </w:rPr>
              <w:t>检验检测中心、农产品质量安全检测中心建设；公用计量标准研究。</w:t>
            </w:r>
          </w:p>
          <w:p w14:paraId="51530124">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技术推广服务。</w:t>
            </w:r>
            <w:r>
              <w:rPr>
                <w:rFonts w:hint="eastAsia" w:ascii="仿宋_GB2312" w:hAnsi="仿宋_GB2312" w:eastAsia="仿宋_GB2312" w:cs="仿宋_GB2312"/>
                <w:color w:val="auto"/>
                <w:sz w:val="28"/>
                <w:szCs w:val="28"/>
                <w:highlight w:val="none"/>
                <w:lang w:val="en-US" w:eastAsia="zh-CN"/>
              </w:rPr>
              <w:t>农业技术推广中心建设；州县乡三级常态化科技推广服务网络建设；技术推广服务模式创新开发；新技术引进、试验示范、普及推广、技术咨询和农户培训服务开发。</w:t>
            </w:r>
          </w:p>
          <w:p w14:paraId="0029A941">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研发服务。</w:t>
            </w:r>
            <w:r>
              <w:rPr>
                <w:rFonts w:hint="eastAsia" w:ascii="仿宋_GB2312" w:hAnsi="仿宋_GB2312" w:eastAsia="仿宋_GB2312" w:cs="仿宋_GB2312"/>
                <w:color w:val="auto"/>
                <w:sz w:val="28"/>
                <w:szCs w:val="28"/>
                <w:highlight w:val="none"/>
                <w:lang w:val="en-US" w:eastAsia="zh-CN"/>
              </w:rPr>
              <w:t>AI4S研发过程溯源与证据链构建技术；技术成果差异化比对与专利布局辅助模型；中试过程异常与性能退化AI预测预警；小样本工业场景科学模型预训练与适配技术；AI4S结果可信度评估技术。</w:t>
            </w:r>
          </w:p>
        </w:tc>
      </w:tr>
      <w:bookmarkEnd w:id="5"/>
    </w:tbl>
    <w:p w14:paraId="256A5C75">
      <w:pPr>
        <w:pStyle w:val="3"/>
        <w:pageBreakBefore w:val="0"/>
        <w:widowControl w:val="0"/>
        <w:kinsoku/>
        <w:wordWrap/>
        <w:overflowPunct/>
        <w:topLinePunct w:val="0"/>
        <w:autoSpaceDE/>
        <w:autoSpaceDN/>
        <w:bidi w:val="0"/>
        <w:adjustRightInd/>
        <w:snapToGrid/>
        <w:spacing w:before="0" w:beforeLines="-2147483648" w:after="0" w:line="600" w:lineRule="exact"/>
        <w:ind w:firstLine="640"/>
        <w:jc w:val="both"/>
        <w:textAlignment w:val="auto"/>
        <w:rPr>
          <w:rFonts w:hint="default" w:ascii="Times New Roman" w:hAnsi="Times New Roman" w:eastAsia="楷体_GB2312" w:cs="Times New Roman Regular"/>
          <w:color w:val="auto"/>
          <w:szCs w:val="24"/>
          <w:highlight w:val="none"/>
          <w:lang w:val="en-US" w:eastAsia="zh-CN"/>
        </w:rPr>
      </w:pPr>
      <w:bookmarkStart w:id="6" w:name="_Toc1434"/>
      <w:r>
        <w:rPr>
          <w:rFonts w:hint="eastAsia" w:ascii="Times New Roman" w:hAnsi="Times New Roman" w:eastAsia="楷体_GB2312" w:cs="Times New Roman Regular"/>
          <w:color w:val="auto"/>
          <w:szCs w:val="24"/>
          <w:highlight w:val="none"/>
          <w:lang w:val="en-US" w:eastAsia="zh-CN"/>
        </w:rPr>
        <w:t>（二）</w:t>
      </w:r>
      <w:r>
        <w:rPr>
          <w:rFonts w:hint="default" w:ascii="Times New Roman" w:hAnsi="Times New Roman" w:eastAsia="楷体_GB2312" w:cs="Times New Roman Regular"/>
          <w:color w:val="auto"/>
          <w:szCs w:val="24"/>
          <w:highlight w:val="none"/>
          <w:lang w:val="en-US" w:eastAsia="zh-CN"/>
        </w:rPr>
        <w:t>加强</w:t>
      </w:r>
      <w:bookmarkEnd w:id="6"/>
      <w:r>
        <w:rPr>
          <w:rFonts w:hint="eastAsia" w:ascii="Times New Roman" w:hAnsi="Times New Roman" w:eastAsia="楷体_GB2312" w:cs="Times New Roman Regular"/>
          <w:color w:val="auto"/>
          <w:szCs w:val="24"/>
          <w:highlight w:val="none"/>
          <w:lang w:val="en-US" w:eastAsia="zh-CN"/>
        </w:rPr>
        <w:t>基础研究与前沿技术布局</w:t>
      </w:r>
    </w:p>
    <w:p w14:paraId="581CAF7C">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推进特色科学与问题导向的基础研究，支持高校、科研院所加强农业科学、生命科学、化学科学、环境科学和医药科学领域的基础研究或应用基础研究。加强前沿技术布局谋划，积极培育发展数字经济和低空经济。</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84AF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noWrap w:val="0"/>
            <w:vAlign w:val="top"/>
          </w:tcPr>
          <w:p w14:paraId="6035E83B">
            <w:pPr>
              <w:pStyle w:val="14"/>
              <w:keepNext w:val="0"/>
              <w:keepLines w:val="0"/>
              <w:pageBreakBefore w:val="0"/>
              <w:kinsoku/>
              <w:wordWrap/>
              <w:overflowPunct/>
              <w:topLinePunct w:val="0"/>
              <w:autoSpaceDE/>
              <w:autoSpaceDN/>
              <w:bidi w:val="0"/>
              <w:adjustRightInd w:val="0"/>
              <w:snapToGrid w:val="0"/>
              <w:spacing w:line="400" w:lineRule="exact"/>
              <w:ind w:left="0" w:leftChars="0" w:right="12" w:firstLine="0" w:firstLineChars="0"/>
              <w:jc w:val="center"/>
              <w:textAlignment w:val="auto"/>
              <w:rPr>
                <w:rFonts w:hint="default" w:ascii="方正仿宋_GB2312" w:hAnsi="方正仿宋_GB2312" w:eastAsia="方正仿宋_GB2312" w:cs="方正仿宋_GB2312"/>
                <w:color w:val="auto"/>
                <w:kern w:val="2"/>
                <w:sz w:val="32"/>
                <w:szCs w:val="32"/>
                <w:lang w:val="en-US" w:eastAsia="zh-CN" w:bidi="ar-SA"/>
              </w:rPr>
            </w:pPr>
            <w:r>
              <w:rPr>
                <w:rFonts w:hint="eastAsia" w:ascii="Times New Roman" w:hAnsi="Times New Roman" w:eastAsia="仿宋_GB2312" w:cs="仿宋_GB2312"/>
                <w:b/>
                <w:bCs/>
                <w:i w:val="0"/>
                <w:iCs w:val="0"/>
                <w:color w:val="auto"/>
                <w:kern w:val="0"/>
                <w:sz w:val="28"/>
                <w:szCs w:val="28"/>
                <w:highlight w:val="none"/>
                <w:u w:val="none"/>
                <w:lang w:val="en-US" w:eastAsia="zh-CN" w:bidi="ar"/>
              </w:rPr>
              <w:t>专栏</w:t>
            </w:r>
            <w:r>
              <w:rPr>
                <w:rFonts w:hint="eastAsia" w:ascii="Times New Roman" w:hAnsi="Times New Roman" w:cs="仿宋_GB2312"/>
                <w:b/>
                <w:bCs/>
                <w:i w:val="0"/>
                <w:iCs w:val="0"/>
                <w:color w:val="auto"/>
                <w:kern w:val="0"/>
                <w:sz w:val="28"/>
                <w:szCs w:val="28"/>
                <w:highlight w:val="none"/>
                <w:u w:val="none"/>
                <w:lang w:val="en-US" w:eastAsia="zh-CN" w:bidi="ar"/>
              </w:rPr>
              <w:t>3</w:t>
            </w:r>
            <w:r>
              <w:rPr>
                <w:rFonts w:hint="eastAsia" w:ascii="Times New Roman" w:hAnsi="Times New Roman" w:eastAsia="仿宋_GB2312" w:cs="仿宋_GB2312"/>
                <w:b/>
                <w:bCs/>
                <w:i w:val="0"/>
                <w:iCs w:val="0"/>
                <w:color w:val="auto"/>
                <w:kern w:val="0"/>
                <w:sz w:val="28"/>
                <w:szCs w:val="28"/>
                <w:highlight w:val="none"/>
                <w:u w:val="none"/>
                <w:lang w:val="en-US" w:eastAsia="zh-CN" w:bidi="ar"/>
              </w:rPr>
              <w:t xml:space="preserve">  </w:t>
            </w:r>
            <w:r>
              <w:rPr>
                <w:rFonts w:hint="eastAsia" w:ascii="Times New Roman" w:hAnsi="Times New Roman" w:cs="仿宋_GB2312"/>
                <w:b/>
                <w:bCs/>
                <w:i w:val="0"/>
                <w:iCs w:val="0"/>
                <w:color w:val="auto"/>
                <w:kern w:val="0"/>
                <w:sz w:val="28"/>
                <w:szCs w:val="28"/>
                <w:highlight w:val="none"/>
                <w:u w:val="none"/>
                <w:lang w:val="en-US" w:eastAsia="zh-CN" w:bidi="ar"/>
              </w:rPr>
              <w:t>基础研究与前沿技术布局</w:t>
            </w:r>
          </w:p>
        </w:tc>
      </w:tr>
      <w:tr w14:paraId="4FF8F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noWrap w:val="0"/>
            <w:vAlign w:val="top"/>
          </w:tcPr>
          <w:p w14:paraId="52D50C91">
            <w:pPr>
              <w:pStyle w:val="27"/>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Times New Roman" w:hAnsi="Times New Roman" w:eastAsia="楷体_GB2312" w:cs="Times New Roman"/>
                <w:color w:val="auto"/>
                <w:sz w:val="28"/>
                <w:szCs w:val="28"/>
                <w:highlight w:val="none"/>
                <w:lang w:val="en-US" w:eastAsia="zh-CN"/>
              </w:rPr>
            </w:pPr>
            <w:r>
              <w:rPr>
                <w:rFonts w:hint="eastAsia" w:ascii="Times New Roman" w:hAnsi="Times New Roman" w:eastAsia="楷体_GB2312" w:cs="Times New Roman"/>
                <w:color w:val="auto"/>
                <w:sz w:val="28"/>
                <w:szCs w:val="28"/>
                <w:highlight w:val="none"/>
                <w:lang w:val="en-US" w:eastAsia="zh-CN"/>
              </w:rPr>
              <w:t>01  基础研究与应用基础研究</w:t>
            </w:r>
          </w:p>
          <w:p w14:paraId="15876A57">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农业科学。</w:t>
            </w:r>
            <w:r>
              <w:rPr>
                <w:rFonts w:hint="eastAsia" w:ascii="仿宋_GB2312" w:hAnsi="仿宋_GB2312" w:eastAsia="仿宋_GB2312" w:cs="仿宋_GB2312"/>
                <w:b w:val="0"/>
                <w:bCs w:val="0"/>
                <w:color w:val="auto"/>
                <w:kern w:val="2"/>
                <w:sz w:val="28"/>
                <w:szCs w:val="28"/>
                <w:lang w:val="en-US" w:eastAsia="zh-CN" w:bidi="ar-SA"/>
              </w:rPr>
              <w:t xml:space="preserve">特色农作物种质资源收集保存、鉴定评价与优异基因挖掘；遗传多样性与性状形成分子机制。 </w:t>
            </w:r>
          </w:p>
          <w:p w14:paraId="123E1F2C">
            <w:pPr>
              <w:rPr>
                <w:rFonts w:hint="eastAsia" w:ascii="仿宋_GB2312" w:hAnsi="仿宋_GB2312" w:eastAsia="仿宋_GB2312" w:cs="仿宋_GB2312"/>
                <w:b w:val="0"/>
                <w:bCs w:val="0"/>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生命科学：</w:t>
            </w:r>
            <w:r>
              <w:rPr>
                <w:rFonts w:hint="eastAsia" w:ascii="仿宋_GB2312" w:hAnsi="仿宋_GB2312" w:eastAsia="仿宋_GB2312" w:cs="仿宋_GB2312"/>
                <w:b w:val="0"/>
                <w:bCs w:val="0"/>
                <w:color w:val="auto"/>
                <w:kern w:val="2"/>
                <w:sz w:val="28"/>
                <w:szCs w:val="28"/>
                <w:lang w:val="en-US" w:eastAsia="zh-CN" w:bidi="ar-SA"/>
              </w:rPr>
              <w:t>基因表达调控网络、多组学整合解析、微生物互作、病原致病与生物浸染创新理论与机制。</w:t>
            </w:r>
          </w:p>
          <w:p w14:paraId="63ADFA02">
            <w:pPr>
              <w:rPr>
                <w:rFonts w:hint="eastAsia" w:ascii="仿宋_GB2312" w:hAnsi="仿宋_GB2312" w:eastAsia="仿宋_GB2312" w:cs="仿宋_GB2312"/>
                <w:b w:val="0"/>
                <w:bCs w:val="0"/>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化学科学：</w:t>
            </w:r>
            <w:r>
              <w:rPr>
                <w:rFonts w:hint="eastAsia" w:ascii="仿宋_GB2312" w:hAnsi="仿宋_GB2312" w:eastAsia="仿宋_GB2312" w:cs="仿宋_GB2312"/>
                <w:b w:val="0"/>
                <w:bCs w:val="0"/>
                <w:color w:val="auto"/>
                <w:kern w:val="2"/>
                <w:sz w:val="28"/>
                <w:szCs w:val="28"/>
                <w:lang w:val="en-US" w:eastAsia="zh-CN" w:bidi="ar-SA"/>
              </w:rPr>
              <w:t>基于食品、农产品、环境安全等分析化学、功能材料化学相关基础理论与作用机理解析。</w:t>
            </w:r>
          </w:p>
          <w:p w14:paraId="0346C9ED">
            <w:pPr>
              <w:rPr>
                <w:rFonts w:hint="default" w:ascii="仿宋_GB2312" w:hAnsi="仿宋_GB2312" w:eastAsia="仿宋_GB2312" w:cs="仿宋_GB2312"/>
                <w:b w:val="0"/>
                <w:bCs w:val="0"/>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环境科学：</w:t>
            </w:r>
            <w:r>
              <w:rPr>
                <w:rFonts w:hint="eastAsia" w:ascii="仿宋_GB2312" w:hAnsi="仿宋_GB2312" w:eastAsia="仿宋_GB2312" w:cs="仿宋_GB2312"/>
                <w:b w:val="0"/>
                <w:bCs w:val="0"/>
                <w:color w:val="auto"/>
                <w:kern w:val="2"/>
                <w:sz w:val="28"/>
                <w:szCs w:val="28"/>
                <w:lang w:val="en-US" w:eastAsia="zh-CN" w:bidi="ar-SA"/>
              </w:rPr>
              <w:t>植物病虫病理调控、农药分子靶向与昆虫毒性机理、环境银子调控、污染物降解转化、土壤微生态物质循环分子机制、碳过程规律、石漠化演化规律与治理理论。</w:t>
            </w:r>
          </w:p>
          <w:p w14:paraId="0A436479">
            <w:pPr>
              <w:rPr>
                <w:rFonts w:hint="eastAsia"/>
                <w:color w:val="auto"/>
                <w:sz w:val="32"/>
                <w:szCs w:val="32"/>
                <w:lang w:val="en-US" w:eastAsia="zh-CN"/>
              </w:rPr>
            </w:pPr>
            <w:r>
              <w:rPr>
                <w:rFonts w:hint="eastAsia" w:ascii="仿宋_GB2312" w:hAnsi="仿宋_GB2312" w:eastAsia="仿宋_GB2312" w:cs="仿宋_GB2312"/>
                <w:b/>
                <w:bCs/>
                <w:color w:val="auto"/>
                <w:kern w:val="2"/>
                <w:sz w:val="28"/>
                <w:szCs w:val="28"/>
                <w:lang w:val="en-US" w:eastAsia="zh-CN" w:bidi="ar-SA"/>
              </w:rPr>
              <w:t>医药科学：</w:t>
            </w:r>
            <w:r>
              <w:rPr>
                <w:rFonts w:hint="eastAsia" w:ascii="仿宋_GB2312" w:hAnsi="仿宋_GB2312" w:eastAsia="仿宋_GB2312" w:cs="仿宋_GB2312"/>
                <w:b w:val="0"/>
                <w:bCs w:val="0"/>
                <w:color w:val="auto"/>
                <w:kern w:val="2"/>
                <w:sz w:val="28"/>
                <w:szCs w:val="28"/>
                <w:lang w:val="en-US" w:eastAsia="zh-CN" w:bidi="ar-SA"/>
              </w:rPr>
              <w:t>心理科学、成瘾机制、预测与精准干预。</w:t>
            </w:r>
          </w:p>
        </w:tc>
      </w:tr>
      <w:tr w14:paraId="70BE5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noWrap w:val="0"/>
            <w:vAlign w:val="top"/>
          </w:tcPr>
          <w:p w14:paraId="2ED670B8">
            <w:pPr>
              <w:pStyle w:val="27"/>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default" w:ascii="Times New Roman" w:hAnsi="Times New Roman" w:eastAsia="楷体_GB2312" w:cs="Times New Roman"/>
                <w:color w:val="auto"/>
                <w:sz w:val="28"/>
                <w:szCs w:val="28"/>
                <w:highlight w:val="none"/>
                <w:lang w:val="en-US" w:eastAsia="zh-CN"/>
              </w:rPr>
            </w:pPr>
            <w:r>
              <w:rPr>
                <w:rFonts w:hint="eastAsia" w:ascii="Times New Roman" w:hAnsi="Times New Roman" w:eastAsia="楷体_GB2312" w:cs="Times New Roman"/>
                <w:color w:val="auto"/>
                <w:sz w:val="28"/>
                <w:szCs w:val="28"/>
                <w:highlight w:val="none"/>
                <w:lang w:val="en-US" w:eastAsia="zh-CN"/>
              </w:rPr>
              <w:t>02  前沿技术</w:t>
            </w:r>
          </w:p>
          <w:p w14:paraId="692211A9">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人工智能。</w:t>
            </w:r>
            <w:r>
              <w:rPr>
                <w:rFonts w:hint="eastAsia" w:ascii="仿宋_GB2312" w:hAnsi="仿宋_GB2312" w:eastAsia="仿宋_GB2312" w:cs="仿宋_GB2312"/>
                <w:color w:val="auto"/>
                <w:kern w:val="2"/>
                <w:sz w:val="28"/>
                <w:szCs w:val="28"/>
                <w:lang w:val="en-US" w:eastAsia="zh-CN" w:bidi="ar-SA"/>
              </w:rPr>
              <w:t>智慧城市交通、通讯、地下管网及供应链应用研究，基于人工智能的农业水肥一体化系统、农作物灾害预警预测、道地中药材识别与监测、农产品分选、冷链物流路径优化、农业机器人研发及应用，矿山井下智能感知与预警、智能采矿装备协同控制、矿产资源绿色应用及优化；全域文旅智能导览服务、文旅IP智能创作与传播；面向行业的高质量数据集的管理与标注及大模型应用。</w:t>
            </w:r>
          </w:p>
          <w:p w14:paraId="29959AD0">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ascii="仿宋_GB2312" w:hAnsi="仿宋_GB2312" w:eastAsia="仿宋_GB2312" w:cs="仿宋_GB2312"/>
                <w:b/>
                <w:bCs/>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低空经济。</w:t>
            </w:r>
            <w:r>
              <w:rPr>
                <w:rFonts w:hint="eastAsia" w:ascii="仿宋_GB2312" w:hAnsi="仿宋_GB2312" w:eastAsia="仿宋_GB2312" w:cs="仿宋_GB2312"/>
                <w:color w:val="auto"/>
                <w:kern w:val="2"/>
                <w:sz w:val="28"/>
                <w:szCs w:val="28"/>
                <w:lang w:val="en-US" w:eastAsia="zh-CN" w:bidi="ar-SA"/>
              </w:rPr>
              <w:t>零部件配套、低空运营、维修技术开发；低空主动安全系统、集成智能感知、风险预警、自主避障技术开发；空天地一体化智能通讯与导航网络开发；旋翼无人机实时目标检测、超特高压输电线路锈蚀检测及无人机激光清洗－喷涂一体化系统、大尺度复杂密闭空间智能无人巡检系统研发及应用、“低空+旅游”融合业态创新与特色场景培育及应用。</w:t>
            </w:r>
          </w:p>
        </w:tc>
      </w:tr>
    </w:tbl>
    <w:p w14:paraId="3D6B0DAB">
      <w:pPr>
        <w:pStyle w:val="3"/>
        <w:pageBreakBefore w:val="0"/>
        <w:widowControl w:val="0"/>
        <w:kinsoku/>
        <w:wordWrap/>
        <w:overflowPunct/>
        <w:topLinePunct w:val="0"/>
        <w:autoSpaceDE/>
        <w:autoSpaceDN/>
        <w:bidi w:val="0"/>
        <w:spacing w:before="0" w:beforeLines="0" w:after="0" w:afterLines="0" w:line="600" w:lineRule="exact"/>
        <w:ind w:firstLine="640"/>
        <w:jc w:val="both"/>
        <w:textAlignment w:val="auto"/>
        <w:rPr>
          <w:rFonts w:hint="eastAsia" w:ascii="Times New Roman" w:hAnsi="Times New Roman" w:eastAsia="楷体_GB2312" w:cs="Times New Roman"/>
          <w:b w:val="0"/>
          <w:bCs w:val="0"/>
          <w:color w:val="auto"/>
          <w:sz w:val="32"/>
          <w:szCs w:val="32"/>
          <w:highlight w:val="none"/>
          <w:lang w:val="en-US" w:eastAsia="zh-CN"/>
        </w:rPr>
      </w:pPr>
      <w:r>
        <w:rPr>
          <w:rFonts w:hint="eastAsia" w:ascii="Times New Roman" w:hAnsi="Times New Roman" w:eastAsia="楷体_GB2312" w:cs="Times New Roman"/>
          <w:b w:val="0"/>
          <w:bCs w:val="0"/>
          <w:color w:val="auto"/>
          <w:sz w:val="32"/>
          <w:szCs w:val="32"/>
          <w:highlight w:val="none"/>
          <w:lang w:val="en-US" w:eastAsia="zh-CN"/>
        </w:rPr>
        <w:t>（三）</w:t>
      </w:r>
      <w:r>
        <w:rPr>
          <w:rFonts w:hint="default" w:ascii="Times New Roman" w:hAnsi="Times New Roman" w:eastAsia="楷体_GB2312" w:cs="Times New Roman"/>
          <w:b w:val="0"/>
          <w:bCs w:val="0"/>
          <w:color w:val="auto"/>
          <w:sz w:val="32"/>
          <w:szCs w:val="32"/>
          <w:highlight w:val="none"/>
          <w:lang w:val="en-US" w:eastAsia="zh-CN"/>
        </w:rPr>
        <w:t>加快</w:t>
      </w:r>
      <w:r>
        <w:rPr>
          <w:rFonts w:hint="eastAsia" w:ascii="Times New Roman" w:hAnsi="Times New Roman" w:eastAsia="楷体_GB2312" w:cs="Times New Roman"/>
          <w:b w:val="0"/>
          <w:bCs w:val="0"/>
          <w:color w:val="auto"/>
          <w:sz w:val="32"/>
          <w:szCs w:val="32"/>
          <w:highlight w:val="none"/>
          <w:lang w:val="en-US" w:eastAsia="zh-CN"/>
        </w:rPr>
        <w:t>推进</w:t>
      </w:r>
      <w:r>
        <w:rPr>
          <w:rFonts w:hint="default" w:ascii="Times New Roman" w:hAnsi="Times New Roman" w:eastAsia="楷体_GB2312" w:cs="Times New Roman"/>
          <w:b w:val="0"/>
          <w:bCs w:val="0"/>
          <w:color w:val="auto"/>
          <w:sz w:val="32"/>
          <w:szCs w:val="32"/>
          <w:highlight w:val="none"/>
          <w:lang w:val="en-US" w:eastAsia="zh-CN"/>
        </w:rPr>
        <w:t>创新平台建设</w:t>
      </w:r>
    </w:p>
    <w:p w14:paraId="1374F8A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textAlignment w:val="auto"/>
        <w:outlineLvl w:val="9"/>
        <w:rPr>
          <w:rFonts w:hint="eastAsia" w:ascii="仿宋_GB2312" w:hAnsi="仿宋_GB2312" w:eastAsia="仿宋_GB2312" w:cs="仿宋_GB2312"/>
          <w:strike w:val="0"/>
          <w:color w:val="auto"/>
          <w:kern w:val="2"/>
          <w:sz w:val="32"/>
          <w:szCs w:val="32"/>
          <w:highlight w:val="yellow"/>
          <w:lang w:val="en-US" w:eastAsia="zh-CN" w:bidi="ar-SA"/>
        </w:rPr>
      </w:pPr>
      <w:r>
        <w:rPr>
          <w:rFonts w:hint="eastAsia" w:ascii="仿宋_GB2312" w:hAnsi="仿宋_GB2312" w:eastAsia="仿宋_GB2312" w:cs="仿宋_GB2312"/>
          <w:b/>
          <w:bCs/>
          <w:color w:val="auto"/>
          <w:sz w:val="32"/>
          <w:szCs w:val="32"/>
          <w:lang w:val="en-US" w:eastAsia="zh-CN"/>
        </w:rPr>
        <w:t>加强省级科技创新平台建设。</w:t>
      </w:r>
      <w:r>
        <w:rPr>
          <w:rFonts w:hint="eastAsia" w:ascii="仿宋_GB2312" w:hAnsi="仿宋_GB2312" w:eastAsia="仿宋_GB2312" w:cs="仿宋_GB2312"/>
          <w:color w:val="auto"/>
          <w:kern w:val="2"/>
          <w:sz w:val="32"/>
          <w:szCs w:val="32"/>
          <w:lang w:val="en-US" w:eastAsia="zh-CN" w:bidi="ar-SA"/>
        </w:rPr>
        <w:t>统筹高校、科研院所、科技型企业等科技资源，优化建设科技创新平台体系，增强体系化攻关能力，构建定位清晰、梯次衔接、引领示范的科技创新平台矩阵。争取国家实验室、省实验室、省级大学科技园在黔西南布局基地或网络。争创国家级、省级科技创新平台，推动现有创新平台提档升级。深入推进“科技入黔”，推动科技型企业与省外高校、科研院所开展产学研合作，创建一批产业创新和科技创新融合发展平台。到2030年，新增省级科技创新平台5个</w:t>
      </w:r>
      <w:r>
        <w:rPr>
          <w:rFonts w:hint="eastAsia" w:ascii="仿宋_GB2312" w:hAnsi="仿宋_GB2312" w:eastAsia="仿宋_GB2312" w:cs="仿宋_GB2312"/>
          <w:strike w:val="0"/>
          <w:color w:val="auto"/>
          <w:kern w:val="2"/>
          <w:sz w:val="32"/>
          <w:szCs w:val="32"/>
          <w:highlight w:val="none"/>
          <w:lang w:val="en-US" w:eastAsia="zh-CN" w:bidi="ar-SA"/>
        </w:rPr>
        <w:t>。</w:t>
      </w:r>
    </w:p>
    <w:p w14:paraId="4550996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strike w:val="0"/>
          <w:color w:val="auto"/>
          <w:sz w:val="32"/>
          <w:szCs w:val="32"/>
          <w:lang w:val="en-US" w:eastAsia="zh-CN"/>
        </w:rPr>
        <w:t>培育州级科技创新平台新力量。</w:t>
      </w:r>
      <w:r>
        <w:rPr>
          <w:rFonts w:hint="eastAsia" w:ascii="仿宋_GB2312" w:hAnsi="仿宋_GB2312" w:eastAsia="仿宋_GB2312" w:cs="仿宋_GB2312"/>
          <w:color w:val="auto"/>
          <w:kern w:val="2"/>
          <w:sz w:val="32"/>
          <w:szCs w:val="32"/>
          <w:lang w:val="en-US" w:eastAsia="zh-CN" w:bidi="ar-SA"/>
        </w:rPr>
        <w:t>分类制定州级创新平台建设条件，统筹州内科研力量、产业基础和资源禀赋，聚焦特色优势领域和新兴赛道，布局建设一批专业化、差异化州级科技创新平台。鼓励有条件的县（市、区）、产业园区结合地方产业特色，打造细分领域专业化创新平台，进一步扩大创新平台覆盖面，夯实州级创新支撑基础。到2030年，新增州级科技创新平台12个。</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7BF8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noWrap w:val="0"/>
            <w:vAlign w:val="top"/>
          </w:tcPr>
          <w:p w14:paraId="67C5D231">
            <w:pPr>
              <w:pStyle w:val="14"/>
              <w:keepNext w:val="0"/>
              <w:keepLines w:val="0"/>
              <w:pageBreakBefore w:val="0"/>
              <w:kinsoku/>
              <w:wordWrap/>
              <w:overflowPunct/>
              <w:topLinePunct w:val="0"/>
              <w:autoSpaceDE/>
              <w:autoSpaceDN/>
              <w:bidi w:val="0"/>
              <w:adjustRightInd w:val="0"/>
              <w:snapToGrid w:val="0"/>
              <w:spacing w:line="400" w:lineRule="exact"/>
              <w:ind w:left="0" w:leftChars="0" w:right="12" w:firstLine="0" w:firstLineChars="0"/>
              <w:jc w:val="center"/>
              <w:textAlignment w:val="auto"/>
              <w:rPr>
                <w:rFonts w:hint="eastAsia" w:ascii="方正仿宋_GB2312" w:hAnsi="方正仿宋_GB2312" w:eastAsia="方正仿宋_GB2312" w:cs="方正仿宋_GB2312"/>
                <w:color w:val="auto"/>
                <w:kern w:val="2"/>
                <w:sz w:val="32"/>
                <w:szCs w:val="32"/>
                <w:lang w:val="en-US" w:eastAsia="zh-CN" w:bidi="ar-SA"/>
              </w:rPr>
            </w:pPr>
            <w:r>
              <w:rPr>
                <w:rFonts w:hint="eastAsia" w:ascii="Times New Roman" w:hAnsi="Times New Roman" w:eastAsia="仿宋_GB2312" w:cs="仿宋_GB2312"/>
                <w:b/>
                <w:bCs/>
                <w:i w:val="0"/>
                <w:iCs w:val="0"/>
                <w:color w:val="auto"/>
                <w:kern w:val="0"/>
                <w:sz w:val="28"/>
                <w:szCs w:val="28"/>
                <w:highlight w:val="none"/>
                <w:u w:val="none"/>
                <w:lang w:val="en-US" w:eastAsia="zh-CN" w:bidi="ar"/>
              </w:rPr>
              <w:t>专栏</w:t>
            </w:r>
            <w:r>
              <w:rPr>
                <w:rFonts w:hint="eastAsia" w:ascii="Times New Roman" w:hAnsi="Times New Roman" w:cs="仿宋_GB2312"/>
                <w:b/>
                <w:bCs/>
                <w:i w:val="0"/>
                <w:iCs w:val="0"/>
                <w:color w:val="auto"/>
                <w:kern w:val="0"/>
                <w:sz w:val="28"/>
                <w:szCs w:val="28"/>
                <w:highlight w:val="none"/>
                <w:u w:val="none"/>
                <w:lang w:val="en-US" w:eastAsia="zh-CN" w:bidi="ar"/>
              </w:rPr>
              <w:t>4</w:t>
            </w:r>
            <w:r>
              <w:rPr>
                <w:rFonts w:hint="eastAsia" w:ascii="Times New Roman" w:hAnsi="Times New Roman" w:eastAsia="仿宋_GB2312" w:cs="仿宋_GB2312"/>
                <w:b/>
                <w:bCs/>
                <w:i w:val="0"/>
                <w:iCs w:val="0"/>
                <w:color w:val="auto"/>
                <w:kern w:val="0"/>
                <w:sz w:val="28"/>
                <w:szCs w:val="28"/>
                <w:highlight w:val="none"/>
                <w:u w:val="none"/>
                <w:lang w:val="en-US" w:eastAsia="zh-CN" w:bidi="ar"/>
              </w:rPr>
              <w:t xml:space="preserve"> 科技创新平台建设</w:t>
            </w:r>
          </w:p>
        </w:tc>
      </w:tr>
      <w:tr w14:paraId="79B63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noWrap w:val="0"/>
            <w:vAlign w:val="top"/>
          </w:tcPr>
          <w:p w14:paraId="42574632">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560"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Times New Roman" w:hAnsi="Times New Roman" w:eastAsia="楷体_GB2312" w:cs="楷体_GB2312"/>
                <w:color w:val="auto"/>
                <w:kern w:val="2"/>
                <w:sz w:val="28"/>
                <w:szCs w:val="28"/>
                <w:highlight w:val="none"/>
                <w:lang w:val="en-US" w:eastAsia="zh-CN" w:bidi="ar-SA"/>
              </w:rPr>
              <w:t>加强省级科技创新平台建设。</w:t>
            </w:r>
            <w:r>
              <w:rPr>
                <w:rFonts w:hint="eastAsia" w:ascii="仿宋_GB2312" w:hAnsi="仿宋_GB2312" w:eastAsia="仿宋_GB2312" w:cs="仿宋_GB2312"/>
                <w:color w:val="auto"/>
                <w:kern w:val="2"/>
                <w:sz w:val="28"/>
                <w:szCs w:val="28"/>
                <w:lang w:val="en-US" w:eastAsia="zh-CN" w:bidi="ar-SA"/>
              </w:rPr>
              <w:t>建成贵州省粮油作物优质高效增产重点实验室、新能源电池材料科学家工作站等为重点的科技创新平台，力争在煤炭、电力、黄金、铝、新能源电池及材料等重点产业科技创新平台建设上取得新突破，建成</w:t>
            </w:r>
            <w:r>
              <w:rPr>
                <w:rFonts w:hint="eastAsia" w:ascii="仿宋_GB2312" w:hAnsi="仿宋_GB2312" w:eastAsia="仿宋_GB2312" w:cs="仿宋_GB2312"/>
                <w:strike w:val="0"/>
                <w:color w:val="auto"/>
                <w:kern w:val="2"/>
                <w:sz w:val="28"/>
                <w:szCs w:val="28"/>
                <w:lang w:val="en-US" w:eastAsia="zh-CN" w:bidi="ar-SA"/>
              </w:rPr>
              <w:t>锌铟锗多金属战略资源绿色短流程冶金贵州省科技创新领军人才工作站</w:t>
            </w:r>
            <w:r>
              <w:rPr>
                <w:rFonts w:hint="eastAsia" w:ascii="仿宋_GB2312" w:hAnsi="仿宋_GB2312" w:eastAsia="仿宋_GB2312" w:cs="仿宋_GB2312"/>
                <w:color w:val="auto"/>
                <w:kern w:val="2"/>
                <w:sz w:val="28"/>
                <w:szCs w:val="28"/>
                <w:lang w:val="en-US" w:eastAsia="zh-CN" w:bidi="ar-SA"/>
              </w:rPr>
              <w:t>、黔西南州微纳光电器件与信息处理重点实验室等一批重点创新平台。</w:t>
            </w:r>
          </w:p>
          <w:p w14:paraId="124DD882">
            <w:pPr>
              <w:rPr>
                <w:rFonts w:hint="eastAsia"/>
                <w:color w:val="auto"/>
                <w:lang w:val="en-US" w:eastAsia="zh-CN"/>
              </w:rPr>
            </w:pPr>
            <w:r>
              <w:rPr>
                <w:rFonts w:hint="eastAsia" w:ascii="Times New Roman" w:hAnsi="Times New Roman" w:eastAsia="楷体_GB2312" w:cs="楷体_GB2312"/>
                <w:color w:val="auto"/>
                <w:kern w:val="2"/>
                <w:sz w:val="28"/>
                <w:szCs w:val="28"/>
                <w:highlight w:val="none"/>
                <w:lang w:val="en-US" w:eastAsia="zh-CN" w:bidi="ar-SA"/>
              </w:rPr>
              <w:t>布局建设州级科技创新平台。</w:t>
            </w:r>
            <w:r>
              <w:rPr>
                <w:rFonts w:hint="eastAsia" w:ascii="仿宋_GB2312" w:hAnsi="仿宋_GB2312" w:eastAsia="仿宋_GB2312" w:cs="仿宋_GB2312"/>
                <w:color w:val="auto"/>
                <w:kern w:val="2"/>
                <w:sz w:val="28"/>
                <w:szCs w:val="28"/>
                <w:lang w:val="en-US" w:eastAsia="zh-CN" w:bidi="ar-SA"/>
              </w:rPr>
              <w:t>围绕萤石及伴生矿、煤炭及煤层气开发、农业良种选育、废旧电池回收利用、特色生物种质资源开发利用等产业链布局创新链，培育一批州级科技创新平台。</w:t>
            </w:r>
          </w:p>
        </w:tc>
      </w:tr>
    </w:tbl>
    <w:p w14:paraId="026FF570">
      <w:pPr>
        <w:pStyle w:val="2"/>
        <w:pageBreakBefore w:val="0"/>
        <w:widowControl w:val="0"/>
        <w:kinsoku/>
        <w:wordWrap/>
        <w:overflowPunct/>
        <w:topLinePunct w:val="0"/>
        <w:autoSpaceDE/>
        <w:autoSpaceDN/>
        <w:bidi w:val="0"/>
        <w:adjustRightInd/>
        <w:snapToGrid/>
        <w:spacing w:before="0" w:beforeLines="0" w:after="0" w:afterLines="0" w:line="600" w:lineRule="exact"/>
        <w:ind w:firstLine="640" w:firstLineChars="200"/>
        <w:jc w:val="both"/>
        <w:textAlignment w:val="auto"/>
        <w:rPr>
          <w:rFonts w:hint="eastAsia" w:ascii="Times New Roman" w:hAnsi="Times New Roman" w:eastAsia="黑体" w:cs="Times New Roman"/>
          <w:color w:val="auto"/>
          <w:szCs w:val="24"/>
          <w:highlight w:val="none"/>
          <w:lang w:val="en-US" w:eastAsia="zh-CN"/>
        </w:rPr>
      </w:pPr>
      <w:r>
        <w:rPr>
          <w:rFonts w:hint="eastAsia" w:ascii="Times New Roman" w:hAnsi="Times New Roman" w:eastAsia="黑体" w:cs="Times New Roman"/>
          <w:color w:val="auto"/>
          <w:szCs w:val="24"/>
          <w:highlight w:val="none"/>
          <w:lang w:val="en-US" w:eastAsia="zh-CN"/>
        </w:rPr>
        <w:t>三、重大举措</w:t>
      </w:r>
    </w:p>
    <w:p w14:paraId="2D7F9BD2">
      <w:pPr>
        <w:spacing w:line="600" w:lineRule="exact"/>
        <w:ind w:firstLine="640" w:firstLineChars="200"/>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加强科技创新多元化投入，</w:t>
      </w:r>
      <w:r>
        <w:rPr>
          <w:rFonts w:hint="eastAsia" w:ascii="Times New Roman" w:hAnsi="Times New Roman" w:eastAsia="仿宋_GB2312" w:cs="Times New Roman"/>
          <w:color w:val="auto"/>
          <w:kern w:val="2"/>
          <w:sz w:val="32"/>
          <w:szCs w:val="32"/>
          <w:highlight w:val="none"/>
          <w:lang w:val="en-US" w:eastAsia="zh-CN" w:bidi="ar-SA"/>
        </w:rPr>
        <w:t>完善科技创新体制机制，强化企业科技创新主体地位，一体推进教育科技人才发展，营造良好的科技创新生态，</w:t>
      </w:r>
      <w:r>
        <w:rPr>
          <w:rFonts w:hint="eastAsia" w:ascii="Times New Roman" w:hAnsi="Times New Roman" w:eastAsia="仿宋_GB2312" w:cs="Times New Roman"/>
          <w:strike w:val="0"/>
          <w:color w:val="auto"/>
          <w:kern w:val="2"/>
          <w:sz w:val="32"/>
          <w:szCs w:val="32"/>
          <w:highlight w:val="none"/>
          <w:lang w:val="en-US" w:eastAsia="zh-CN" w:bidi="ar-SA"/>
        </w:rPr>
        <w:t>构建</w:t>
      </w:r>
      <w:r>
        <w:rPr>
          <w:rFonts w:hint="default" w:ascii="Times New Roman" w:hAnsi="Times New Roman" w:eastAsia="仿宋_GB2312" w:cs="Times New Roman"/>
          <w:color w:val="auto"/>
          <w:kern w:val="2"/>
          <w:sz w:val="32"/>
          <w:szCs w:val="32"/>
          <w:highlight w:val="none"/>
          <w:lang w:val="en-US" w:eastAsia="zh-CN" w:bidi="ar-SA"/>
        </w:rPr>
        <w:t>高效、协同、开放的创新体系</w:t>
      </w:r>
      <w:r>
        <w:rPr>
          <w:rFonts w:hint="eastAsia" w:ascii="Times New Roman" w:hAnsi="Times New Roman" w:eastAsia="仿宋_GB2312" w:cs="Times New Roman"/>
          <w:color w:val="auto"/>
          <w:kern w:val="2"/>
          <w:sz w:val="32"/>
          <w:szCs w:val="32"/>
          <w:highlight w:val="none"/>
          <w:lang w:val="en-US" w:eastAsia="zh-CN" w:bidi="ar-SA"/>
        </w:rPr>
        <w:t>，为持续推进创新型黔西南建设提供投入、政策环境等方面的有力保障。</w:t>
      </w:r>
    </w:p>
    <w:p w14:paraId="4198F426">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640" w:firstLineChars="200"/>
        <w:textAlignment w:val="auto"/>
        <w:rPr>
          <w:rFonts w:hint="eastAsia" w:ascii="Times New Roman" w:hAnsi="Times New Roman" w:eastAsia="楷体_GB2312" w:cs="Times New Roman"/>
          <w:b w:val="0"/>
          <w:bCs w:val="0"/>
          <w:color w:val="auto"/>
          <w:kern w:val="2"/>
          <w:sz w:val="32"/>
          <w:szCs w:val="32"/>
          <w:highlight w:val="yellow"/>
          <w:lang w:val="en-US" w:eastAsia="zh-CN" w:bidi="ar-SA"/>
        </w:rPr>
      </w:pPr>
      <w:bookmarkStart w:id="7" w:name="_Toc10795"/>
      <w:r>
        <w:rPr>
          <w:rFonts w:hint="eastAsia" w:ascii="Times New Roman" w:hAnsi="Times New Roman" w:eastAsia="楷体_GB2312" w:cs="Times New Roman"/>
          <w:b w:val="0"/>
          <w:bCs w:val="0"/>
          <w:color w:val="auto"/>
          <w:szCs w:val="32"/>
          <w:highlight w:val="none"/>
          <w:lang w:val="en-US" w:eastAsia="zh-CN"/>
        </w:rPr>
        <w:t>（一）</w:t>
      </w:r>
      <w:r>
        <w:rPr>
          <w:rFonts w:hint="eastAsia" w:ascii="Times New Roman" w:hAnsi="Times New Roman" w:eastAsia="楷体_GB2312" w:cs="Times New Roman"/>
          <w:b w:val="0"/>
          <w:bCs w:val="0"/>
          <w:color w:val="auto"/>
          <w:kern w:val="2"/>
          <w:sz w:val="32"/>
          <w:szCs w:val="32"/>
          <w:highlight w:val="none"/>
          <w:lang w:val="en-US" w:eastAsia="zh-CN" w:bidi="ar-SA"/>
        </w:rPr>
        <w:t>加强科技创新多元化投入</w:t>
      </w:r>
    </w:p>
    <w:p w14:paraId="4C4BD95A">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643"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发挥财政科技资金作用</w:t>
      </w:r>
      <w:r>
        <w:rPr>
          <w:rFonts w:hint="eastAsia" w:ascii="仿宋_GB2312" w:hAnsi="仿宋_GB2312" w:eastAsia="仿宋_GB2312" w:cs="仿宋_GB2312"/>
          <w:color w:val="auto"/>
          <w:sz w:val="32"/>
          <w:szCs w:val="32"/>
          <w:lang w:eastAsia="zh-CN"/>
        </w:rPr>
        <w:t>。建立健全财政科技资金投入稳定增长机制，</w:t>
      </w:r>
      <w:r>
        <w:rPr>
          <w:rFonts w:hint="eastAsia" w:ascii="仿宋_GB2312" w:hAnsi="仿宋_GB2312" w:eastAsia="仿宋_GB2312" w:cs="仿宋_GB2312"/>
          <w:strike w:val="0"/>
          <w:color w:val="auto"/>
          <w:sz w:val="32"/>
          <w:szCs w:val="32"/>
          <w:lang w:eastAsia="zh-CN"/>
        </w:rPr>
        <w:t>完善政府性科研经费投入、管理和使用机制，</w:t>
      </w:r>
      <w:r>
        <w:rPr>
          <w:rFonts w:hint="eastAsia" w:ascii="仿宋_GB2312" w:hAnsi="仿宋_GB2312" w:eastAsia="仿宋_GB2312" w:cs="仿宋_GB2312"/>
          <w:color w:val="auto"/>
          <w:sz w:val="32"/>
          <w:szCs w:val="32"/>
          <w:lang w:eastAsia="zh-CN"/>
        </w:rPr>
        <w:t>提升财政科技资金投入中用于研发活动的比重，州级科技创新发展专项资金80％以上投入到三个产业集群、四个重点轻工产业等领域。</w:t>
      </w:r>
      <w:r>
        <w:rPr>
          <w:rFonts w:hint="eastAsia" w:ascii="Times New Roman" w:hAnsi="Times New Roman" w:eastAsia="仿宋_GB2312" w:cs="Times New Roman"/>
          <w:b w:val="0"/>
          <w:bCs w:val="0"/>
          <w:color w:val="auto"/>
          <w:kern w:val="2"/>
          <w:sz w:val="32"/>
          <w:szCs w:val="32"/>
          <w:highlight w:val="none"/>
          <w:lang w:val="en-US" w:eastAsia="zh-CN" w:bidi="ar-SA"/>
        </w:rPr>
        <w:t>落实企业研发费用税前加计扣除、高新技术企业所得税优惠等政策，</w:t>
      </w:r>
      <w:r>
        <w:rPr>
          <w:rFonts w:hint="default" w:ascii="Times New Roman" w:hAnsi="Times New Roman" w:eastAsia="仿宋_GB2312" w:cs="Times New Roman"/>
          <w:color w:val="auto"/>
          <w:kern w:val="2"/>
          <w:sz w:val="32"/>
          <w:szCs w:val="32"/>
          <w:highlight w:val="none"/>
          <w:lang w:val="en-US" w:eastAsia="zh-CN" w:bidi="ar-SA"/>
        </w:rPr>
        <w:t>引导企业建立研发准备金</w:t>
      </w:r>
      <w:r>
        <w:rPr>
          <w:rFonts w:hint="eastAsia" w:ascii="Times New Roman" w:hAnsi="Times New Roman" w:eastAsia="仿宋_GB2312" w:cs="Times New Roman"/>
          <w:color w:val="auto"/>
          <w:kern w:val="2"/>
          <w:sz w:val="32"/>
          <w:szCs w:val="32"/>
          <w:highlight w:val="none"/>
          <w:lang w:val="en-US" w:eastAsia="zh-CN" w:bidi="ar-SA"/>
        </w:rPr>
        <w:t>。</w:t>
      </w:r>
      <w:r>
        <w:rPr>
          <w:rFonts w:hint="eastAsia" w:ascii="仿宋_GB2312" w:hAnsi="仿宋_GB2312" w:eastAsia="仿宋_GB2312" w:cs="仿宋_GB2312"/>
          <w:color w:val="auto"/>
          <w:sz w:val="32"/>
          <w:szCs w:val="32"/>
          <w:lang w:eastAsia="zh-CN"/>
        </w:rPr>
        <w:t>支持主导产业重点企业实施科技研发项目，发挥国有企业在研发投入中的重要作用，强化高校、科研院所科技投入力度。“十五五”期间，全社会研发经费支出年均增长15％以上。</w:t>
      </w:r>
    </w:p>
    <w:p w14:paraId="2BD9F6EA">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643"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建立完善科技金融体系</w:t>
      </w:r>
      <w:r>
        <w:rPr>
          <w:rFonts w:hint="eastAsia" w:ascii="仿宋_GB2312" w:hAnsi="仿宋_GB2312" w:eastAsia="仿宋_GB2312" w:cs="仿宋_GB2312"/>
          <w:color w:val="auto"/>
          <w:sz w:val="32"/>
          <w:szCs w:val="32"/>
          <w:lang w:eastAsia="zh-CN"/>
        </w:rPr>
        <w:t>。围绕“投早、投小、投长期、投硬科技”，集中优势资源在关键点发力，多渠道增加科技投入。引导金融机构</w:t>
      </w:r>
      <w:r>
        <w:rPr>
          <w:rFonts w:hint="eastAsia" w:ascii="仿宋_GB2312" w:hAnsi="仿宋_GB2312" w:eastAsia="仿宋_GB2312" w:cs="仿宋_GB2312"/>
          <w:strike w:val="0"/>
          <w:color w:val="auto"/>
          <w:sz w:val="32"/>
          <w:szCs w:val="32"/>
          <w:lang w:eastAsia="zh-CN"/>
        </w:rPr>
        <w:t>开发“科技贷”“专利贷”等特色产品，</w:t>
      </w:r>
      <w:r>
        <w:rPr>
          <w:rFonts w:hint="eastAsia" w:ascii="仿宋_GB2312" w:hAnsi="仿宋_GB2312" w:eastAsia="仿宋_GB2312" w:cs="仿宋_GB2312"/>
          <w:color w:val="auto"/>
          <w:sz w:val="32"/>
          <w:szCs w:val="32"/>
          <w:lang w:eastAsia="zh-CN"/>
        </w:rPr>
        <w:t>加大对高新技术企业、科技型中小企业科技信贷支持力度，探索发展知识产权质押融资产品，</w:t>
      </w:r>
      <w:r>
        <w:rPr>
          <w:rFonts w:hint="eastAsia" w:ascii="仿宋_GB2312" w:hAnsi="仿宋_GB2312" w:eastAsia="仿宋_GB2312" w:cs="仿宋_GB2312"/>
          <w:strike w:val="0"/>
          <w:color w:val="auto"/>
          <w:sz w:val="32"/>
          <w:szCs w:val="32"/>
          <w:lang w:eastAsia="zh-CN"/>
        </w:rPr>
        <w:t>支持符合条件的企业发行科技创新债券</w:t>
      </w:r>
      <w:r>
        <w:rPr>
          <w:rFonts w:hint="eastAsia" w:ascii="仿宋_GB2312" w:hAnsi="仿宋_GB2312" w:eastAsia="仿宋_GB2312" w:cs="仿宋_GB2312"/>
          <w:color w:val="auto"/>
          <w:sz w:val="32"/>
          <w:szCs w:val="32"/>
          <w:lang w:eastAsia="zh-CN"/>
        </w:rPr>
        <w:t>。用好省级科技创新天使基金、创业投资基金、黔羚基金，引导股权投资、创业投资机构加大对处于成果转化种子期、初创期科技型企业的投资力度。</w:t>
      </w:r>
    </w:p>
    <w:p w14:paraId="18E6CC93">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640" w:firstLineChars="200"/>
        <w:textAlignment w:val="auto"/>
        <w:rPr>
          <w:rFonts w:hint="default" w:ascii="Times New Roman" w:hAnsi="Times New Roman" w:eastAsia="楷体_GB2312" w:cs="Times New Roman"/>
          <w:b w:val="0"/>
          <w:bCs w:val="0"/>
          <w:color w:val="auto"/>
          <w:szCs w:val="32"/>
          <w:highlight w:val="none"/>
          <w:lang w:val="en-US" w:eastAsia="zh-CN"/>
        </w:rPr>
      </w:pPr>
      <w:r>
        <w:rPr>
          <w:rFonts w:hint="eastAsia" w:ascii="Times New Roman" w:hAnsi="Times New Roman" w:eastAsia="楷体_GB2312" w:cs="Times New Roman"/>
          <w:b w:val="0"/>
          <w:bCs w:val="0"/>
          <w:color w:val="auto"/>
          <w:szCs w:val="32"/>
          <w:highlight w:val="none"/>
          <w:lang w:val="en-US" w:eastAsia="zh-CN"/>
        </w:rPr>
        <w:t>（二）完善科技创新体制机制</w:t>
      </w:r>
    </w:p>
    <w:p w14:paraId="13061585">
      <w:pPr>
        <w:rPr>
          <w:rFonts w:hint="eastAsia" w:ascii="仿宋_GB2312" w:hAnsi="仿宋_GB2312" w:eastAsia="仿宋_GB2312" w:cs="仿宋_GB2312"/>
          <w:color w:val="auto"/>
          <w:sz w:val="32"/>
          <w:szCs w:val="32"/>
        </w:rPr>
      </w:pPr>
      <w:r>
        <w:rPr>
          <w:rFonts w:hint="eastAsia" w:ascii="Times New Roman" w:hAnsi="Times New Roman" w:eastAsia="仿宋_GB2312" w:cs="Times New Roman"/>
          <w:b/>
          <w:bCs/>
          <w:color w:val="auto"/>
          <w:kern w:val="2"/>
          <w:sz w:val="32"/>
          <w:szCs w:val="32"/>
          <w:highlight w:val="none"/>
          <w:lang w:val="en-US" w:eastAsia="zh-CN" w:bidi="ar-SA"/>
        </w:rPr>
        <w:t>推进科技项目改革。</w:t>
      </w:r>
      <w:r>
        <w:rPr>
          <w:rFonts w:hint="eastAsia" w:ascii="仿宋_GB2312" w:hAnsi="仿宋_GB2312" w:eastAsia="仿宋_GB2312" w:cs="仿宋_GB2312"/>
          <w:color w:val="auto"/>
          <w:sz w:val="32"/>
          <w:szCs w:val="32"/>
        </w:rPr>
        <w:t>优化技术攻关组织模式与运行机制，强化有组织的科研，深化“企业出题、政府立题、协同破题”的科研机制，推动科技计划管理由“分散投入”转向“聚焦重点”，围绕主导产业实施“揭榜挂帅”项目，推动产业需求与科技能力清单双向匹配。健全重大科技决策咨询制度，完善</w:t>
      </w:r>
      <w:r>
        <w:rPr>
          <w:rFonts w:hint="eastAsia" w:ascii="仿宋_GB2312" w:hAnsi="仿宋_GB2312" w:eastAsia="仿宋_GB2312" w:cs="仿宋_GB2312"/>
          <w:color w:val="auto"/>
          <w:sz w:val="32"/>
          <w:szCs w:val="32"/>
          <w:lang w:val="en-US" w:eastAsia="zh-CN"/>
        </w:rPr>
        <w:t>州级</w:t>
      </w:r>
      <w:r>
        <w:rPr>
          <w:rFonts w:hint="eastAsia" w:ascii="仿宋_GB2312" w:hAnsi="仿宋_GB2312" w:eastAsia="仿宋_GB2312" w:cs="仿宋_GB2312"/>
          <w:color w:val="auto"/>
          <w:sz w:val="32"/>
          <w:szCs w:val="32"/>
        </w:rPr>
        <w:t>财政科技项目和资金管理办法。持续优化</w:t>
      </w:r>
      <w:r>
        <w:rPr>
          <w:rFonts w:hint="eastAsia" w:ascii="仿宋_GB2312" w:hAnsi="仿宋_GB2312" w:eastAsia="仿宋_GB2312" w:cs="仿宋_GB2312"/>
          <w:color w:val="auto"/>
          <w:sz w:val="32"/>
          <w:szCs w:val="32"/>
          <w:lang w:val="en-US" w:eastAsia="zh-CN"/>
        </w:rPr>
        <w:t>州级</w:t>
      </w:r>
      <w:r>
        <w:rPr>
          <w:rFonts w:hint="eastAsia" w:ascii="仿宋_GB2312" w:hAnsi="仿宋_GB2312" w:eastAsia="仿宋_GB2312" w:cs="仿宋_GB2312"/>
          <w:color w:val="auto"/>
          <w:sz w:val="32"/>
          <w:szCs w:val="32"/>
        </w:rPr>
        <w:t>科技项目评审方式。</w:t>
      </w:r>
    </w:p>
    <w:p w14:paraId="0457410F">
      <w:pPr>
        <w:rPr>
          <w:color w:val="auto"/>
          <w:sz w:val="31"/>
        </w:rPr>
      </w:pPr>
      <w:r>
        <w:rPr>
          <w:rFonts w:hint="eastAsia" w:ascii="仿宋_GB2312" w:hAnsi="仿宋_GB2312" w:eastAsia="仿宋_GB2312" w:cs="仿宋_GB2312"/>
          <w:b/>
          <w:bCs/>
          <w:strike w:val="0"/>
          <w:color w:val="auto"/>
          <w:sz w:val="32"/>
          <w:szCs w:val="32"/>
          <w:lang w:val="en-US" w:eastAsia="zh-CN"/>
        </w:rPr>
        <w:t>深化高校院所改革</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深入推动赋予科研人员职务科技成果所有权或长期使用权赋权改革成果落地，在基础研究和涉农科技领域推行科研经费“包干制”。</w:t>
      </w:r>
      <w:r>
        <w:rPr>
          <w:rFonts w:hint="eastAsia" w:ascii="仿宋_GB2312" w:hAnsi="仿宋_GB2312" w:eastAsia="仿宋_GB2312" w:cs="仿宋_GB2312"/>
          <w:b w:val="0"/>
          <w:bCs w:val="0"/>
          <w:strike w:val="0"/>
          <w:color w:val="auto"/>
          <w:sz w:val="32"/>
          <w:szCs w:val="32"/>
        </w:rPr>
        <w:t>推进科研院所体制机制创新</w:t>
      </w:r>
      <w:r>
        <w:rPr>
          <w:rFonts w:hint="eastAsia" w:ascii="仿宋_GB2312" w:hAnsi="仿宋_GB2312" w:eastAsia="仿宋_GB2312" w:cs="仿宋_GB2312"/>
          <w:b w:val="0"/>
          <w:bCs w:val="0"/>
          <w:strike w:val="0"/>
          <w:color w:val="auto"/>
          <w:sz w:val="32"/>
          <w:szCs w:val="32"/>
          <w:lang w:eastAsia="zh-CN"/>
        </w:rPr>
        <w:t>，</w:t>
      </w:r>
      <w:r>
        <w:rPr>
          <w:rFonts w:hint="eastAsia" w:ascii="仿宋_GB2312" w:hAnsi="仿宋_GB2312" w:eastAsia="仿宋_GB2312" w:cs="仿宋_GB2312"/>
          <w:strike w:val="0"/>
          <w:color w:val="auto"/>
          <w:sz w:val="32"/>
          <w:szCs w:val="32"/>
        </w:rPr>
        <w:t>推动科研事业单位改革探索实行企业化管理，允许科研类事业单位实行比一般事业单位更灵活的管理制度，赋予科研人员更大技术路线决策权、经费支配权和资源调度权。改进科技人才评价体系</w:t>
      </w:r>
      <w:r>
        <w:rPr>
          <w:rFonts w:hint="eastAsia" w:ascii="仿宋_GB2312" w:hAnsi="仿宋_GB2312" w:eastAsia="仿宋_GB2312" w:cs="仿宋_GB2312"/>
          <w:strike w:val="0"/>
          <w:color w:val="auto"/>
          <w:sz w:val="32"/>
          <w:szCs w:val="32"/>
          <w:lang w:eastAsia="zh-CN"/>
        </w:rPr>
        <w:t>，</w:t>
      </w:r>
      <w:r>
        <w:rPr>
          <w:rFonts w:hint="eastAsia" w:ascii="仿宋_GB2312" w:hAnsi="仿宋_GB2312" w:eastAsia="仿宋_GB2312" w:cs="仿宋_GB2312"/>
          <w:strike w:val="0"/>
          <w:color w:val="auto"/>
          <w:sz w:val="32"/>
          <w:szCs w:val="32"/>
        </w:rPr>
        <w:t>建立拔尖人才、优秀人才培育资助体系和长周期稳定支持体系。</w:t>
      </w:r>
      <w:r>
        <w:rPr>
          <w:color w:val="auto"/>
        </w:rPr>
        <mc:AlternateContent>
          <mc:Choice Requires="wps">
            <w:drawing>
              <wp:anchor distT="0" distB="0" distL="114300" distR="114300" simplePos="0" relativeHeight="251659264" behindDoc="0" locked="0" layoutInCell="1" allowOverlap="1">
                <wp:simplePos x="0" y="0"/>
                <wp:positionH relativeFrom="page">
                  <wp:posOffset>1485900</wp:posOffset>
                </wp:positionH>
                <wp:positionV relativeFrom="page">
                  <wp:posOffset>8293100</wp:posOffset>
                </wp:positionV>
                <wp:extent cx="228600" cy="76200"/>
                <wp:effectExtent l="0" t="0" r="0" b="0"/>
                <wp:wrapNone/>
                <wp:docPr id="4" name="文本框 2"/>
                <wp:cNvGraphicFramePr/>
                <a:graphic xmlns:a="http://schemas.openxmlformats.org/drawingml/2006/main">
                  <a:graphicData uri="http://schemas.microsoft.com/office/word/2010/wordprocessingShape">
                    <wps:wsp>
                      <wps:cNvSpPr txBox="1"/>
                      <wps:spPr>
                        <a:xfrm>
                          <a:off x="1601470" y="2139315"/>
                          <a:ext cx="2132965" cy="33762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8D044C">
                            <w:pPr>
                              <w:autoSpaceDE w:val="0"/>
                              <w:autoSpaceDN w:val="0"/>
                              <w:spacing w:before="0" w:after="0" w:line="124" w:lineRule="exact"/>
                              <w:ind w:firstLine="0"/>
                              <w:jc w:val="both"/>
                              <w:rPr>
                                <w:sz w:val="12"/>
                              </w:rPr>
                            </w:pPr>
                            <w:r>
                              <w:rPr>
                                <w:rFonts w:hint="eastAsia" w:ascii="Calibri" w:hAnsi="Calibri" w:eastAsia="Calibri"/>
                                <w:color w:val="000000"/>
                                <w:sz w:val="12"/>
                              </w:rPr>
                              <w:t>c0</w:t>
                            </w:r>
                          </w:p>
                        </w:txbxContent>
                      </wps:txbx>
                      <wps:bodyPr wrap="square" lIns="25400" tIns="0" rIns="25400" bIns="0">
                        <a:noAutofit/>
                      </wps:bodyPr>
                    </wps:wsp>
                  </a:graphicData>
                </a:graphic>
              </wp:anchor>
            </w:drawing>
          </mc:Choice>
          <mc:Fallback>
            <w:pict>
              <v:shape id="文本框 2" o:spid="_x0000_s1026" o:spt="202" type="#_x0000_t202" style="position:absolute;left:0pt;margin-left:117pt;margin-top:653pt;height:6pt;width:18pt;mso-position-horizontal-relative:page;mso-position-vertical-relative:page;z-index:251659264;mso-width-relative:page;mso-height-relative:page;" filled="f" stroked="f" coordsize="21600,21600" o:gfxdata="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KaxirZAAAA&#10;DQEAAA8AAAAAAAAAAQAgAAAAIgAAAGRycy9kb3ducmV2LnhtbFBLAQIUABQAAAAIAIdO4kDQV5bx&#10;4wEAAKwDAAAOAAAAAAAAAAEAIAAAACgBAABkcnMvZTJvRG9jLnhtbFBLBQYAAAAABgAGAFkBAAB9&#10;BQAAAAA=&#10;">
                <v:fill on="f" focussize="0,0"/>
                <v:stroke on="f" weight="0.5pt"/>
                <v:imagedata o:title=""/>
                <o:lock v:ext="edit" aspectratio="f"/>
                <v:textbox inset="2pt,0mm,2pt,0mm">
                  <w:txbxContent>
                    <w:p w14:paraId="238D044C">
                      <w:pPr>
                        <w:autoSpaceDE w:val="0"/>
                        <w:autoSpaceDN w:val="0"/>
                        <w:spacing w:before="0" w:after="0" w:line="124" w:lineRule="exact"/>
                        <w:ind w:firstLine="0"/>
                        <w:jc w:val="both"/>
                        <w:rPr>
                          <w:sz w:val="12"/>
                        </w:rPr>
                      </w:pPr>
                      <w:r>
                        <w:rPr>
                          <w:rFonts w:hint="eastAsia" w:ascii="Calibri" w:hAnsi="Calibri" w:eastAsia="Calibri"/>
                          <w:color w:val="000000"/>
                          <w:sz w:val="12"/>
                        </w:rPr>
                        <w:t>c0</w:t>
                      </w:r>
                    </w:p>
                  </w:txbxContent>
                </v:textbox>
              </v:shape>
            </w:pict>
          </mc:Fallback>
        </mc:AlternateContent>
      </w:r>
    </w:p>
    <w:p w14:paraId="53F5FF32">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640" w:firstLineChars="200"/>
        <w:textAlignment w:val="auto"/>
        <w:rPr>
          <w:rFonts w:hint="eastAsia" w:ascii="Times New Roman" w:hAnsi="Times New Roman" w:eastAsia="楷体_GB2312" w:cs="Times New Roman"/>
          <w:b w:val="0"/>
          <w:bCs w:val="0"/>
          <w:color w:val="auto"/>
          <w:szCs w:val="32"/>
          <w:highlight w:val="none"/>
          <w:lang w:val="en-US" w:eastAsia="zh-CN"/>
        </w:rPr>
      </w:pPr>
      <w:r>
        <w:rPr>
          <w:rFonts w:hint="eastAsia" w:ascii="Times New Roman" w:hAnsi="Times New Roman" w:eastAsia="楷体_GB2312" w:cs="Times New Roman"/>
          <w:b w:val="0"/>
          <w:bCs w:val="0"/>
          <w:color w:val="auto"/>
          <w:szCs w:val="32"/>
          <w:highlight w:val="none"/>
          <w:lang w:val="en-US" w:eastAsia="zh-CN"/>
        </w:rPr>
        <w:fldChar w:fldCharType="begin"/>
      </w:r>
      <w:r>
        <w:rPr>
          <w:rFonts w:hint="eastAsia" w:ascii="Times New Roman" w:hAnsi="Times New Roman" w:eastAsia="楷体_GB2312" w:cs="Times New Roman"/>
          <w:b w:val="0"/>
          <w:bCs w:val="0"/>
          <w:color w:val="auto"/>
          <w:szCs w:val="32"/>
          <w:highlight w:val="none"/>
          <w:lang w:val="en-US" w:eastAsia="zh-CN"/>
        </w:rPr>
        <w:instrText xml:space="preserve"> HYPERLINK \l _Toc10795 </w:instrText>
      </w:r>
      <w:r>
        <w:rPr>
          <w:rFonts w:hint="eastAsia" w:ascii="Times New Roman" w:hAnsi="Times New Roman" w:eastAsia="楷体_GB2312" w:cs="Times New Roman"/>
          <w:b w:val="0"/>
          <w:bCs w:val="0"/>
          <w:color w:val="auto"/>
          <w:szCs w:val="32"/>
          <w:highlight w:val="none"/>
          <w:lang w:val="en-US" w:eastAsia="zh-CN"/>
        </w:rPr>
        <w:fldChar w:fldCharType="separate"/>
      </w:r>
      <w:r>
        <w:rPr>
          <w:rFonts w:hint="eastAsia" w:ascii="Times New Roman" w:hAnsi="Times New Roman" w:eastAsia="楷体_GB2312" w:cs="Times New Roman"/>
          <w:b w:val="0"/>
          <w:bCs w:val="0"/>
          <w:color w:val="auto"/>
          <w:szCs w:val="32"/>
          <w:highlight w:val="none"/>
          <w:lang w:val="en-US" w:eastAsia="zh-CN"/>
        </w:rPr>
        <w:t>（三）强化企业科技创新主体地位</w:t>
      </w:r>
      <w:r>
        <w:rPr>
          <w:rFonts w:hint="eastAsia" w:ascii="Times New Roman" w:hAnsi="Times New Roman" w:eastAsia="楷体_GB2312" w:cs="Times New Roman"/>
          <w:b w:val="0"/>
          <w:bCs w:val="0"/>
          <w:color w:val="auto"/>
          <w:szCs w:val="32"/>
          <w:highlight w:val="none"/>
          <w:lang w:val="en-US" w:eastAsia="zh-CN"/>
        </w:rPr>
        <w:fldChar w:fldCharType="end"/>
      </w:r>
    </w:p>
    <w:p w14:paraId="49F8B7A6">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643"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推进科技创新主体培育</w:t>
      </w:r>
      <w:r>
        <w:rPr>
          <w:rFonts w:hint="eastAsia" w:ascii="仿宋_GB2312" w:hAnsi="仿宋_GB2312" w:eastAsia="仿宋_GB2312" w:cs="仿宋_GB2312"/>
          <w:color w:val="auto"/>
          <w:kern w:val="2"/>
          <w:sz w:val="32"/>
          <w:szCs w:val="32"/>
          <w:lang w:val="en-US" w:eastAsia="zh-CN" w:bidi="ar-SA"/>
        </w:rPr>
        <w:t>。提高企业在重大科技创新决策中的参与度，州级产业类科技计划项目80%以上由产业链优强企业牵头承担，促进项目、平台、资金等创新资源向企业集聚。实施科技型企业梯次培育计划，持续培育壮大高新技术企业和科技型中小企业。落实企业研发费用加计扣除政策，统筹运用专项资金补助、科技项目支持等多种方式支持企业创新。到2030年，规模以上高新技术企业达40家，科技型中小企业达80家以上。</w:t>
      </w:r>
    </w:p>
    <w:p w14:paraId="6F34ABDD">
      <w:pPr>
        <w:pStyle w:val="6"/>
        <w:keepNext w:val="0"/>
        <w:keepLines w:val="0"/>
        <w:pageBreakBefore w:val="0"/>
        <w:widowControl w:val="0"/>
        <w:numPr>
          <w:ilvl w:val="0"/>
          <w:numId w:val="0"/>
        </w:numPr>
        <w:kinsoku/>
        <w:wordWrap/>
        <w:overflowPunct/>
        <w:topLinePunct w:val="0"/>
        <w:autoSpaceDE/>
        <w:autoSpaceDN/>
        <w:bidi w:val="0"/>
        <w:adjustRightInd w:val="0"/>
        <w:snapToGrid w:val="0"/>
        <w:ind w:firstLine="643"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加强企业主导的产学研融通创新</w:t>
      </w:r>
      <w:r>
        <w:rPr>
          <w:rFonts w:hint="eastAsia" w:ascii="仿宋_GB2312" w:hAnsi="仿宋_GB2312" w:eastAsia="仿宋_GB2312" w:cs="仿宋_GB2312"/>
          <w:color w:val="auto"/>
          <w:kern w:val="2"/>
          <w:sz w:val="32"/>
          <w:szCs w:val="32"/>
          <w:lang w:val="en-US" w:eastAsia="zh-CN" w:bidi="ar-SA"/>
        </w:rPr>
        <w:t>。推动科技型企业与省外高校、科研院所开展产学研合作，创建一批产业创新和科技创新融合发展平台。支持企业牵头组织高水平研发机构、科学家工作站、博士后工作站、知识产权联盟和重点产业技术联盟，新布局建设的技术创新和成果转化类创新平台80％以上由企业牵头组建。支持企业提出科研问题清单，鼓励企业牵头或参与国家和省重大科技项目，鼓励州内科研院所为企业提供公益性技术服务。</w:t>
      </w:r>
    </w:p>
    <w:p w14:paraId="412F37F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textAlignment w:val="auto"/>
        <w:outlineLvl w:val="2"/>
        <w:rPr>
          <w:rFonts w:hint="eastAsia" w:ascii="仿宋_GB2312" w:hAnsi="仿宋_GB2312" w:eastAsia="仿宋_GB2312" w:cs="仿宋_GB2312"/>
          <w:color w:val="auto"/>
          <w:kern w:val="2"/>
          <w:sz w:val="32"/>
          <w:szCs w:val="32"/>
          <w:lang w:val="en-US" w:eastAsia="zh-CN" w:bidi="ar-SA"/>
        </w:rPr>
      </w:pPr>
      <w:bookmarkStart w:id="8" w:name="_Toc2136340844"/>
      <w:bookmarkStart w:id="9" w:name="_Toc2001784609"/>
      <w:bookmarkStart w:id="10" w:name="_Toc11999"/>
      <w:r>
        <w:rPr>
          <w:rFonts w:hint="eastAsia" w:ascii="仿宋_GB2312" w:hAnsi="仿宋_GB2312" w:eastAsia="仿宋_GB2312" w:cs="仿宋_GB2312"/>
          <w:b/>
          <w:bCs/>
          <w:color w:val="auto"/>
          <w:sz w:val="32"/>
          <w:szCs w:val="32"/>
          <w:lang w:val="en-US" w:eastAsia="zh-CN"/>
        </w:rPr>
        <w:t>引导企业加大研发投入</w:t>
      </w:r>
      <w:bookmarkEnd w:id="8"/>
      <w:bookmarkEnd w:id="9"/>
      <w:bookmarkEnd w:id="10"/>
      <w:r>
        <w:rPr>
          <w:rFonts w:hint="eastAsia" w:ascii="仿宋_GB2312" w:hAnsi="仿宋_GB2312" w:eastAsia="仿宋_GB2312" w:cs="仿宋_GB2312"/>
          <w:b/>
          <w:bCs/>
          <w:color w:val="auto"/>
          <w:sz w:val="32"/>
          <w:szCs w:val="32"/>
          <w:lang w:val="en-US" w:eastAsia="zh-CN"/>
        </w:rPr>
        <w:t>。</w:t>
      </w:r>
      <w:r>
        <w:rPr>
          <w:rFonts w:hint="eastAsia" w:ascii="仿宋_GB2312" w:hAnsi="仿宋_GB2312" w:eastAsia="仿宋_GB2312" w:cs="仿宋_GB2312"/>
          <w:color w:val="auto"/>
          <w:kern w:val="2"/>
          <w:sz w:val="32"/>
          <w:szCs w:val="32"/>
          <w:lang w:val="en-US" w:eastAsia="zh-CN" w:bidi="ar-SA"/>
        </w:rPr>
        <w:t>严格落实企业研发费用加计扣除、研发投入后补助等税收与财政激励政策，统筹运用省级专项资金补助、州级科技计划项目支持、产学研合作对接等多种方式，精准对接企业创新需求，全方位支持企业开展新技术、新产品、新工艺、新设备研发攻关及现有产品升级换代。强化企业研发投入主体责任，引导规模以上工业企业建立研发机构、开展常态化研发活动，提升自主创新能力。</w:t>
      </w:r>
    </w:p>
    <w:p w14:paraId="128DFAD9">
      <w:pPr>
        <w:pStyle w:val="3"/>
        <w:pageBreakBefore w:val="0"/>
        <w:widowControl w:val="0"/>
        <w:kinsoku/>
        <w:wordWrap/>
        <w:overflowPunct/>
        <w:topLinePunct w:val="0"/>
        <w:autoSpaceDE/>
        <w:autoSpaceDN/>
        <w:bidi w:val="0"/>
        <w:spacing w:before="0" w:beforeLines="0" w:after="0" w:afterLines="0" w:line="600" w:lineRule="exact"/>
        <w:ind w:firstLine="640"/>
        <w:jc w:val="both"/>
        <w:textAlignment w:val="auto"/>
        <w:rPr>
          <w:rFonts w:hint="eastAsia" w:ascii="Times New Roman" w:hAnsi="Times New Roman" w:eastAsia="楷体_GB2312" w:cs="Times New Roman"/>
          <w:b w:val="0"/>
          <w:bCs w:val="0"/>
          <w:color w:val="auto"/>
          <w:szCs w:val="32"/>
          <w:highlight w:val="none"/>
        </w:rPr>
      </w:pPr>
      <w:r>
        <w:rPr>
          <w:rFonts w:hint="eastAsia" w:ascii="Times New Roman" w:hAnsi="Times New Roman" w:eastAsia="楷体_GB2312" w:cs="Times New Roman"/>
          <w:b w:val="0"/>
          <w:bCs w:val="0"/>
          <w:color w:val="auto"/>
          <w:szCs w:val="32"/>
          <w:highlight w:val="none"/>
        </w:rPr>
        <w:fldChar w:fldCharType="begin"/>
      </w:r>
      <w:r>
        <w:rPr>
          <w:rFonts w:hint="eastAsia" w:ascii="Times New Roman" w:hAnsi="Times New Roman" w:eastAsia="楷体_GB2312" w:cs="Times New Roman"/>
          <w:b w:val="0"/>
          <w:bCs w:val="0"/>
          <w:color w:val="auto"/>
          <w:szCs w:val="32"/>
          <w:highlight w:val="none"/>
        </w:rPr>
        <w:instrText xml:space="preserve"> HYPERLINK \l _Toc10795 </w:instrText>
      </w:r>
      <w:r>
        <w:rPr>
          <w:rFonts w:hint="eastAsia" w:ascii="Times New Roman" w:hAnsi="Times New Roman" w:eastAsia="楷体_GB2312" w:cs="Times New Roman"/>
          <w:b w:val="0"/>
          <w:bCs w:val="0"/>
          <w:color w:val="auto"/>
          <w:szCs w:val="32"/>
          <w:highlight w:val="none"/>
        </w:rPr>
        <w:fldChar w:fldCharType="separate"/>
      </w:r>
      <w:r>
        <w:rPr>
          <w:rFonts w:hint="eastAsia" w:ascii="Times New Roman" w:hAnsi="Times New Roman" w:eastAsia="楷体_GB2312" w:cs="Times New Roman"/>
          <w:b w:val="0"/>
          <w:bCs w:val="0"/>
          <w:color w:val="auto"/>
          <w:szCs w:val="32"/>
          <w:highlight w:val="none"/>
          <w:lang w:eastAsia="zh-CN"/>
        </w:rPr>
        <w:t>（四）</w:t>
      </w:r>
      <w:r>
        <w:rPr>
          <w:rFonts w:hint="default" w:ascii="Times New Roman" w:hAnsi="Times New Roman" w:eastAsia="楷体_GB2312" w:cs="Times New Roman"/>
          <w:b w:val="0"/>
          <w:bCs w:val="0"/>
          <w:color w:val="auto"/>
          <w:szCs w:val="32"/>
          <w:highlight w:val="none"/>
          <w:lang w:val="en-US" w:eastAsia="zh-CN"/>
        </w:rPr>
        <w:t>一体推进教育科技人才发展</w:t>
      </w:r>
      <w:r>
        <w:rPr>
          <w:rFonts w:hint="eastAsia" w:ascii="Times New Roman" w:hAnsi="Times New Roman" w:eastAsia="楷体_GB2312" w:cs="Times New Roman"/>
          <w:b w:val="0"/>
          <w:bCs w:val="0"/>
          <w:color w:val="auto"/>
          <w:szCs w:val="32"/>
          <w:highlight w:val="none"/>
        </w:rPr>
        <w:tab/>
      </w:r>
      <w:r>
        <w:rPr>
          <w:rFonts w:hint="eastAsia" w:ascii="Times New Roman" w:hAnsi="Times New Roman" w:eastAsia="楷体_GB2312" w:cs="Times New Roman"/>
          <w:b w:val="0"/>
          <w:bCs w:val="0"/>
          <w:color w:val="auto"/>
          <w:szCs w:val="32"/>
          <w:highlight w:val="none"/>
        </w:rPr>
        <w:fldChar w:fldCharType="end"/>
      </w:r>
    </w:p>
    <w:p w14:paraId="095D47A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sz w:val="32"/>
          <w:szCs w:val="32"/>
          <w:lang w:val="en-US" w:eastAsia="zh-CN"/>
        </w:rPr>
        <w:t>加强科技人才引进。</w:t>
      </w:r>
      <w:r>
        <w:rPr>
          <w:rFonts w:hint="eastAsia" w:ascii="仿宋_GB2312" w:hAnsi="仿宋_GB2312" w:eastAsia="仿宋_GB2312" w:cs="仿宋_GB2312"/>
          <w:strike w:val="0"/>
          <w:color w:val="auto"/>
          <w:kern w:val="2"/>
          <w:sz w:val="32"/>
          <w:szCs w:val="32"/>
          <w:lang w:val="en-US" w:eastAsia="zh-CN" w:bidi="ar-SA"/>
        </w:rPr>
        <w:t>深入实施“百千万人才引进计划”、柔性引才制度等，加快引进产业急需人才、领军人才。</w:t>
      </w:r>
      <w:r>
        <w:rPr>
          <w:rFonts w:hint="eastAsia" w:ascii="仿宋_GB2312" w:hAnsi="仿宋_GB2312" w:eastAsia="仿宋_GB2312" w:cs="仿宋_GB2312"/>
          <w:color w:val="auto"/>
          <w:kern w:val="2"/>
          <w:sz w:val="32"/>
          <w:szCs w:val="32"/>
          <w:lang w:val="en-US" w:eastAsia="zh-CN" w:bidi="ar-SA"/>
        </w:rPr>
        <w:t>依托国家、省级创新创业大赛等活动识才用才。用好用活人才“蓄水池”人才博览会、高校招聘、专项引才计划等多种引才聚才。持续开展“智汇黔西南·才领新未来”引才行动，深入实施“雁归行动”，建立惠州市·黔西南州引才引智新机制，促进人才交流。围绕我州重点产业引进一批急需紧缺高层次专业技术青年人才。</w:t>
      </w:r>
    </w:p>
    <w:p w14:paraId="7C373E5A">
      <w:pPr>
        <w:autoSpaceDE w:val="0"/>
        <w:autoSpaceDN w:val="0"/>
        <w:spacing w:before="0" w:after="0" w:line="551" w:lineRule="exact"/>
        <w:ind w:right="20" w:firstLine="580"/>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sz w:val="32"/>
          <w:szCs w:val="32"/>
          <w:lang w:val="en-US" w:eastAsia="zh-CN"/>
        </w:rPr>
        <w:t>加强科技人才队伍培养。</w:t>
      </w:r>
      <w:r>
        <w:rPr>
          <w:rFonts w:hint="eastAsia" w:ascii="仿宋_GB2312" w:hAnsi="仿宋_GB2312" w:eastAsia="仿宋_GB2312" w:cs="仿宋_GB2312"/>
          <w:b w:val="0"/>
          <w:bCs w:val="0"/>
          <w:color w:val="auto"/>
          <w:sz w:val="32"/>
          <w:szCs w:val="32"/>
          <w:lang w:val="en-US" w:eastAsia="zh-CN"/>
        </w:rPr>
        <w:t>围绕科技创新、产业发展等需求协同育人，加强与重点产业相关学科的人才培养。深化与国内知名高校交流合作，推动建设科技创新学科。加强科学家工作站、博士专家工作室等平台建设，依托各类创新平台深入实施骨干人才支持计划，培育一批产业急需的科技领军人才、拔尖人才。围绕前沿领域遴选培养一批从事基础研究、应用研究的优秀青年科技人才。落实“工业科技特派员”制度，推动科技人员与工业企业匹配结对。选派科技特派员200名以上，达到涉农乡镇全覆盖。</w:t>
      </w:r>
    </w:p>
    <w:p w14:paraId="274B00D5">
      <w:pPr>
        <w:autoSpaceDE w:val="0"/>
        <w:autoSpaceDN w:val="0"/>
        <w:spacing w:before="0" w:after="0" w:line="551" w:lineRule="exact"/>
        <w:ind w:right="20" w:firstLine="580"/>
        <w:jc w:val="both"/>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推动教育科技人才</w:t>
      </w:r>
      <w:r>
        <w:rPr>
          <w:rFonts w:hint="eastAsia" w:ascii="仿宋_GB2312" w:hAnsi="仿宋_GB2312" w:eastAsia="仿宋_GB2312" w:cs="仿宋_GB2312"/>
          <w:b/>
          <w:bCs/>
          <w:strike w:val="0"/>
          <w:color w:val="auto"/>
          <w:sz w:val="32"/>
          <w:szCs w:val="32"/>
          <w:lang w:val="en-US" w:eastAsia="zh-CN"/>
        </w:rPr>
        <w:t>一体化发展</w:t>
      </w:r>
      <w:r>
        <w:rPr>
          <w:rFonts w:hint="eastAsia" w:ascii="仿宋_GB2312" w:hAnsi="仿宋_GB2312" w:eastAsia="仿宋_GB2312" w:cs="仿宋_GB2312"/>
          <w:b/>
          <w:bCs/>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建立高等教育、职业教育与科技发展、产业需求深度对接的人才培养新机制，</w:t>
      </w:r>
      <w:r>
        <w:rPr>
          <w:rFonts w:hint="eastAsia" w:ascii="仿宋_GB2312" w:hAnsi="仿宋_GB2312" w:eastAsia="仿宋_GB2312" w:cs="仿宋_GB2312"/>
          <w:color w:val="auto"/>
          <w:kern w:val="2"/>
          <w:sz w:val="32"/>
          <w:szCs w:val="32"/>
          <w:lang w:val="en-US" w:eastAsia="zh-CN" w:bidi="ar-SA"/>
        </w:rPr>
        <w:t>提高产教融合的学科设置协同化，围绕黔西南州产业发展的人才需求调整高校学科设置，建设校企实习实验基地，定向培养实操型人才。</w:t>
      </w:r>
      <w:r>
        <w:rPr>
          <w:rFonts w:hint="eastAsia" w:ascii="仿宋_GB2312" w:hAnsi="仿宋_GB2312" w:eastAsia="仿宋_GB2312" w:cs="仿宋_GB2312"/>
          <w:b w:val="0"/>
          <w:bCs w:val="0"/>
          <w:color w:val="auto"/>
          <w:sz w:val="32"/>
          <w:szCs w:val="32"/>
          <w:lang w:val="en-US" w:eastAsia="zh-CN"/>
        </w:rPr>
        <w:t>强化科技创新平台人才集聚培养功能，一体化推进人才培养、科学研究，探索“平台＋高校＋企业＋产业链”等合作服务机制，推动产业创新与人才培养良性互动。</w:t>
      </w:r>
    </w:p>
    <w:p w14:paraId="07BBBEA1">
      <w:pPr>
        <w:pStyle w:val="11"/>
        <w:keepNext w:val="0"/>
        <w:keepLines w:val="0"/>
        <w:pageBreakBefore w:val="0"/>
        <w:widowControl/>
        <w:tabs>
          <w:tab w:val="right" w:leader="dot" w:pos="8306"/>
        </w:tabs>
        <w:kinsoku/>
        <w:wordWrap/>
        <w:overflowPunct/>
        <w:topLinePunct w:val="0"/>
        <w:autoSpaceDE/>
        <w:autoSpaceDN/>
        <w:bidi w:val="0"/>
        <w:adjustRightInd w:val="0"/>
        <w:snapToGrid w:val="0"/>
        <w:spacing w:line="560" w:lineRule="exact"/>
        <w:ind w:firstLine="640" w:firstLineChars="200"/>
        <w:textAlignment w:val="auto"/>
        <w:outlineLvl w:val="1"/>
        <w:rPr>
          <w:rFonts w:hint="eastAsia" w:ascii="Times New Roman" w:hAnsi="Times New Roman" w:eastAsia="楷体_GB2312" w:cs="Times New Roman"/>
          <w:b w:val="0"/>
          <w:bCs w:val="0"/>
          <w:color w:val="auto"/>
          <w:kern w:val="2"/>
          <w:sz w:val="32"/>
          <w:szCs w:val="32"/>
          <w:highlight w:val="none"/>
          <w:lang w:val="en-US" w:eastAsia="zh-CN" w:bidi="ar-SA"/>
        </w:rPr>
      </w:pPr>
      <w:r>
        <w:rPr>
          <w:rFonts w:hint="default" w:ascii="Times New Roman" w:hAnsi="Times New Roman" w:eastAsia="黑体" w:cs="Times New Roman"/>
          <w:color w:val="auto"/>
          <w:szCs w:val="32"/>
          <w:highlight w:val="none"/>
          <w:u w:val="none" w:color="auto"/>
        </w:rPr>
        <w:fldChar w:fldCharType="begin"/>
      </w:r>
      <w:r>
        <w:rPr>
          <w:rFonts w:hint="default" w:ascii="Times New Roman" w:hAnsi="Times New Roman" w:eastAsia="黑体" w:cs="Times New Roman"/>
          <w:color w:val="auto"/>
          <w:szCs w:val="32"/>
          <w:highlight w:val="none"/>
          <w:u w:val="none" w:color="auto"/>
        </w:rPr>
        <w:instrText xml:space="preserve"> HYPERLINK \l _Toc12464 </w:instrText>
      </w:r>
      <w:r>
        <w:rPr>
          <w:rFonts w:hint="default" w:ascii="Times New Roman" w:hAnsi="Times New Roman" w:eastAsia="黑体" w:cs="Times New Roman"/>
          <w:color w:val="auto"/>
          <w:szCs w:val="32"/>
          <w:highlight w:val="none"/>
          <w:u w:val="none" w:color="auto"/>
        </w:rPr>
        <w:fldChar w:fldCharType="separate"/>
      </w:r>
      <w:r>
        <w:rPr>
          <w:rFonts w:hint="eastAsia" w:ascii="Times New Roman" w:hAnsi="Times New Roman" w:eastAsia="楷体_GB2312" w:cs="Times New Roman"/>
          <w:b w:val="0"/>
          <w:bCs w:val="0"/>
          <w:color w:val="auto"/>
          <w:kern w:val="2"/>
          <w:sz w:val="32"/>
          <w:szCs w:val="32"/>
          <w:highlight w:val="none"/>
          <w:lang w:val="en-US" w:eastAsia="zh-CN" w:bidi="ar-SA"/>
        </w:rPr>
        <w:t>（五）营造良好的科技创新生态</w:t>
      </w:r>
    </w:p>
    <w:p w14:paraId="3B022F40">
      <w:pPr>
        <w:keepNext w:val="0"/>
        <w:keepLines w:val="0"/>
        <w:pageBreakBefore w:val="0"/>
        <w:widowControl/>
        <w:numPr>
          <w:ilvl w:val="-1"/>
          <w:numId w:val="0"/>
        </w:numPr>
        <w:kinsoku/>
        <w:wordWrap/>
        <w:overflowPunct/>
        <w:topLinePunct w:val="0"/>
        <w:autoSpaceDE/>
        <w:autoSpaceDN/>
        <w:bidi w:val="0"/>
        <w:adjustRightInd w:val="0"/>
        <w:snapToGrid w:val="0"/>
        <w:spacing w:line="560" w:lineRule="exact"/>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加快科技成果高效转化应用。</w:t>
      </w:r>
      <w:r>
        <w:rPr>
          <w:rFonts w:hint="eastAsia" w:ascii="仿宋_GB2312" w:hAnsi="仿宋_GB2312" w:eastAsia="仿宋_GB2312" w:cs="仿宋_GB2312"/>
          <w:b w:val="0"/>
          <w:bCs w:val="0"/>
          <w:color w:val="auto"/>
          <w:sz w:val="32"/>
          <w:szCs w:val="32"/>
          <w:lang w:val="en-US" w:eastAsia="zh-CN"/>
        </w:rPr>
        <w:t>推动科技成果需求端、供给端、服务端同向发力，聚焦“成果-场景-应用”，加快重大科技成果高效应用。推进贵州技术交易市场黔西南州专区专业化建设，常态化组织举办成果供需对接会、成果路演等系列活动，促进科技创新成果转化落地。提升高校院所成果转化、集聚资源能力，组建科技成果转化中心，培育壮大一批科技成果孵化载体和技术转移机构，建立一批专业化技术经理人队伍。支持有意愿且有条件的企业面向社会开放概念验证、中试熟化、小批量试生产等中试平台，力争建成固态电池及关键材料、铝合金构件等中试平台。到2030年，力争技术合同成交额达50亿元。</w:t>
      </w:r>
    </w:p>
    <w:p w14:paraId="3D9F93F6">
      <w:pPr>
        <w:keepNext w:val="0"/>
        <w:keepLines w:val="0"/>
        <w:pageBreakBefore w:val="0"/>
        <w:widowControl/>
        <w:numPr>
          <w:ilvl w:val="-1"/>
          <w:numId w:val="0"/>
        </w:numPr>
        <w:kinsoku/>
        <w:wordWrap/>
        <w:overflowPunct/>
        <w:topLinePunct w:val="0"/>
        <w:autoSpaceDE/>
        <w:autoSpaceDN/>
        <w:bidi w:val="0"/>
        <w:adjustRightInd w:val="0"/>
        <w:snapToGrid w:val="0"/>
        <w:spacing w:line="560" w:lineRule="exact"/>
        <w:ind w:firstLine="643" w:firstLineChars="200"/>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加强科学技术普及。</w:t>
      </w:r>
      <w:r>
        <w:rPr>
          <w:rFonts w:hint="eastAsia" w:ascii="仿宋_GB2312" w:hAnsi="仿宋_GB2312" w:eastAsia="仿宋_GB2312" w:cs="仿宋_GB2312"/>
          <w:b w:val="0"/>
          <w:bCs w:val="0"/>
          <w:color w:val="auto"/>
          <w:sz w:val="32"/>
          <w:szCs w:val="32"/>
          <w:lang w:val="en-US" w:eastAsia="zh-CN"/>
        </w:rPr>
        <w:t>提升科学技术普及能力和全民科学素质，依托“全国科技活动周”系列活动开展各类科普专题活动，积极承办科普讲解大赛、科学实验展演汇演赛、科技体验等系列活动，开发具有黔西南州特色的科普资源，积极申报科普教育特色学校，深入实施全民科学素质提升行动，进一步激发社会各界对科普工作的热情。</w:t>
      </w:r>
    </w:p>
    <w:p w14:paraId="1909134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textAlignment w:val="auto"/>
        <w:outlineLvl w:val="2"/>
        <w:rPr>
          <w:rFonts w:hint="eastAsia" w:ascii="仿宋_GB2312" w:hAnsi="仿宋_GB2312" w:eastAsia="仿宋_GB2312" w:cs="仿宋_GB2312"/>
          <w:b w:val="0"/>
          <w:bCs w:val="0"/>
          <w:color w:val="auto"/>
          <w:sz w:val="32"/>
          <w:szCs w:val="32"/>
          <w:lang w:val="en-US" w:eastAsia="zh-CN"/>
        </w:rPr>
      </w:pPr>
      <w:bookmarkStart w:id="11" w:name="_Toc22019"/>
      <w:bookmarkStart w:id="12" w:name="_Toc1788902133"/>
      <w:r>
        <w:rPr>
          <w:rFonts w:hint="eastAsia" w:ascii="仿宋_GB2312" w:hAnsi="仿宋_GB2312" w:eastAsia="仿宋_GB2312" w:cs="仿宋_GB2312"/>
          <w:b/>
          <w:bCs/>
          <w:color w:val="auto"/>
          <w:sz w:val="32"/>
          <w:szCs w:val="32"/>
          <w:lang w:val="en-US" w:eastAsia="zh-CN"/>
        </w:rPr>
        <w:t>促进科技合作</w:t>
      </w:r>
      <w:bookmarkEnd w:id="11"/>
      <w:bookmarkEnd w:id="12"/>
      <w:r>
        <w:rPr>
          <w:rFonts w:hint="eastAsia" w:ascii="仿宋_GB2312" w:hAnsi="仿宋_GB2312" w:eastAsia="仿宋_GB2312" w:cs="仿宋_GB2312"/>
          <w:b/>
          <w:bCs/>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深入实施“科技入黔”，主动融入全省创新布局，构建省内外多层次科技合作体系。拓展国内合作，借力东西部协作，对接粤港澳大湾区、成渝地区，依托西部陆海新通道，稳步开展对外科技交流，引进先进技术赋能州特色优势产业发展。深化省内协同，对接贵州大学、省农科院等科研力量，积极开展各类合作，推动省内科研成果落地转化。完善供需对接、成果转化、人才引育</w:t>
      </w:r>
      <w:r>
        <w:rPr>
          <w:rFonts w:hint="eastAsia" w:ascii="仿宋_GB2312" w:hAnsi="仿宋_GB2312" w:eastAsia="仿宋_GB2312" w:cs="仿宋_GB2312"/>
          <w:b w:val="0"/>
          <w:bCs w:val="0"/>
          <w:color w:val="auto"/>
          <w:sz w:val="32"/>
          <w:szCs w:val="32"/>
          <w:lang w:val="en-US" w:eastAsia="zh-CN"/>
        </w:rPr>
        <w:t>配套措施</w:t>
      </w:r>
      <w:r>
        <w:rPr>
          <w:rFonts w:hint="eastAsia" w:ascii="仿宋_GB2312" w:hAnsi="仿宋_GB2312" w:eastAsia="仿宋_GB2312" w:cs="仿宋_GB2312"/>
          <w:b w:val="0"/>
          <w:bCs w:val="0"/>
          <w:color w:val="auto"/>
          <w:sz w:val="32"/>
          <w:szCs w:val="32"/>
          <w:lang w:val="en-US" w:eastAsia="zh-CN"/>
        </w:rPr>
        <w:t>，把外部科创资源转化为本地产业动能。</w:t>
      </w:r>
    </w:p>
    <w:p w14:paraId="3883F0E9">
      <w:pPr>
        <w:pStyle w:val="2"/>
        <w:pageBreakBefore w:val="0"/>
        <w:widowControl w:val="0"/>
        <w:kinsoku/>
        <w:wordWrap/>
        <w:overflowPunct/>
        <w:topLinePunct w:val="0"/>
        <w:autoSpaceDE/>
        <w:autoSpaceDN/>
        <w:bidi w:val="0"/>
        <w:adjustRightInd/>
        <w:snapToGrid/>
        <w:spacing w:before="0" w:beforeLines="0" w:after="0" w:afterLines="0" w:line="600" w:lineRule="exact"/>
        <w:ind w:firstLine="640" w:firstLineChars="200"/>
        <w:jc w:val="both"/>
        <w:textAlignment w:val="auto"/>
        <w:rPr>
          <w:rFonts w:hint="eastAsia" w:ascii="方正楷体_GB2312" w:hAnsi="方正楷体_GB2312" w:eastAsia="方正楷体_GB2312" w:cs="方正楷体_GB2312"/>
          <w:b w:val="0"/>
          <w:bCs w:val="0"/>
          <w:color w:val="auto"/>
          <w:sz w:val="32"/>
          <w:szCs w:val="32"/>
          <w:lang w:val="en-US" w:eastAsia="zh-CN"/>
        </w:rPr>
      </w:pPr>
      <w:bookmarkStart w:id="13" w:name="_Toc1471202476"/>
      <w:bookmarkStart w:id="14" w:name="_Toc1668498002"/>
      <w:bookmarkStart w:id="15" w:name="_Toc697423276"/>
      <w:bookmarkStart w:id="16" w:name="_Toc260452815"/>
      <w:bookmarkStart w:id="17" w:name="_Toc224379913"/>
      <w:bookmarkStart w:id="18" w:name="_Toc175714907"/>
      <w:bookmarkStart w:id="19" w:name="_Toc751965302"/>
      <w:bookmarkStart w:id="20" w:name="_Toc1996485380"/>
      <w:bookmarkStart w:id="21" w:name="_Toc338484665"/>
      <w:r>
        <w:rPr>
          <w:rFonts w:hint="eastAsia" w:ascii="Times New Roman" w:hAnsi="Times New Roman" w:eastAsia="黑体" w:cs="Times New Roman"/>
          <w:color w:val="auto"/>
          <w:szCs w:val="24"/>
          <w:highlight w:val="none"/>
          <w:lang w:val="en-US" w:eastAsia="zh-CN"/>
        </w:rPr>
        <w:t>四、</w:t>
      </w:r>
      <w:r>
        <w:rPr>
          <w:rFonts w:hint="default" w:ascii="Times New Roman" w:hAnsi="Times New Roman" w:eastAsia="黑体" w:cs="Times New Roman"/>
          <w:color w:val="auto"/>
          <w:szCs w:val="24"/>
          <w:highlight w:val="none"/>
          <w:lang w:val="en-US" w:eastAsia="zh-CN"/>
        </w:rPr>
        <w:t>组织</w:t>
      </w:r>
      <w:bookmarkEnd w:id="13"/>
      <w:bookmarkEnd w:id="14"/>
      <w:bookmarkEnd w:id="15"/>
      <w:bookmarkEnd w:id="16"/>
      <w:bookmarkEnd w:id="17"/>
      <w:bookmarkEnd w:id="18"/>
      <w:bookmarkEnd w:id="19"/>
      <w:bookmarkEnd w:id="20"/>
      <w:bookmarkEnd w:id="21"/>
      <w:r>
        <w:rPr>
          <w:rFonts w:hint="eastAsia" w:ascii="Times New Roman" w:hAnsi="Times New Roman" w:eastAsia="黑体" w:cs="Times New Roman"/>
          <w:color w:val="auto"/>
          <w:szCs w:val="24"/>
          <w:highlight w:val="none"/>
          <w:lang w:val="en-US" w:eastAsia="zh-CN"/>
        </w:rPr>
        <w:t>实施</w:t>
      </w:r>
      <w:r>
        <w:rPr>
          <w:rFonts w:hint="eastAsia" w:ascii="方正仿宋_GB2312" w:hAnsi="方正仿宋_GB2312" w:eastAsia="方正仿宋_GB2312" w:cs="方正仿宋_GB2312"/>
          <w:color w:val="auto"/>
          <w:szCs w:val="36"/>
          <w:lang w:val="en-US" w:eastAsia="zh-CN"/>
        </w:rPr>
        <w:t xml:space="preserve"> </w:t>
      </w:r>
      <w:r>
        <w:rPr>
          <w:rFonts w:hint="default" w:ascii="Times New Roman" w:hAnsi="Times New Roman" w:eastAsia="黑体" w:cs="Times New Roman"/>
          <w:color w:val="auto"/>
          <w:szCs w:val="32"/>
          <w:highlight w:val="none"/>
          <w:u w:val="none" w:color="auto"/>
        </w:rPr>
        <w:fldChar w:fldCharType="end"/>
      </w:r>
      <w:bookmarkEnd w:id="7"/>
      <w:bookmarkStart w:id="22" w:name="_Toc26329"/>
    </w:p>
    <w:bookmarkEnd w:id="22"/>
    <w:p w14:paraId="6601047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坚持党对科技创新工作的全面领导，构建州委、州政府统筹抓总、科技部门牵头协调、各部门分工负责、各县（市、新区）狠抓落实的联动机制。健全跨部门、跨区域、跨领域协同议事机制，定期破解规划实施中的重大问题。联动科研院所、高校、平台、企业等各类创新主体，加强与省级科技部门对接，争取政策项目资源倾斜，形成上下贯通、左右联动的科技创新工作新格局。围绕规划目标任务和核心指标，构建科学量化、可测可评的监测评估指标体系，由州科技部门牵头，联合相关部门或委托第三方专业机构开展评估工作，运用信息化手段开展动态监测，确保评估结果客观公正。建立评估结果反馈整改、闭环管理机制，对发现的问题限期整改，结合中期评估结果和科技创新发展新形势，按程序动态优化规划内容，同时总结推广典型经验，强化评估结果运用，提升规划实施效能，确保各项目标任务圆满完成。</w:t>
      </w:r>
    </w:p>
    <w:p w14:paraId="1707EC0E">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CESI仿宋-GB2312" w:hAnsi="CESI仿宋-GB2312" w:eastAsia="CESI仿宋-GB2312" w:cs="CESI仿宋-GB2312"/>
          <w:color w:val="auto"/>
          <w:sz w:val="32"/>
          <w:szCs w:val="32"/>
        </w:rPr>
      </w:pPr>
    </w:p>
    <w:bookmarkEnd w:id="23"/>
    <w:sectPr>
      <w:footerReference r:id="rId5" w:type="default"/>
      <w:pgSz w:w="11906" w:h="16838"/>
      <w:pgMar w:top="1440" w:right="1800" w:bottom="1440" w:left="1800" w:header="851" w:footer="992" w:gutter="0"/>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18030">
    <w:altName w:val="方正仿宋_GBK"/>
    <w:panose1 w:val="02000000000000000000"/>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Times New Roman Regular">
    <w:altName w:val="DejaVu Sans"/>
    <w:panose1 w:val="02020503050405090304"/>
    <w:charset w:val="00"/>
    <w:family w:val="auto"/>
    <w:pitch w:val="default"/>
    <w:sig w:usb0="00000000" w:usb1="00000000" w:usb2="00000001" w:usb3="00000000" w:csb0="400001BF" w:csb1="DFF70000"/>
  </w:font>
  <w:font w:name="DejaVu Sans">
    <w:panose1 w:val="020B0603030804020204"/>
    <w:charset w:val="00"/>
    <w:family w:val="auto"/>
    <w:pitch w:val="default"/>
    <w:sig w:usb0="E7006EFF" w:usb1="D200FDFF" w:usb2="0A246029" w:usb3="0400200C" w:csb0="600001FF" w:csb1="DFFF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1728A">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D78FB7">
                          <w:pPr>
                            <w:pStyle w:val="9"/>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4</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2D78FB7">
                    <w:pPr>
                      <w:pStyle w:val="9"/>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4</w:t>
                    </w:r>
                    <w:r>
                      <w:rPr>
                        <w:sz w:val="21"/>
                        <w:szCs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61BF6C"/>
    <w:rsid w:val="020973DB"/>
    <w:rsid w:val="080474DE"/>
    <w:rsid w:val="097430E9"/>
    <w:rsid w:val="0BA85922"/>
    <w:rsid w:val="0F406034"/>
    <w:rsid w:val="0FBCD404"/>
    <w:rsid w:val="0FEF3C15"/>
    <w:rsid w:val="11BD75F7"/>
    <w:rsid w:val="11EC6224"/>
    <w:rsid w:val="14587D87"/>
    <w:rsid w:val="17EBAF0A"/>
    <w:rsid w:val="1A22398D"/>
    <w:rsid w:val="1A4A5842"/>
    <w:rsid w:val="1B222279"/>
    <w:rsid w:val="1DB25B36"/>
    <w:rsid w:val="1F9FF93B"/>
    <w:rsid w:val="1FFDED0F"/>
    <w:rsid w:val="20232D1B"/>
    <w:rsid w:val="227B7785"/>
    <w:rsid w:val="266B1D92"/>
    <w:rsid w:val="26BB4984"/>
    <w:rsid w:val="26DB3F27"/>
    <w:rsid w:val="2889074A"/>
    <w:rsid w:val="2B4B2473"/>
    <w:rsid w:val="2B4F29F9"/>
    <w:rsid w:val="2EBE68B0"/>
    <w:rsid w:val="2FDB716E"/>
    <w:rsid w:val="2FFAA25D"/>
    <w:rsid w:val="33D96647"/>
    <w:rsid w:val="36CF22C0"/>
    <w:rsid w:val="36F0420A"/>
    <w:rsid w:val="37BFC2F8"/>
    <w:rsid w:val="37CCD121"/>
    <w:rsid w:val="37EF5363"/>
    <w:rsid w:val="3B7302E3"/>
    <w:rsid w:val="3BE455FD"/>
    <w:rsid w:val="3BFF25E7"/>
    <w:rsid w:val="3C243C4B"/>
    <w:rsid w:val="3C686D3A"/>
    <w:rsid w:val="3C6F5758"/>
    <w:rsid w:val="3CA904E6"/>
    <w:rsid w:val="3F7FF671"/>
    <w:rsid w:val="3F7FFD84"/>
    <w:rsid w:val="3FAF8446"/>
    <w:rsid w:val="3FBEDE69"/>
    <w:rsid w:val="3FBF7613"/>
    <w:rsid w:val="3FFFBF8E"/>
    <w:rsid w:val="405A34E2"/>
    <w:rsid w:val="42F809C7"/>
    <w:rsid w:val="45CD1710"/>
    <w:rsid w:val="4690085B"/>
    <w:rsid w:val="47B916EB"/>
    <w:rsid w:val="4A031344"/>
    <w:rsid w:val="4ADA2508"/>
    <w:rsid w:val="4DCFECB9"/>
    <w:rsid w:val="4DFF5B7A"/>
    <w:rsid w:val="4FD75E11"/>
    <w:rsid w:val="4FFA619D"/>
    <w:rsid w:val="56990CAB"/>
    <w:rsid w:val="57233025"/>
    <w:rsid w:val="57F7BB1F"/>
    <w:rsid w:val="59E7CD6B"/>
    <w:rsid w:val="5A3C60EC"/>
    <w:rsid w:val="5AB165B6"/>
    <w:rsid w:val="5D5E225D"/>
    <w:rsid w:val="5DEF1197"/>
    <w:rsid w:val="5DF74E86"/>
    <w:rsid w:val="5E6F2826"/>
    <w:rsid w:val="5E97A2CD"/>
    <w:rsid w:val="5EADEFB6"/>
    <w:rsid w:val="5EDF6A0C"/>
    <w:rsid w:val="5FBFBE0C"/>
    <w:rsid w:val="5FEDC4DD"/>
    <w:rsid w:val="5FF44E12"/>
    <w:rsid w:val="5FF9C843"/>
    <w:rsid w:val="636F7D13"/>
    <w:rsid w:val="65474383"/>
    <w:rsid w:val="6561BF6C"/>
    <w:rsid w:val="65B3441A"/>
    <w:rsid w:val="65D03E97"/>
    <w:rsid w:val="6612673F"/>
    <w:rsid w:val="67AB65BD"/>
    <w:rsid w:val="69E06B54"/>
    <w:rsid w:val="6BA77AE4"/>
    <w:rsid w:val="6D3545AF"/>
    <w:rsid w:val="6DFF5A87"/>
    <w:rsid w:val="6EF70D1F"/>
    <w:rsid w:val="6F9D4DAE"/>
    <w:rsid w:val="6FCE5E15"/>
    <w:rsid w:val="6FDF7833"/>
    <w:rsid w:val="6FEF8828"/>
    <w:rsid w:val="6FF67E85"/>
    <w:rsid w:val="6FFD033A"/>
    <w:rsid w:val="6FFF1083"/>
    <w:rsid w:val="707029DF"/>
    <w:rsid w:val="70DA9BF8"/>
    <w:rsid w:val="717DD28A"/>
    <w:rsid w:val="71FD269C"/>
    <w:rsid w:val="73F8E3D4"/>
    <w:rsid w:val="73FF8DBE"/>
    <w:rsid w:val="75CBC45E"/>
    <w:rsid w:val="75FB1E22"/>
    <w:rsid w:val="76352498"/>
    <w:rsid w:val="765E1B5D"/>
    <w:rsid w:val="765F0566"/>
    <w:rsid w:val="77A5C99B"/>
    <w:rsid w:val="77FD56C4"/>
    <w:rsid w:val="78FB23C7"/>
    <w:rsid w:val="79870D9A"/>
    <w:rsid w:val="7AB95DAB"/>
    <w:rsid w:val="7AFD0CD5"/>
    <w:rsid w:val="7B6EAD6E"/>
    <w:rsid w:val="7B7E82ED"/>
    <w:rsid w:val="7B7FB58C"/>
    <w:rsid w:val="7BB35E76"/>
    <w:rsid w:val="7BBB5F01"/>
    <w:rsid w:val="7BCF0778"/>
    <w:rsid w:val="7BF9B1D0"/>
    <w:rsid w:val="7BFF0B72"/>
    <w:rsid w:val="7CE92E9A"/>
    <w:rsid w:val="7CF7C26D"/>
    <w:rsid w:val="7D0F3580"/>
    <w:rsid w:val="7DA76436"/>
    <w:rsid w:val="7DC66335"/>
    <w:rsid w:val="7DE3EB08"/>
    <w:rsid w:val="7DF440E2"/>
    <w:rsid w:val="7DFF8B5B"/>
    <w:rsid w:val="7DFF9158"/>
    <w:rsid w:val="7EBDC93D"/>
    <w:rsid w:val="7F7D3A7E"/>
    <w:rsid w:val="7F7FE954"/>
    <w:rsid w:val="7FBF8ACF"/>
    <w:rsid w:val="7FD57582"/>
    <w:rsid w:val="7FDE1B39"/>
    <w:rsid w:val="7FDF2CBE"/>
    <w:rsid w:val="7FEECB6F"/>
    <w:rsid w:val="7FEFCA23"/>
    <w:rsid w:val="7FEFF51B"/>
    <w:rsid w:val="7FFB3B74"/>
    <w:rsid w:val="7FFEC43F"/>
    <w:rsid w:val="7FFF16F2"/>
    <w:rsid w:val="8E7F260F"/>
    <w:rsid w:val="9EB39F38"/>
    <w:rsid w:val="9F65A866"/>
    <w:rsid w:val="A7F87496"/>
    <w:rsid w:val="A9BB555E"/>
    <w:rsid w:val="A9D69F83"/>
    <w:rsid w:val="A9FF7892"/>
    <w:rsid w:val="ABFD41BD"/>
    <w:rsid w:val="AD93AE00"/>
    <w:rsid w:val="AEA7D0FF"/>
    <w:rsid w:val="AEF5F3CE"/>
    <w:rsid w:val="AF77DB96"/>
    <w:rsid w:val="AF7FBCF0"/>
    <w:rsid w:val="AFF68540"/>
    <w:rsid w:val="B1F85A25"/>
    <w:rsid w:val="B5F7FF65"/>
    <w:rsid w:val="B66D2D15"/>
    <w:rsid w:val="B6FF2703"/>
    <w:rsid w:val="B8EB0ED5"/>
    <w:rsid w:val="BB824571"/>
    <w:rsid w:val="BBE6F04A"/>
    <w:rsid w:val="BBF33393"/>
    <w:rsid w:val="BC692468"/>
    <w:rsid w:val="BF191C64"/>
    <w:rsid w:val="BF1F71B5"/>
    <w:rsid w:val="BFD48F6A"/>
    <w:rsid w:val="BFDE4D5F"/>
    <w:rsid w:val="BFFF1B18"/>
    <w:rsid w:val="C3828B05"/>
    <w:rsid w:val="CEBFD8C0"/>
    <w:rsid w:val="CFD9A21B"/>
    <w:rsid w:val="CFFE9000"/>
    <w:rsid w:val="D08EC366"/>
    <w:rsid w:val="D7F72B11"/>
    <w:rsid w:val="D7FF2FA3"/>
    <w:rsid w:val="D8EF751C"/>
    <w:rsid w:val="DB7F38E5"/>
    <w:rsid w:val="DBFFE55E"/>
    <w:rsid w:val="DD25E7FB"/>
    <w:rsid w:val="DDFBBB90"/>
    <w:rsid w:val="DE531405"/>
    <w:rsid w:val="DEDA1DB9"/>
    <w:rsid w:val="DF51C503"/>
    <w:rsid w:val="DF5A889A"/>
    <w:rsid w:val="DF9A4747"/>
    <w:rsid w:val="DFD5A98C"/>
    <w:rsid w:val="DFDD5CDB"/>
    <w:rsid w:val="DFFE7831"/>
    <w:rsid w:val="E3757A0A"/>
    <w:rsid w:val="E3FD510A"/>
    <w:rsid w:val="E8FF50A4"/>
    <w:rsid w:val="EB7B019F"/>
    <w:rsid w:val="EBF2FA16"/>
    <w:rsid w:val="EBFEC045"/>
    <w:rsid w:val="EBFFEFC8"/>
    <w:rsid w:val="EDED9960"/>
    <w:rsid w:val="EEBF8066"/>
    <w:rsid w:val="EEE69DBC"/>
    <w:rsid w:val="EFAD7F77"/>
    <w:rsid w:val="EFC6DF20"/>
    <w:rsid w:val="EFDFAD05"/>
    <w:rsid w:val="EFEF7715"/>
    <w:rsid w:val="EFF7C54E"/>
    <w:rsid w:val="F157334D"/>
    <w:rsid w:val="F24C4E27"/>
    <w:rsid w:val="F3EB0BCB"/>
    <w:rsid w:val="F5F994EB"/>
    <w:rsid w:val="F67A5CAD"/>
    <w:rsid w:val="F6EBC0C8"/>
    <w:rsid w:val="F6FDB194"/>
    <w:rsid w:val="F6FDD550"/>
    <w:rsid w:val="F6FF8040"/>
    <w:rsid w:val="F7E65977"/>
    <w:rsid w:val="F7F70695"/>
    <w:rsid w:val="F7FB42D5"/>
    <w:rsid w:val="F7FB9FAC"/>
    <w:rsid w:val="F7FFC420"/>
    <w:rsid w:val="F97B8E76"/>
    <w:rsid w:val="F9B98F74"/>
    <w:rsid w:val="F9FEA849"/>
    <w:rsid w:val="FAEF6BEF"/>
    <w:rsid w:val="FB2B3374"/>
    <w:rsid w:val="FBDBB264"/>
    <w:rsid w:val="FBFE1F7A"/>
    <w:rsid w:val="FC389E40"/>
    <w:rsid w:val="FCBF3CB0"/>
    <w:rsid w:val="FD6D84A1"/>
    <w:rsid w:val="FDF542BD"/>
    <w:rsid w:val="FE5E8B67"/>
    <w:rsid w:val="FEF18410"/>
    <w:rsid w:val="FF176E26"/>
    <w:rsid w:val="FF7D0268"/>
    <w:rsid w:val="FF8FBB5A"/>
    <w:rsid w:val="FFDE7448"/>
    <w:rsid w:val="FFDEBE40"/>
    <w:rsid w:val="FFFDB2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720" w:firstLineChars="200"/>
      <w:jc w:val="both"/>
    </w:pPr>
    <w:rPr>
      <w:rFonts w:eastAsia="CESI仿宋-GB2312" w:cs="Times New Roman" w:asciiTheme="minorAscii" w:hAnsiTheme="minorAscii"/>
      <w:kern w:val="2"/>
      <w:sz w:val="32"/>
      <w:szCs w:val="22"/>
      <w:lang w:val="en-US" w:eastAsia="zh-CN" w:bidi="ar-SA"/>
    </w:rPr>
  </w:style>
  <w:style w:type="paragraph" w:styleId="2">
    <w:name w:val="heading 1"/>
    <w:basedOn w:val="1"/>
    <w:next w:val="1"/>
    <w:link w:val="23"/>
    <w:qFormat/>
    <w:uiPriority w:val="0"/>
    <w:pPr>
      <w:keepNext/>
      <w:keepLines/>
      <w:spacing w:before="100" w:beforeLines="0" w:beforeAutospacing="0" w:after="90" w:afterLines="0" w:afterAutospacing="0" w:line="576" w:lineRule="auto"/>
      <w:jc w:val="both"/>
      <w:outlineLvl w:val="0"/>
    </w:pPr>
    <w:rPr>
      <w:rFonts w:eastAsia="方正仿宋_GB2312"/>
      <w:kern w:val="44"/>
    </w:rPr>
  </w:style>
  <w:style w:type="paragraph" w:styleId="3">
    <w:name w:val="heading 2"/>
    <w:basedOn w:val="1"/>
    <w:next w:val="1"/>
    <w:link w:val="24"/>
    <w:unhideWhenUsed/>
    <w:qFormat/>
    <w:uiPriority w:val="0"/>
    <w:pPr>
      <w:keepNext/>
      <w:keepLines/>
      <w:spacing w:before="220" w:beforeLines="0" w:beforeAutospacing="0" w:after="60" w:afterLines="0" w:afterAutospacing="0" w:line="413" w:lineRule="auto"/>
      <w:outlineLvl w:val="1"/>
    </w:pPr>
    <w:rPr>
      <w:rFonts w:ascii="Arial" w:hAnsi="Arial" w:eastAsia="方正楷体_GB2312"/>
    </w:rPr>
  </w:style>
  <w:style w:type="paragraph" w:styleId="4">
    <w:name w:val="heading 3"/>
    <w:basedOn w:val="1"/>
    <w:next w:val="1"/>
    <w:link w:val="22"/>
    <w:unhideWhenUsed/>
    <w:qFormat/>
    <w:uiPriority w:val="0"/>
    <w:pPr>
      <w:keepNext/>
      <w:keepLines/>
      <w:spacing w:before="60" w:beforeLines="0" w:beforeAutospacing="0" w:after="40" w:afterLines="0" w:afterAutospacing="0" w:line="413" w:lineRule="auto"/>
      <w:outlineLvl w:val="2"/>
    </w:pPr>
    <w:rPr>
      <w:rFonts w:asciiTheme="minorAscii" w:hAnsiTheme="minorAscii"/>
      <w:b/>
    </w:rPr>
  </w:style>
  <w:style w:type="paragraph" w:styleId="5">
    <w:name w:val="heading 4"/>
    <w:basedOn w:val="1"/>
    <w:next w:val="1"/>
    <w:unhideWhenUsed/>
    <w:qFormat/>
    <w:uiPriority w:val="0"/>
    <w:pPr>
      <w:keepNext/>
      <w:keepLines/>
      <w:spacing w:before="160" w:beforeLines="0" w:beforeAutospacing="0" w:after="170" w:afterLines="0" w:afterAutospacing="0" w:line="372" w:lineRule="auto"/>
      <w:ind w:firstLine="0" w:firstLineChars="0"/>
      <w:jc w:val="center"/>
      <w:outlineLvl w:val="3"/>
    </w:pPr>
    <w:rPr>
      <w:rFonts w:eastAsia="CESI仿宋-GB2312" w:asciiTheme="minorAscii" w:hAnsiTheme="minorAscii"/>
      <w:sz w:val="28"/>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6">
    <w:name w:val="table of authorities"/>
    <w:basedOn w:val="1"/>
    <w:next w:val="1"/>
    <w:qFormat/>
    <w:uiPriority w:val="99"/>
    <w:pPr>
      <w:ind w:left="420" w:leftChars="200"/>
    </w:pPr>
  </w:style>
  <w:style w:type="paragraph" w:styleId="7">
    <w:name w:val="Body Text Indent"/>
    <w:basedOn w:val="1"/>
    <w:qFormat/>
    <w:uiPriority w:val="0"/>
    <w:pPr>
      <w:spacing w:line="360" w:lineRule="auto"/>
      <w:ind w:firstLine="420" w:firstLineChars="150"/>
    </w:pPr>
    <w:rPr>
      <w:rFonts w:ascii="仿宋_GB2312" w:hAnsi="宋体" w:eastAsia="仿宋_GB2312" w:cs="Times New Roman"/>
      <w:color w:val="000000"/>
      <w:sz w:val="28"/>
      <w:szCs w:val="28"/>
    </w:rPr>
  </w:style>
  <w:style w:type="paragraph" w:styleId="8">
    <w:name w:val="toc 3"/>
    <w:basedOn w:val="1"/>
    <w:next w:val="1"/>
    <w:qFormat/>
    <w:uiPriority w:val="0"/>
    <w:pPr>
      <w:ind w:left="840" w:leftChars="4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39"/>
  </w:style>
  <w:style w:type="paragraph" w:styleId="12">
    <w:name w:val="toc 2"/>
    <w:basedOn w:val="1"/>
    <w:next w:val="1"/>
    <w:qFormat/>
    <w:uiPriority w:val="0"/>
    <w:pPr>
      <w:ind w:left="420" w:leftChars="200"/>
    </w:p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Body Text First Indent 2"/>
    <w:basedOn w:val="7"/>
    <w:qFormat/>
    <w:uiPriority w:val="0"/>
    <w:pPr>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paragraph" w:customStyle="1" w:styleId="19">
    <w:name w:val="附件"/>
    <w:basedOn w:val="1"/>
    <w:next w:val="1"/>
    <w:qFormat/>
    <w:uiPriority w:val="0"/>
    <w:pPr>
      <w:keepNext/>
      <w:keepLines/>
      <w:spacing w:before="260" w:beforeLines="0" w:after="260" w:afterLines="0" w:line="413" w:lineRule="auto"/>
      <w:outlineLvl w:val="2"/>
    </w:pPr>
    <w:rPr>
      <w:rFonts w:hint="default" w:eastAsia="方正仿宋_GB18030"/>
      <w:b/>
      <w:sz w:val="32"/>
    </w:rPr>
  </w:style>
  <w:style w:type="paragraph" w:customStyle="1" w:styleId="20">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1">
    <w:name w:val="p0"/>
    <w:basedOn w:val="1"/>
    <w:qFormat/>
    <w:uiPriority w:val="99"/>
    <w:pPr>
      <w:widowControl/>
    </w:pPr>
    <w:rPr>
      <w:rFonts w:cs="宋体"/>
      <w:kern w:val="0"/>
      <w:szCs w:val="21"/>
    </w:rPr>
  </w:style>
  <w:style w:type="character" w:customStyle="1" w:styleId="22">
    <w:name w:val="标题 3 Char"/>
    <w:link w:val="4"/>
    <w:qFormat/>
    <w:uiPriority w:val="0"/>
    <w:rPr>
      <w:rFonts w:asciiTheme="minorAscii" w:hAnsiTheme="minorAscii"/>
      <w:b/>
    </w:rPr>
  </w:style>
  <w:style w:type="character" w:customStyle="1" w:styleId="23">
    <w:name w:val="标题 1 Char"/>
    <w:link w:val="2"/>
    <w:qFormat/>
    <w:uiPriority w:val="0"/>
    <w:rPr>
      <w:rFonts w:eastAsia="方正仿宋_GB2312"/>
      <w:kern w:val="44"/>
    </w:rPr>
  </w:style>
  <w:style w:type="character" w:customStyle="1" w:styleId="24">
    <w:name w:val="标题 2 Char"/>
    <w:link w:val="3"/>
    <w:qFormat/>
    <w:uiPriority w:val="0"/>
    <w:rPr>
      <w:rFonts w:ascii="Arial" w:hAnsi="Arial" w:eastAsia="方正楷体_GB2312"/>
    </w:rPr>
  </w:style>
  <w:style w:type="paragraph" w:customStyle="1" w:styleId="25">
    <w:name w:val="WPSOffice手动目录 1"/>
    <w:qFormat/>
    <w:uiPriority w:val="0"/>
    <w:pPr>
      <w:ind w:leftChars="0"/>
    </w:pPr>
    <w:rPr>
      <w:rFonts w:asciiTheme="minorHAnsi" w:hAnsiTheme="minorHAnsi" w:eastAsiaTheme="minorEastAsia" w:cstheme="minorBidi"/>
      <w:sz w:val="20"/>
      <w:szCs w:val="20"/>
    </w:rPr>
  </w:style>
  <w:style w:type="paragraph" w:customStyle="1" w:styleId="26">
    <w:name w:val="WPSOffice手动目录 2"/>
    <w:qFormat/>
    <w:uiPriority w:val="0"/>
    <w:pPr>
      <w:ind w:leftChars="200"/>
    </w:pPr>
    <w:rPr>
      <w:rFonts w:asciiTheme="minorHAnsi" w:hAnsiTheme="minorHAnsi" w:eastAsiaTheme="minorEastAsia" w:cstheme="minorBidi"/>
      <w:sz w:val="20"/>
      <w:szCs w:val="20"/>
    </w:rPr>
  </w:style>
  <w:style w:type="paragraph" w:customStyle="1" w:styleId="27">
    <w:name w:val="公文正文"/>
    <w:basedOn w:val="1"/>
    <w:qFormat/>
    <w:uiPriority w:val="0"/>
    <w:pPr>
      <w:spacing w:line="560" w:lineRule="exact"/>
      <w:ind w:firstLine="883" w:firstLineChars="200"/>
    </w:pPr>
    <w:rPr>
      <w:rFonts w:ascii="Times New Roman" w:hAnsi="Times New Roman" w:eastAsia="仿宋_GB231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1398</Words>
  <Characters>1423</Characters>
  <Lines>0</Lines>
  <Paragraphs>0</Paragraphs>
  <TotalTime>8</TotalTime>
  <ScaleCrop>false</ScaleCrop>
  <LinksUpToDate>false</LinksUpToDate>
  <CharactersWithSpaces>1430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2026-02-03T01:39:00Z</dcterms:created>
  <dc:creator>ysgz</dc:creator>
  <cp:lastModifiedBy>pyx</cp:lastModifiedBy>
  <cp:lastPrinted>2026-09-21T18:37:00Z</cp:lastPrinted>
  <dcterms:modified xsi:type="dcterms:W3CDTF">2026-09-30T11:57:41Z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91381EB5511F0D6B48E9B16AA7140C83_43</vt:lpwstr>
  </property>
  <property fmtid="{D5CDD505-2E9C-101B-9397-08002B2CF9AE}" pid="4" name="KSOTemplateDocerSaveRecord">
    <vt:lpwstr>eyJoZGlkIjoiN2YzNjBkOTgyNWQ1YTMxYzM3MzMwNWFiODNmOWIzYWMiLCJ1c2VySWQiOiIxNzcxODM5Mjk0In0=</vt:lpwstr>
  </property>
</Properties>
</file>