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50" w:lineRule="exact"/>
        <w:ind w:left="0" w:firstLine="0"/>
        <w:jc w:val="both"/>
        <w:textAlignment w:val="auto"/>
        <w:outlineLvl w:val="9"/>
        <w:rPr>
          <w:rFonts w:hint="default" w:ascii="Times New Roman" w:hAnsi="Times New Roman" w:eastAsia="方正黑体" w:cs="Times New Roman"/>
          <w:sz w:val="32"/>
          <w:szCs w:val="32"/>
          <w:lang w:val="en-US" w:eastAsia="zh-CN"/>
        </w:rPr>
      </w:pPr>
      <w:r>
        <w:rPr>
          <w:rFonts w:hint="default" w:ascii="Times New Roman" w:hAnsi="Times New Roman" w:eastAsia="方正黑体" w:cs="Times New Roman"/>
          <w:sz w:val="32"/>
          <w:szCs w:val="32"/>
          <w:lang w:val="en-US" w:eastAsia="zh-CN"/>
        </w:rPr>
        <w:t>附件</w:t>
      </w:r>
      <w:r>
        <w:rPr>
          <w:rFonts w:hint="eastAsia" w:ascii="Times New Roman" w:hAnsi="Times New Roman" w:eastAsia="方正黑体" w:cs="Times New Roman"/>
          <w:sz w:val="32"/>
          <w:szCs w:val="32"/>
          <w:lang w:val="en-US" w:eastAsia="zh-CN"/>
        </w:rPr>
        <w:t>2</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bidi="ar"/>
        </w:rPr>
      </w:pPr>
    </w:p>
    <w:p>
      <w:pPr>
        <w:keepNext w:val="0"/>
        <w:keepLines w:val="0"/>
        <w:pageBreakBefore w:val="0"/>
        <w:widowControl/>
        <w:kinsoku/>
        <w:wordWrap/>
        <w:overflowPunct/>
        <w:topLinePunct w:val="0"/>
        <w:autoSpaceDE/>
        <w:autoSpaceDN/>
        <w:bidi w:val="0"/>
        <w:adjustRightInd/>
        <w:snapToGrid/>
        <w:spacing w:line="550" w:lineRule="exact"/>
        <w:ind w:firstLine="0" w:firstLineChars="0"/>
        <w:jc w:val="center"/>
        <w:textAlignment w:val="auto"/>
        <w:outlineLvl w:val="9"/>
        <w:rPr>
          <w:rFonts w:hint="default" w:ascii="Times New Roman" w:hAnsi="Times New Roman" w:eastAsia="仿宋" w:cs="Times New Roman"/>
          <w:b/>
          <w:bCs/>
          <w:sz w:val="32"/>
          <w:szCs w:val="32"/>
          <w:lang w:eastAsia="zh-CN"/>
        </w:rPr>
      </w:pPr>
      <w:r>
        <w:rPr>
          <w:rFonts w:hint="eastAsia" w:ascii="Times New Roman" w:hAnsi="Times New Roman" w:eastAsia="方正小标宋简体" w:cs="Times New Roman"/>
          <w:sz w:val="44"/>
          <w:szCs w:val="44"/>
          <w:lang w:eastAsia="zh-CN"/>
        </w:rPr>
        <w:t>贵州省</w:t>
      </w:r>
      <w:bookmarkStart w:id="0" w:name="_GoBack"/>
      <w:bookmarkEnd w:id="0"/>
      <w:r>
        <w:rPr>
          <w:rFonts w:hint="default" w:ascii="Times New Roman" w:hAnsi="Times New Roman" w:eastAsia="方正小标宋简体" w:cs="Times New Roman"/>
          <w:sz w:val="44"/>
          <w:szCs w:val="44"/>
        </w:rPr>
        <w:t>创新型中小企业评价</w:t>
      </w:r>
      <w:r>
        <w:rPr>
          <w:rFonts w:hint="default" w:ascii="Times New Roman" w:hAnsi="Times New Roman" w:eastAsia="方正小标宋简体" w:cs="Times New Roman"/>
          <w:color w:val="000000"/>
          <w:kern w:val="0"/>
          <w:sz w:val="44"/>
          <w:szCs w:val="44"/>
          <w:lang w:bidi="ar"/>
        </w:rPr>
        <w:t>佐证材料</w:t>
      </w:r>
    </w:p>
    <w:p>
      <w:pPr>
        <w:keepNext w:val="0"/>
        <w:keepLines w:val="0"/>
        <w:pageBreakBefore w:val="0"/>
        <w:widowControl/>
        <w:kinsoku/>
        <w:wordWrap/>
        <w:overflowPunct/>
        <w:topLinePunct w:val="0"/>
        <w:autoSpaceDE/>
        <w:autoSpaceDN/>
        <w:bidi w:val="0"/>
        <w:adjustRightInd/>
        <w:snapToGrid/>
        <w:spacing w:line="550" w:lineRule="exact"/>
        <w:jc w:val="both"/>
        <w:textAlignment w:val="auto"/>
        <w:rPr>
          <w:rFonts w:hint="default" w:ascii="Times New Roman" w:hAnsi="Times New Roman" w:eastAsia="方正小标宋简体" w:cs="Times New Roman"/>
          <w:color w:val="000000"/>
          <w:kern w:val="0"/>
          <w:sz w:val="44"/>
          <w:szCs w:val="44"/>
          <w:lang w:bidi="ar"/>
        </w:rPr>
      </w:pPr>
    </w:p>
    <w:p>
      <w:pPr>
        <w:pStyle w:val="2"/>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一、基础材料</w:t>
      </w:r>
    </w:p>
    <w:p>
      <w:pPr>
        <w:pStyle w:val="2"/>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.《创新型中小企业自评表》扫描件（在培育平台填写后下载打印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相关数据须与培育平台申报系统保持一致，自评表填报的经济效益和经营情况相关数据需与企业年审报告或财务报表中数据一致，“真实性声明”处</w:t>
      </w:r>
      <w:r>
        <w:rPr>
          <w:rFonts w:hint="eastAsia" w:ascii="Times New Roman" w:hAnsi="Times New Roman" w:eastAsia="仿宋_GB2312" w:cs="Times New Roman"/>
          <w:sz w:val="32"/>
          <w:szCs w:val="32"/>
          <w:lang w:val="en-US" w:eastAsia="zh-CN"/>
        </w:rPr>
        <w:t>需</w:t>
      </w:r>
      <w:r>
        <w:rPr>
          <w:rFonts w:hint="default" w:ascii="Times New Roman" w:hAnsi="Times New Roman" w:eastAsia="仿宋_GB2312" w:cs="Times New Roman"/>
          <w:sz w:val="32"/>
          <w:szCs w:val="32"/>
          <w:lang w:val="en-US" w:eastAsia="zh-CN"/>
        </w:rPr>
        <w:t>法定代表人签字</w:t>
      </w:r>
      <w:r>
        <w:rPr>
          <w:rFonts w:hint="eastAsia" w:ascii="Times New Roman" w:hAnsi="Times New Roman" w:eastAsia="仿宋_GB2312" w:cs="Times New Roman"/>
          <w:sz w:val="32"/>
          <w:szCs w:val="32"/>
          <w:lang w:val="en-US" w:eastAsia="zh-CN"/>
        </w:rPr>
        <w:t>、加盖公章</w:t>
      </w:r>
      <w:r>
        <w:rPr>
          <w:rFonts w:hint="default" w:ascii="Times New Roman" w:hAnsi="Times New Roman" w:eastAsia="仿宋_GB2312" w:cs="Times New Roman"/>
          <w:sz w:val="32"/>
          <w:szCs w:val="32"/>
          <w:lang w:val="en-US" w:eastAsia="zh-CN"/>
        </w:rPr>
        <w:t>，封面</w:t>
      </w:r>
      <w:r>
        <w:rPr>
          <w:rFonts w:hint="eastAsia" w:ascii="Times New Roman" w:hAnsi="Times New Roman" w:eastAsia="仿宋_GB2312" w:cs="Times New Roman"/>
          <w:sz w:val="32"/>
          <w:szCs w:val="32"/>
          <w:lang w:val="en-US" w:eastAsia="zh-CN"/>
        </w:rPr>
        <w:t>需</w:t>
      </w:r>
      <w:r>
        <w:rPr>
          <w:rFonts w:hint="default" w:ascii="Times New Roman" w:hAnsi="Times New Roman" w:eastAsia="仿宋_GB2312" w:cs="Times New Roman"/>
          <w:sz w:val="32"/>
          <w:szCs w:val="32"/>
          <w:lang w:val="en-US" w:eastAsia="zh-CN"/>
        </w:rPr>
        <w:t>加盖公章）</w:t>
      </w:r>
    </w:p>
    <w:p>
      <w:pPr>
        <w:pStyle w:val="2"/>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企业营业执照复印件</w:t>
      </w:r>
    </w:p>
    <w:p>
      <w:pPr>
        <w:pStyle w:val="2"/>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kern w:val="0"/>
          <w:sz w:val="32"/>
          <w:szCs w:val="32"/>
          <w:shd w:val="clear" w:color="auto" w:fill="FFFFFF"/>
        </w:rPr>
        <w:t>近</w:t>
      </w:r>
      <w:r>
        <w:rPr>
          <w:rFonts w:hint="eastAsia" w:ascii="Times New Roman" w:hAnsi="Times New Roman" w:eastAsia="仿宋_GB2312" w:cs="Times New Roman"/>
          <w:color w:val="000000"/>
          <w:kern w:val="0"/>
          <w:sz w:val="32"/>
          <w:szCs w:val="32"/>
          <w:shd w:val="clear" w:color="auto" w:fill="FFFFFF"/>
          <w:lang w:val="en-US" w:eastAsia="zh-CN"/>
        </w:rPr>
        <w:t>三</w:t>
      </w:r>
      <w:r>
        <w:rPr>
          <w:rFonts w:hint="default" w:ascii="Times New Roman" w:hAnsi="Times New Roman" w:eastAsia="仿宋_GB2312" w:cs="Times New Roman"/>
          <w:color w:val="000000"/>
          <w:kern w:val="0"/>
          <w:sz w:val="32"/>
          <w:szCs w:val="32"/>
          <w:shd w:val="clear" w:color="auto" w:fill="FFFFFF"/>
        </w:rPr>
        <w:t>年所得税纳税申报表（含所得税年度纳税申报表、期间费用明细表，须加盖税务部门</w:t>
      </w:r>
      <w:r>
        <w:rPr>
          <w:rFonts w:hint="default" w:ascii="Times New Roman" w:hAnsi="Times New Roman" w:eastAsia="仿宋_GB2312" w:cs="Times New Roman"/>
          <w:color w:val="000000"/>
          <w:kern w:val="0"/>
          <w:sz w:val="32"/>
          <w:szCs w:val="32"/>
          <w:shd w:val="clear" w:color="auto" w:fill="FFFFFF"/>
          <w:lang w:eastAsia="zh-CN"/>
        </w:rPr>
        <w:t>业务</w:t>
      </w:r>
      <w:r>
        <w:rPr>
          <w:rFonts w:hint="default" w:ascii="Times New Roman" w:hAnsi="Times New Roman" w:eastAsia="仿宋_GB2312" w:cs="Times New Roman"/>
          <w:color w:val="000000"/>
          <w:kern w:val="0"/>
          <w:sz w:val="32"/>
          <w:szCs w:val="32"/>
          <w:shd w:val="clear" w:color="auto" w:fill="FFFFFF"/>
        </w:rPr>
        <w:t>章）</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4</w:t>
      </w:r>
      <w:r>
        <w:rPr>
          <w:rFonts w:hint="default" w:ascii="Times New Roman" w:hAnsi="Times New Roman" w:eastAsia="仿宋_GB2312" w:cs="Times New Roman"/>
          <w:color w:val="000000"/>
          <w:kern w:val="0"/>
          <w:sz w:val="32"/>
          <w:szCs w:val="32"/>
          <w:lang w:val="en-US" w:eastAsia="zh-CN" w:bidi="ar"/>
        </w:rPr>
        <w:t>.近三年</w:t>
      </w:r>
      <w:r>
        <w:rPr>
          <w:rFonts w:hint="eastAsia" w:ascii="Times New Roman" w:hAnsi="Times New Roman" w:eastAsia="仿宋_GB2312" w:cs="Times New Roman"/>
          <w:color w:val="000000"/>
          <w:kern w:val="0"/>
          <w:sz w:val="32"/>
          <w:szCs w:val="32"/>
          <w:lang w:val="en-US" w:eastAsia="zh-CN" w:bidi="ar"/>
        </w:rPr>
        <w:t>未发生重大安全（含网络安全、数据安全）、质量、环境污染等事故以及偷漏税等违法违规行为证明材料（在信用中国https://www.creditchina.gov.cn/下载信用报告）</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5.企业未被列入经营异常名录证明材料（在国家企业信用信息公示系统https://www.gsxt.gov.cn/上查询，可提交体现此项内容的网站页面完整截图）</w:t>
      </w:r>
    </w:p>
    <w:p>
      <w:pPr>
        <w:pStyle w:val="2"/>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eastAsia="zh-CN"/>
        </w:rPr>
        <w:t>符合四项</w:t>
      </w:r>
      <w:r>
        <w:rPr>
          <w:rFonts w:hint="default" w:ascii="Times New Roman" w:hAnsi="Times New Roman" w:eastAsia="黑体" w:cs="Times New Roman"/>
          <w:sz w:val="32"/>
          <w:szCs w:val="32"/>
        </w:rPr>
        <w:t>直通条件</w:t>
      </w:r>
      <w:r>
        <w:rPr>
          <w:rFonts w:hint="default" w:ascii="Times New Roman" w:hAnsi="Times New Roman" w:eastAsia="黑体" w:cs="Times New Roman"/>
          <w:sz w:val="32"/>
          <w:szCs w:val="32"/>
          <w:lang w:eastAsia="zh-CN"/>
        </w:rPr>
        <w:t>之一的企业</w:t>
      </w:r>
      <w:r>
        <w:rPr>
          <w:rFonts w:hint="default" w:ascii="Times New Roman" w:hAnsi="Times New Roman" w:eastAsia="黑体" w:cs="Times New Roman"/>
          <w:sz w:val="32"/>
          <w:szCs w:val="32"/>
        </w:rPr>
        <w:t>佐证材料</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6</w:t>
      </w:r>
      <w:r>
        <w:rPr>
          <w:rFonts w:hint="default" w:ascii="Times New Roman" w:hAnsi="Times New Roman" w:eastAsia="仿宋_GB2312" w:cs="Times New Roman"/>
          <w:color w:val="000000"/>
          <w:kern w:val="0"/>
          <w:sz w:val="32"/>
          <w:szCs w:val="32"/>
          <w:lang w:val="en-US" w:eastAsia="zh-CN" w:bidi="ar"/>
        </w:rPr>
        <w:t>.近三年内获得过的国家级、省级科技奖励证书</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7</w:t>
      </w:r>
      <w:r>
        <w:rPr>
          <w:rFonts w:hint="default" w:ascii="Times New Roman" w:hAnsi="Times New Roman" w:eastAsia="仿宋_GB2312" w:cs="Times New Roman"/>
          <w:color w:val="000000"/>
          <w:kern w:val="0"/>
          <w:sz w:val="32"/>
          <w:szCs w:val="32"/>
          <w:lang w:val="en-US" w:eastAsia="zh-CN" w:bidi="ar"/>
        </w:rPr>
        <w:t>.高新技术企业、国家级技术创新示范企业、知识产权优势企业和知识产权示范企业荣誉证书（均为有效期内）</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8</w:t>
      </w:r>
      <w:r>
        <w:rPr>
          <w:rFonts w:hint="default" w:ascii="Times New Roman" w:hAnsi="Times New Roman" w:eastAsia="仿宋_GB2312" w:cs="Times New Roman"/>
          <w:color w:val="000000"/>
          <w:kern w:val="0"/>
          <w:sz w:val="32"/>
          <w:szCs w:val="32"/>
          <w:lang w:val="en-US" w:eastAsia="zh-CN" w:bidi="ar"/>
        </w:rPr>
        <w:t>.省部级以上研发机构设立佐证材料</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9</w:t>
      </w:r>
      <w:r>
        <w:rPr>
          <w:rFonts w:hint="default" w:ascii="Times New Roman" w:hAnsi="Times New Roman" w:eastAsia="仿宋_GB2312" w:cs="Times New Roman"/>
          <w:color w:val="000000"/>
          <w:kern w:val="0"/>
          <w:sz w:val="32"/>
          <w:szCs w:val="32"/>
          <w:lang w:val="en-US" w:eastAsia="zh-CN" w:bidi="ar"/>
        </w:rPr>
        <w:t>.近三年新增股权融资总额（合格机构投资者的实缴额）500万元以上佐证材料，包括银行到账凭证或融资报告（同时提供是合格机构投资者的证明材料）</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黑体" w:cs="Times New Roman"/>
          <w:spacing w:val="0"/>
          <w:kern w:val="2"/>
          <w:sz w:val="32"/>
          <w:szCs w:val="32"/>
          <w:lang w:val="en-US" w:eastAsia="zh-CN" w:bidi="ar-SA"/>
        </w:rPr>
      </w:pPr>
      <w:r>
        <w:rPr>
          <w:rFonts w:hint="default" w:ascii="Times New Roman" w:hAnsi="Times New Roman" w:eastAsia="黑体" w:cs="Times New Roman"/>
          <w:spacing w:val="0"/>
          <w:kern w:val="2"/>
          <w:sz w:val="32"/>
          <w:szCs w:val="32"/>
          <w:lang w:val="en-US" w:eastAsia="zh-CN" w:bidi="ar-SA"/>
        </w:rPr>
        <w:t>三、评价指标对应的佐证材料</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10.近</w:t>
      </w:r>
      <w:r>
        <w:rPr>
          <w:rFonts w:hint="eastAsia" w:ascii="Times New Roman" w:hAnsi="Times New Roman" w:eastAsia="仿宋_GB2312" w:cs="Times New Roman"/>
          <w:color w:val="000000"/>
          <w:kern w:val="0"/>
          <w:sz w:val="32"/>
          <w:szCs w:val="32"/>
          <w:lang w:val="en-US" w:eastAsia="zh-CN" w:bidi="ar"/>
        </w:rPr>
        <w:t>三</w:t>
      </w:r>
      <w:r>
        <w:rPr>
          <w:rFonts w:hint="default" w:ascii="Times New Roman" w:hAnsi="Times New Roman" w:eastAsia="仿宋_GB2312" w:cs="Times New Roman"/>
          <w:color w:val="000000"/>
          <w:kern w:val="0"/>
          <w:sz w:val="32"/>
          <w:szCs w:val="32"/>
          <w:lang w:val="en-US" w:eastAsia="zh-CN" w:bidi="ar"/>
        </w:rPr>
        <w:t>年度审计报告（应包含研发费用支出、主营业务收入等</w:t>
      </w:r>
      <w:r>
        <w:rPr>
          <w:rFonts w:hint="eastAsia" w:ascii="Times New Roman" w:hAnsi="Times New Roman" w:eastAsia="仿宋_GB2312" w:cs="Times New Roman"/>
          <w:color w:val="000000"/>
          <w:kern w:val="0"/>
          <w:sz w:val="32"/>
          <w:szCs w:val="32"/>
          <w:lang w:val="en-US" w:eastAsia="zh-CN" w:bidi="ar"/>
        </w:rPr>
        <w:t>。</w:t>
      </w:r>
      <w:r>
        <w:rPr>
          <w:rFonts w:hint="eastAsia" w:ascii="仿宋_GB2312" w:hAnsi="仿宋_GB2312" w:eastAsia="仿宋_GB2312" w:cs="仿宋_GB2312"/>
          <w:b w:val="0"/>
          <w:i w:val="0"/>
          <w:caps w:val="0"/>
          <w:color w:val="070707"/>
          <w:spacing w:val="0"/>
          <w:sz w:val="32"/>
          <w:szCs w:val="32"/>
          <w:lang w:val="en-US" w:eastAsia="zh-CN"/>
        </w:rPr>
        <w:t>暂无2022年度财务审计报告的企业，可先行报送2022年度加盖企业公章的会计报表及后续补报承诺书，并按承诺时间报送</w:t>
      </w:r>
      <w:r>
        <w:rPr>
          <w:rFonts w:hint="default" w:ascii="Times New Roman" w:hAnsi="Times New Roman" w:eastAsia="仿宋_GB2312" w:cs="Times New Roman"/>
          <w:color w:val="000000"/>
          <w:kern w:val="0"/>
          <w:sz w:val="32"/>
          <w:szCs w:val="32"/>
          <w:lang w:val="en-US" w:eastAsia="zh-CN" w:bidi="ar"/>
        </w:rPr>
        <w:t>）</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11.近三年研发费用佐证（若审计报告有研发费用栏或相关附注，则无需提供；若无，则需提供研发费用佐证，包括但不限于研发专项审计报告、研发费用明细及票据等）</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12</w:t>
      </w:r>
      <w:r>
        <w:rPr>
          <w:rFonts w:hint="default" w:ascii="Times New Roman" w:hAnsi="Times New Roman" w:eastAsia="仿宋_GB2312" w:cs="Times New Roman"/>
          <w:color w:val="000000"/>
          <w:kern w:val="0"/>
          <w:sz w:val="32"/>
          <w:szCs w:val="32"/>
          <w:lang w:val="en-US" w:eastAsia="zh-CN" w:bidi="ar"/>
        </w:rPr>
        <w:t>.I类、II类知识产权证书</w:t>
      </w:r>
    </w:p>
    <w:p>
      <w:pPr>
        <w:keepNext w:val="0"/>
        <w:keepLines w:val="0"/>
        <w:pageBreakBefore w:val="0"/>
        <w:widowControl/>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ascii="Times New Roman" w:hAnsi="Times New Roman"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val="en-US" w:eastAsia="zh-CN" w:bidi="ar"/>
        </w:rPr>
        <w:t>.主导产品属于《战略性新兴产业分类（2018）》（国家统计局令第23号）的自我说明</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可以证明符合</w:t>
      </w:r>
      <w:r>
        <w:rPr>
          <w:rFonts w:hint="default" w:ascii="Times New Roman" w:hAnsi="Times New Roman" w:eastAsia="仿宋_GB2312" w:cs="Times New Roman"/>
          <w:sz w:val="32"/>
          <w:szCs w:val="32"/>
          <w:lang w:eastAsia="zh-CN"/>
        </w:rPr>
        <w:t>得分标准</w:t>
      </w:r>
      <w:r>
        <w:rPr>
          <w:rFonts w:hint="default" w:ascii="Times New Roman" w:hAnsi="Times New Roman" w:eastAsia="仿宋_GB2312" w:cs="Times New Roman"/>
          <w:sz w:val="32"/>
          <w:szCs w:val="32"/>
        </w:rPr>
        <w:t>的其他材料</w:t>
      </w:r>
    </w:p>
    <w:p>
      <w:pPr>
        <w:rPr>
          <w:rFonts w:hint="default" w:ascii="Times New Roman" w:hAnsi="Times New Roman" w:eastAsia="仿宋_GB2312" w:cs="Times New Roman"/>
          <w:sz w:val="32"/>
          <w:szCs w:val="32"/>
        </w:rPr>
      </w:pPr>
    </w:p>
    <w:sectPr>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黑体">
    <w:altName w:val="方正黑体_GBK"/>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YmMyNDk5MjhjYTI2NzBhOGFlOWFiODk3OTc5YjYifQ=="/>
  </w:docVars>
  <w:rsids>
    <w:rsidRoot w:val="00000000"/>
    <w:rsid w:val="29885FD1"/>
    <w:rsid w:val="5FE6305F"/>
    <w:rsid w:val="6EEDA589"/>
    <w:rsid w:val="7F0D680D"/>
    <w:rsid w:val="7F175E75"/>
    <w:rsid w:val="D4D7D67E"/>
    <w:rsid w:val="EFDE5A18"/>
    <w:rsid w:val="F3B7F050"/>
    <w:rsid w:val="FE7BF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rPr>
      <w:rFonts w:ascii="Calibri" w:hAnsi="Calibri" w:eastAsia="宋体"/>
      <w:spacing w:val="0"/>
      <w:sz w:val="21"/>
      <w:szCs w:val="24"/>
    </w:rPr>
  </w:style>
  <w:style w:type="paragraph" w:styleId="3">
    <w:name w:val="Title"/>
    <w:basedOn w:val="1"/>
    <w:next w:val="1"/>
    <w:qFormat/>
    <w:uiPriority w:val="0"/>
    <w:pPr>
      <w:spacing w:line="240" w:lineRule="auto"/>
      <w:jc w:val="center"/>
      <w:outlineLvl w:val="0"/>
    </w:pPr>
    <w:rPr>
      <w:rFonts w:ascii="方正小标宋_GBK" w:hAnsi="方正小标宋_GBK" w:eastAsia="方正小标宋_GBK" w:cs="方正小标宋_GBK"/>
      <w:spacing w:val="0"/>
      <w:sz w:val="44"/>
      <w:szCs w:val="44"/>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2022-11-26T07:27:00Z</dcterms:created>
  <dc:creator>Administrator</dc:creator>
  <cp:lastModifiedBy>ysgz</cp:lastModifiedBy>
  <dcterms:modified xsi:type="dcterms:W3CDTF">2023-01-05T15:26:08Z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DA40F47B148F4A7E881FCE421488C6C8</vt:lpwstr>
  </property>
</Properties>
</file>