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auto"/>
        <w:spacing w:line="520" w:lineRule="exact"/>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附件4</w:t>
      </w:r>
    </w:p>
    <w:p>
      <w:pPr>
        <w:keepNext w:val="0"/>
        <w:keepLines w:val="0"/>
        <w:pageBreakBefore w:val="0"/>
        <w:widowControl w:val="0"/>
        <w:kinsoku/>
        <w:wordWrap/>
        <w:overflowPunct/>
        <w:topLinePunct w:val="0"/>
        <w:autoSpaceDE/>
        <w:autoSpaceDN/>
        <w:bidi w:val="0"/>
        <w:adjustRightInd/>
        <w:snapToGrid/>
        <w:spacing w:before="156" w:beforeLines="50" w:after="156" w:afterLines="50"/>
        <w:jc w:val="center"/>
        <w:textAlignment w:val="auto"/>
        <w:rPr>
          <w:rFonts w:hint="default"/>
          <w:sz w:val="32"/>
          <w:szCs w:val="40"/>
          <w:lang w:val="en-US" w:eastAsia="zh-CN"/>
        </w:rPr>
      </w:pPr>
      <w:r>
        <w:rPr>
          <w:rFonts w:hint="eastAsia" w:ascii="方正小标宋简体" w:hAnsi="方正小标宋简体" w:eastAsia="方正小标宋简体" w:cs="方正小标宋简体"/>
          <w:sz w:val="44"/>
          <w:szCs w:val="44"/>
        </w:rPr>
        <w:t>贵州省工业和信息化</w:t>
      </w:r>
      <w:r>
        <w:rPr>
          <w:rFonts w:hint="eastAsia" w:ascii="方正小标宋简体" w:hAnsi="方正小标宋简体" w:eastAsia="方正小标宋简体" w:cs="方正小标宋简体"/>
          <w:sz w:val="44"/>
          <w:szCs w:val="44"/>
          <w:lang w:eastAsia="zh-CN"/>
        </w:rPr>
        <w:t>领域</w:t>
      </w:r>
      <w:bookmarkStart w:id="0" w:name="_GoBack"/>
      <w:bookmarkEnd w:id="0"/>
      <w:r>
        <w:rPr>
          <w:rFonts w:hint="eastAsia" w:ascii="方正小标宋简体" w:hAnsi="方正小标宋简体" w:eastAsia="方正小标宋简体" w:cs="方正小标宋简体"/>
          <w:sz w:val="44"/>
          <w:szCs w:val="44"/>
        </w:rPr>
        <w:t>行政</w:t>
      </w:r>
      <w:r>
        <w:rPr>
          <w:rFonts w:hint="eastAsia" w:ascii="方正小标宋简体" w:hAnsi="方正小标宋简体" w:eastAsia="方正小标宋简体" w:cs="方正小标宋简体"/>
          <w:sz w:val="44"/>
          <w:szCs w:val="44"/>
          <w:lang w:val="en-US" w:eastAsia="zh-CN"/>
        </w:rPr>
        <w:t>强制</w:t>
      </w:r>
      <w:r>
        <w:rPr>
          <w:rFonts w:hint="eastAsia" w:ascii="方正小标宋简体" w:hAnsi="方正小标宋简体" w:eastAsia="方正小标宋简体" w:cs="方正小标宋简体"/>
          <w:sz w:val="44"/>
          <w:szCs w:val="44"/>
        </w:rPr>
        <w:t>裁量基准表</w:t>
      </w:r>
      <w:r>
        <w:rPr>
          <w:rFonts w:hint="eastAsia" w:ascii="方正小标宋简体" w:eastAsia="方正小标宋简体" w:cs="方正小标宋简体"/>
          <w:b w:val="0"/>
          <w:i w:val="0"/>
          <w:color w:val="auto"/>
          <w:sz w:val="44"/>
          <w:szCs w:val="44"/>
          <w:highlight w:val="none"/>
        </w:rPr>
        <w:t>（征求意见稿）</w:t>
      </w:r>
    </w:p>
    <w:tbl>
      <w:tblPr>
        <w:tblStyle w:val="5"/>
        <w:tblW w:w="14736" w:type="dxa"/>
        <w:tblInd w:w="-3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
        <w:gridCol w:w="2013"/>
        <w:gridCol w:w="3275"/>
        <w:gridCol w:w="1646"/>
        <w:gridCol w:w="2711"/>
        <w:gridCol w:w="3162"/>
        <w:gridCol w:w="15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trPr>
        <w:tc>
          <w:tcPr>
            <w:tcW w:w="403" w:type="dxa"/>
            <w:vAlign w:val="center"/>
          </w:tcPr>
          <w:p>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序号</w:t>
            </w:r>
          </w:p>
        </w:tc>
        <w:tc>
          <w:tcPr>
            <w:tcW w:w="2010" w:type="dxa"/>
            <w:vAlign w:val="center"/>
          </w:tcPr>
          <w:p>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事项名称</w:t>
            </w:r>
          </w:p>
        </w:tc>
        <w:tc>
          <w:tcPr>
            <w:tcW w:w="3270" w:type="dxa"/>
            <w:vAlign w:val="center"/>
          </w:tcPr>
          <w:p>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法定依据</w:t>
            </w:r>
          </w:p>
        </w:tc>
        <w:tc>
          <w:tcPr>
            <w:tcW w:w="1643" w:type="dxa"/>
            <w:vAlign w:val="center"/>
          </w:tcPr>
          <w:p>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实施主体</w:t>
            </w:r>
          </w:p>
        </w:tc>
        <w:tc>
          <w:tcPr>
            <w:tcW w:w="2707" w:type="dxa"/>
            <w:vAlign w:val="center"/>
          </w:tcPr>
          <w:p>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条件</w:t>
            </w:r>
          </w:p>
        </w:tc>
        <w:tc>
          <w:tcPr>
            <w:tcW w:w="3157" w:type="dxa"/>
            <w:vAlign w:val="center"/>
          </w:tcPr>
          <w:p>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程序</w:t>
            </w:r>
          </w:p>
        </w:tc>
        <w:tc>
          <w:tcPr>
            <w:tcW w:w="1523" w:type="dxa"/>
            <w:vAlign w:val="center"/>
          </w:tcPr>
          <w:p>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时限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trPr>
        <w:tc>
          <w:tcPr>
            <w:tcW w:w="403" w:type="dxa"/>
            <w:vAlign w:val="center"/>
          </w:tcPr>
          <w:p>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0"/>
                <w:szCs w:val="20"/>
                <w:vertAlign w:val="baseline"/>
                <w:lang w:val="en" w:eastAsia="zh-CN"/>
              </w:rPr>
            </w:pPr>
            <w:r>
              <w:rPr>
                <w:rFonts w:hint="eastAsia" w:ascii="仿宋_GB2312" w:hAnsi="仿宋_GB2312" w:eastAsia="仿宋_GB2312" w:cs="仿宋_GB2312"/>
                <w:sz w:val="20"/>
                <w:szCs w:val="20"/>
                <w:vertAlign w:val="baseline"/>
                <w:lang w:val="en" w:eastAsia="zh-CN"/>
              </w:rPr>
              <w:t>1</w:t>
            </w:r>
          </w:p>
        </w:tc>
        <w:tc>
          <w:tcPr>
            <w:tcW w:w="2010" w:type="dxa"/>
            <w:vAlign w:val="center"/>
          </w:tcPr>
          <w:p>
            <w:pPr>
              <w:keepNext w:val="0"/>
              <w:keepLines w:val="0"/>
              <w:pageBreakBefore w:val="0"/>
              <w:widowControl/>
              <w:suppressAutoHyphens/>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暂扣、查封、阻断非法无线电发射活动的无线电发射设备、无线电台（站）</w:t>
            </w:r>
          </w:p>
        </w:tc>
        <w:tc>
          <w:tcPr>
            <w:tcW w:w="3270" w:type="dxa"/>
            <w:vAlign w:val="center"/>
          </w:tcPr>
          <w:p>
            <w:pPr>
              <w:keepNext w:val="0"/>
              <w:keepLines w:val="0"/>
              <w:pageBreakBefore w:val="0"/>
              <w:widowControl/>
              <w:suppressAutoHyphens/>
              <w:kinsoku/>
              <w:wordWrap/>
              <w:overflowPunct/>
              <w:topLinePunct w:val="0"/>
              <w:autoSpaceDE/>
              <w:autoSpaceDN/>
              <w:bidi w:val="0"/>
              <w:adjustRightInd/>
              <w:snapToGrid/>
              <w:spacing w:line="320" w:lineRule="exact"/>
              <w:ind w:firstLine="400" w:firstLineChars="200"/>
              <w:jc w:val="both"/>
              <w:textAlignment w:val="auto"/>
              <w:rPr>
                <w:rFonts w:hint="eastAsia" w:ascii="仿宋_GB2312" w:hAnsi="仿宋_GB2312" w:eastAsia="仿宋_GB2312" w:cs="仿宋_GB2312"/>
                <w:color w:val="000000"/>
                <w:kern w:val="0"/>
                <w:sz w:val="20"/>
                <w:szCs w:val="20"/>
                <w:lang w:eastAsia="zh-CN"/>
              </w:rPr>
            </w:pPr>
            <w:r>
              <w:rPr>
                <w:rFonts w:hint="eastAsia" w:ascii="仿宋_GB2312" w:hAnsi="仿宋_GB2312" w:eastAsia="仿宋_GB2312" w:cs="仿宋_GB2312"/>
                <w:sz w:val="20"/>
                <w:szCs w:val="20"/>
              </w:rPr>
              <w:t>《中华人民共和国无线电管理条例》（国务院和中央军委令第672号）</w:t>
            </w:r>
          </w:p>
          <w:p>
            <w:pPr>
              <w:keepNext w:val="0"/>
              <w:keepLines w:val="0"/>
              <w:pageBreakBefore w:val="0"/>
              <w:widowControl/>
              <w:suppressAutoHyphens/>
              <w:kinsoku/>
              <w:wordWrap/>
              <w:overflowPunct/>
              <w:topLinePunct w:val="0"/>
              <w:autoSpaceDE/>
              <w:autoSpaceDN/>
              <w:bidi w:val="0"/>
              <w:adjustRightInd/>
              <w:snapToGrid/>
              <w:spacing w:line="320" w:lineRule="exact"/>
              <w:ind w:firstLine="400" w:firstLineChars="200"/>
              <w:jc w:val="both"/>
              <w:textAlignment w:val="auto"/>
              <w:rPr>
                <w:rFonts w:hint="eastAsia" w:ascii="仿宋_GB2312" w:hAnsi="仿宋_GB2312" w:eastAsia="仿宋_GB2312" w:cs="仿宋_GB2312"/>
                <w:color w:val="000000"/>
                <w:kern w:val="0"/>
                <w:sz w:val="20"/>
                <w:szCs w:val="20"/>
                <w:lang w:val="en-US" w:eastAsia="zh-CN"/>
              </w:rPr>
            </w:pPr>
            <w:r>
              <w:rPr>
                <w:rFonts w:hint="eastAsia" w:ascii="仿宋_GB2312" w:hAnsi="仿宋_GB2312" w:eastAsia="仿宋_GB2312" w:cs="仿宋_GB2312"/>
                <w:color w:val="000000"/>
                <w:kern w:val="0"/>
                <w:sz w:val="20"/>
                <w:szCs w:val="20"/>
                <w:lang w:val="en-US" w:eastAsia="zh-CN"/>
              </w:rPr>
              <w:t>第六十七条 对非法的无线电发射活动，无线电管理机构可以暂扣无线电发射设备或者查封无线电台(站)，必要时可以采取技术性阻断措施;无线电管理机构在无线电监测、检查工作中发现涉嫌违法犯罪活动的，应当及时通报公安机关并配合调查处理。</w:t>
            </w:r>
          </w:p>
          <w:p>
            <w:pPr>
              <w:keepNext w:val="0"/>
              <w:keepLines w:val="0"/>
              <w:pageBreakBefore w:val="0"/>
              <w:tabs>
                <w:tab w:val="left" w:pos="360"/>
              </w:tabs>
              <w:kinsoku/>
              <w:wordWrap/>
              <w:overflowPunct/>
              <w:topLinePunct w:val="0"/>
              <w:autoSpaceDE/>
              <w:autoSpaceDN/>
              <w:bidi w:val="0"/>
              <w:adjustRightInd/>
              <w:snapToGrid/>
              <w:spacing w:line="320" w:lineRule="exact"/>
              <w:ind w:firstLine="400" w:firstLineChars="200"/>
              <w:jc w:val="both"/>
              <w:textAlignment w:val="auto"/>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lang w:eastAsia="zh-CN"/>
              </w:rPr>
              <w:t>《</w:t>
            </w:r>
            <w:r>
              <w:rPr>
                <w:rFonts w:hint="eastAsia" w:ascii="仿宋_GB2312" w:hAnsi="仿宋_GB2312" w:eastAsia="仿宋_GB2312" w:cs="仿宋_GB2312"/>
                <w:sz w:val="20"/>
                <w:szCs w:val="20"/>
                <w:lang w:val="en-US" w:eastAsia="zh-CN"/>
              </w:rPr>
              <w:t>贵州省</w:t>
            </w:r>
            <w:r>
              <w:rPr>
                <w:rFonts w:hint="eastAsia" w:ascii="仿宋_GB2312" w:hAnsi="仿宋_GB2312" w:eastAsia="仿宋_GB2312" w:cs="仿宋_GB2312"/>
                <w:sz w:val="20"/>
                <w:szCs w:val="20"/>
              </w:rPr>
              <w:t>无线电管理条例</w:t>
            </w:r>
            <w:r>
              <w:rPr>
                <w:rFonts w:hint="eastAsia" w:ascii="仿宋_GB2312" w:hAnsi="仿宋_GB2312" w:eastAsia="仿宋_GB2312" w:cs="仿宋_GB2312"/>
                <w:sz w:val="20"/>
                <w:szCs w:val="20"/>
                <w:lang w:eastAsia="zh-CN"/>
              </w:rPr>
              <w:t>》（2019年3月29日贵州省第十三届人民代表大会常务委员会第九次会议通过）</w:t>
            </w:r>
          </w:p>
          <w:p>
            <w:pPr>
              <w:keepNext w:val="0"/>
              <w:keepLines w:val="0"/>
              <w:pageBreakBefore w:val="0"/>
              <w:widowControl/>
              <w:suppressAutoHyphens/>
              <w:kinsoku/>
              <w:wordWrap/>
              <w:overflowPunct/>
              <w:topLinePunct w:val="0"/>
              <w:autoSpaceDE/>
              <w:autoSpaceDN/>
              <w:bidi w:val="0"/>
              <w:adjustRightInd/>
              <w:snapToGrid/>
              <w:spacing w:line="320" w:lineRule="exact"/>
              <w:ind w:firstLine="400" w:firstLineChars="200"/>
              <w:jc w:val="both"/>
              <w:textAlignment w:val="auto"/>
              <w:rPr>
                <w:rFonts w:hint="eastAsia" w:ascii="仿宋_GB2312" w:hAnsi="仿宋_GB2312" w:eastAsia="仿宋_GB2312" w:cs="仿宋_GB2312"/>
                <w:color w:val="000000"/>
                <w:kern w:val="0"/>
                <w:sz w:val="20"/>
                <w:szCs w:val="20"/>
                <w:lang w:eastAsia="zh-CN"/>
              </w:rPr>
            </w:pPr>
            <w:r>
              <w:rPr>
                <w:rFonts w:hint="eastAsia" w:ascii="仿宋_GB2312" w:hAnsi="仿宋_GB2312" w:eastAsia="仿宋_GB2312" w:cs="仿宋_GB2312"/>
                <w:color w:val="000000"/>
                <w:kern w:val="0"/>
                <w:sz w:val="20"/>
                <w:szCs w:val="20"/>
                <w:lang w:eastAsia="zh-CN"/>
              </w:rPr>
              <w:t>第四条省人民政府无线电主管部门负责全省除军事系统外的无线电管理工作，根据工作需要可以在市、州设立派出机构。</w:t>
            </w:r>
          </w:p>
          <w:p>
            <w:pPr>
              <w:keepNext w:val="0"/>
              <w:keepLines w:val="0"/>
              <w:pageBreakBefore w:val="0"/>
              <w:widowControl/>
              <w:suppressAutoHyphens/>
              <w:kinsoku/>
              <w:wordWrap/>
              <w:overflowPunct/>
              <w:topLinePunct w:val="0"/>
              <w:autoSpaceDE/>
              <w:autoSpaceDN/>
              <w:bidi w:val="0"/>
              <w:adjustRightInd/>
              <w:snapToGrid/>
              <w:spacing w:line="320" w:lineRule="exact"/>
              <w:ind w:firstLine="400" w:firstLineChars="200"/>
              <w:jc w:val="both"/>
              <w:textAlignment w:val="auto"/>
              <w:rPr>
                <w:rFonts w:hint="eastAsia" w:ascii="仿宋_GB2312" w:hAnsi="仿宋_GB2312" w:eastAsia="仿宋_GB2312" w:cs="仿宋_GB2312"/>
                <w:color w:val="000000"/>
                <w:kern w:val="0"/>
                <w:sz w:val="20"/>
                <w:szCs w:val="20"/>
                <w:lang w:eastAsia="zh-CN"/>
              </w:rPr>
            </w:pPr>
            <w:r>
              <w:rPr>
                <w:rFonts w:hint="eastAsia" w:ascii="仿宋_GB2312" w:hAnsi="仿宋_GB2312" w:eastAsia="仿宋_GB2312" w:cs="仿宋_GB2312"/>
                <w:color w:val="000000"/>
                <w:kern w:val="0"/>
                <w:sz w:val="20"/>
                <w:szCs w:val="20"/>
                <w:lang w:eastAsia="zh-CN"/>
              </w:rPr>
              <w:t>省人民政府无线电主管部门在市、州设立的派出机构(以下简称派出机构)按照职责和权限负责本辖区内的无线电管理工作，负责实施无线电频率使用许可和无线电台(站)设置、使用许可，负责无线电监测及干扰查处、无线电监督执法、无线电检测、无线电安全保障等无线电管理工作。</w:t>
            </w:r>
          </w:p>
          <w:p>
            <w:pPr>
              <w:keepNext w:val="0"/>
              <w:keepLines w:val="0"/>
              <w:pageBreakBefore w:val="0"/>
              <w:widowControl/>
              <w:suppressAutoHyphens/>
              <w:kinsoku/>
              <w:wordWrap/>
              <w:overflowPunct/>
              <w:topLinePunct w:val="0"/>
              <w:autoSpaceDE/>
              <w:autoSpaceDN/>
              <w:bidi w:val="0"/>
              <w:adjustRightInd/>
              <w:snapToGrid/>
              <w:spacing w:line="320" w:lineRule="exact"/>
              <w:ind w:firstLine="400" w:firstLineChars="200"/>
              <w:jc w:val="both"/>
              <w:textAlignment w:val="auto"/>
              <w:rPr>
                <w:rFonts w:hint="eastAsia" w:ascii="仿宋_GB2312" w:hAnsi="仿宋_GB2312" w:eastAsia="仿宋_GB2312" w:cs="仿宋_GB2312"/>
                <w:color w:val="000000"/>
                <w:kern w:val="0"/>
                <w:sz w:val="20"/>
                <w:szCs w:val="20"/>
                <w:lang w:eastAsia="zh-CN"/>
              </w:rPr>
            </w:pPr>
            <w:r>
              <w:rPr>
                <w:rFonts w:hint="eastAsia" w:ascii="仿宋_GB2312" w:hAnsi="仿宋_GB2312" w:eastAsia="仿宋_GB2312" w:cs="仿宋_GB2312"/>
                <w:color w:val="000000"/>
                <w:kern w:val="0"/>
                <w:sz w:val="20"/>
                <w:szCs w:val="20"/>
                <w:lang w:eastAsia="zh-CN"/>
              </w:rPr>
              <w:t>县级人民政府应当确定管理部门，协助省人民政府无线电主管部门及其派出机构做好本行政区域内无线电管理工作。县级以上人民政府有关部门应当按照各自职责，做好无线电管理相关工作。</w:t>
            </w:r>
          </w:p>
          <w:p>
            <w:pPr>
              <w:keepNext w:val="0"/>
              <w:keepLines w:val="0"/>
              <w:pageBreakBefore w:val="0"/>
              <w:kinsoku/>
              <w:wordWrap/>
              <w:overflowPunct/>
              <w:topLinePunct w:val="0"/>
              <w:autoSpaceDE/>
              <w:autoSpaceDN/>
              <w:bidi w:val="0"/>
              <w:adjustRightInd/>
              <w:snapToGrid/>
              <w:spacing w:line="320" w:lineRule="exact"/>
              <w:ind w:firstLine="400" w:firstLineChars="200"/>
              <w:jc w:val="both"/>
              <w:textAlignment w:val="auto"/>
              <w:rPr>
                <w:rFonts w:hint="eastAsia" w:ascii="仿宋_GB2312" w:hAnsi="仿宋_GB2312" w:eastAsia="仿宋_GB2312" w:cs="仿宋_GB2312"/>
                <w:sz w:val="20"/>
                <w:szCs w:val="20"/>
                <w:vertAlign w:val="baseline"/>
                <w:lang w:val="en-US" w:eastAsia="zh-CN"/>
              </w:rPr>
            </w:pPr>
          </w:p>
        </w:tc>
        <w:tc>
          <w:tcPr>
            <w:tcW w:w="1643" w:type="dxa"/>
            <w:vAlign w:val="center"/>
          </w:tcPr>
          <w:p>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省工业和信息化厅；各市（州）无线电管理局</w:t>
            </w:r>
          </w:p>
        </w:tc>
        <w:tc>
          <w:tcPr>
            <w:tcW w:w="2707" w:type="dxa"/>
            <w:vAlign w:val="center"/>
          </w:tcPr>
          <w:p>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color w:val="000000"/>
                <w:kern w:val="0"/>
                <w:sz w:val="20"/>
                <w:szCs w:val="20"/>
                <w:lang w:val="en-US" w:eastAsia="zh-CN"/>
              </w:rPr>
              <w:t>对非法的无线电发射活动，可以暂扣无线电发射设备或者查封无线电台(站)，必要时可以采取技术性阻断措施;无线电管理机构在无线电监测、检查工作中发现涉嫌违法犯罪活动的，应当及时通报公安机关并配合调查处理。</w:t>
            </w:r>
          </w:p>
        </w:tc>
        <w:tc>
          <w:tcPr>
            <w:tcW w:w="3157"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lang w:val="en-US" w:eastAsia="zh-CN"/>
              </w:rPr>
              <w:t>（一）</w:t>
            </w:r>
            <w:r>
              <w:rPr>
                <w:rFonts w:hint="eastAsia" w:ascii="仿宋_GB2312" w:hAnsi="仿宋_GB2312" w:eastAsia="仿宋_GB2312" w:cs="仿宋_GB2312"/>
                <w:sz w:val="20"/>
                <w:szCs w:val="20"/>
              </w:rPr>
              <w:t>实施前向行政机关负责人报告并经批准</w:t>
            </w:r>
            <w:r>
              <w:rPr>
                <w:rFonts w:hint="eastAsia" w:ascii="仿宋_GB2312" w:hAnsi="仿宋_GB2312" w:eastAsia="仿宋_GB2312" w:cs="仿宋_GB2312"/>
                <w:sz w:val="20"/>
                <w:szCs w:val="20"/>
                <w:lang w:eastAsia="zh-CN"/>
              </w:rPr>
              <w:t>；</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lang w:val="en-US" w:eastAsia="zh-CN"/>
              </w:rPr>
              <w:t>（二）</w:t>
            </w:r>
            <w:r>
              <w:rPr>
                <w:rFonts w:hint="eastAsia" w:ascii="仿宋_GB2312" w:hAnsi="仿宋_GB2312" w:eastAsia="仿宋_GB2312" w:cs="仿宋_GB2312"/>
                <w:sz w:val="20"/>
                <w:szCs w:val="20"/>
              </w:rPr>
              <w:t>由两名以上执法人员实施，出示执法证件，通知当事人到场</w:t>
            </w:r>
            <w:r>
              <w:rPr>
                <w:rFonts w:hint="eastAsia" w:ascii="仿宋_GB2312" w:hAnsi="仿宋_GB2312" w:eastAsia="仿宋_GB2312" w:cs="仿宋_GB2312"/>
                <w:sz w:val="20"/>
                <w:szCs w:val="20"/>
                <w:lang w:eastAsia="zh-CN"/>
              </w:rPr>
              <w:t>；</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lang w:val="en-US" w:eastAsia="zh-CN"/>
              </w:rPr>
              <w:t>（三）</w:t>
            </w:r>
            <w:r>
              <w:rPr>
                <w:rFonts w:hint="eastAsia" w:ascii="仿宋_GB2312" w:hAnsi="仿宋_GB2312" w:eastAsia="仿宋_GB2312" w:cs="仿宋_GB2312"/>
                <w:sz w:val="20"/>
                <w:szCs w:val="20"/>
              </w:rPr>
              <w:t>当场告知当事人采取行政强制措施的理由及依据，并告知当事人享有的救济权，听取当事人陈述、申辩</w:t>
            </w:r>
            <w:r>
              <w:rPr>
                <w:rFonts w:hint="eastAsia" w:ascii="仿宋_GB2312" w:hAnsi="仿宋_GB2312" w:eastAsia="仿宋_GB2312" w:cs="仿宋_GB2312"/>
                <w:sz w:val="20"/>
                <w:szCs w:val="20"/>
                <w:lang w:eastAsia="zh-CN"/>
              </w:rPr>
              <w:t>；</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eastAsia="zh-CN"/>
              </w:rPr>
              <w:t>（四）</w:t>
            </w:r>
            <w:r>
              <w:rPr>
                <w:rFonts w:hint="eastAsia" w:ascii="仿宋_GB2312" w:hAnsi="仿宋_GB2312" w:eastAsia="仿宋_GB2312" w:cs="仿宋_GB2312"/>
                <w:sz w:val="20"/>
                <w:szCs w:val="20"/>
              </w:rPr>
              <w:t>现场笔录由当事人和行政执法人员签名或者盖章，当事人拒绝的，在笔录中予以注明；当事人不到场的，邀请见证人到场，由见证人和行政执法人员在现场笔录上签名或者盖章</w:t>
            </w:r>
          </w:p>
          <w:p>
            <w:pPr>
              <w:pStyle w:val="2"/>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both"/>
              <w:textAlignment w:val="auto"/>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lang w:val="en-US" w:eastAsia="zh-CN"/>
              </w:rPr>
              <w:t>（五）法律、法规规定的其它程序。</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rPr>
              <w:t>情况紧急，需当场实施行政强制措施的，在24小时内向行政机关负责人报告，并补办批准手续。行政机关负责人认为不应当采取行政强制措施的，应当立即解除</w:t>
            </w:r>
            <w:r>
              <w:rPr>
                <w:rFonts w:hint="eastAsia" w:ascii="仿宋_GB2312" w:hAnsi="仿宋_GB2312" w:eastAsia="仿宋_GB2312" w:cs="仿宋_GB2312"/>
                <w:sz w:val="20"/>
                <w:szCs w:val="20"/>
                <w:lang w:eastAsia="zh-CN"/>
              </w:rPr>
              <w:t>。</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实施查封、扣押，应当制作并当场交付查封、扣押决定书和清单。</w:t>
            </w:r>
          </w:p>
        </w:tc>
        <w:tc>
          <w:tcPr>
            <w:tcW w:w="1523"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查封或者扣押的期限不得超过30日，情况复杂的，经行政机关负责人批准，最多可以延长30日，并在查封或者扣押期限内作出处理决定：</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（一）对违法事实清楚、依法应当没收的非法财物予以没收；</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（二）法律、行政法规规定应当销毁的，依法销毁；</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（三）法律、行政法规规定应当解除查封、扣押的，作出解除查封、扣押的决定。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trPr>
        <w:tc>
          <w:tcPr>
            <w:tcW w:w="403" w:type="dxa"/>
            <w:vAlign w:val="center"/>
          </w:tcPr>
          <w:p>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0"/>
                <w:szCs w:val="20"/>
                <w:vertAlign w:val="baseline"/>
                <w:lang w:val="en" w:eastAsia="zh-CN"/>
              </w:rPr>
            </w:pPr>
            <w:r>
              <w:rPr>
                <w:rFonts w:hint="eastAsia" w:ascii="仿宋_GB2312" w:hAnsi="仿宋_GB2312" w:eastAsia="仿宋_GB2312" w:cs="仿宋_GB2312"/>
                <w:sz w:val="20"/>
                <w:szCs w:val="20"/>
                <w:vertAlign w:val="baseline"/>
                <w:lang w:val="en" w:eastAsia="zh-CN"/>
              </w:rPr>
              <w:t>2</w:t>
            </w:r>
          </w:p>
        </w:tc>
        <w:tc>
          <w:tcPr>
            <w:tcW w:w="2010" w:type="dxa"/>
            <w:vAlign w:val="center"/>
          </w:tcPr>
          <w:p>
            <w:pPr>
              <w:keepNext w:val="0"/>
              <w:keepLines w:val="0"/>
              <w:pageBreakBefore w:val="0"/>
              <w:widowControl/>
              <w:suppressAutoHyphens/>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关闭、查封、暂扣或者拆除违反无线电管制命令和无线电管制指令的相关设备</w:t>
            </w:r>
          </w:p>
        </w:tc>
        <w:tc>
          <w:tcPr>
            <w:tcW w:w="3270" w:type="dxa"/>
            <w:vAlign w:val="center"/>
          </w:tcPr>
          <w:p>
            <w:pPr>
              <w:keepNext w:val="0"/>
              <w:keepLines w:val="0"/>
              <w:pageBreakBefore w:val="0"/>
              <w:kinsoku/>
              <w:wordWrap/>
              <w:overflowPunct/>
              <w:topLinePunct w:val="0"/>
              <w:autoSpaceDE/>
              <w:autoSpaceDN/>
              <w:bidi w:val="0"/>
              <w:adjustRightInd/>
              <w:snapToGrid/>
              <w:spacing w:line="320" w:lineRule="exact"/>
              <w:ind w:firstLine="400" w:firstLineChars="200"/>
              <w:jc w:val="both"/>
              <w:textAlignment w:val="auto"/>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lang w:val="en-US" w:eastAsia="zh-CN"/>
              </w:rPr>
              <w:t>《中华人民共和国无线电管制规定》(</w:t>
            </w:r>
            <w:r>
              <w:rPr>
                <w:rFonts w:hint="eastAsia" w:ascii="仿宋_GB2312" w:hAnsi="仿宋_GB2312" w:eastAsia="仿宋_GB2312" w:cs="仿宋_GB2312"/>
                <w:sz w:val="20"/>
                <w:szCs w:val="20"/>
              </w:rPr>
              <w:t>国务院和中央军委令第</w:t>
            </w:r>
            <w:r>
              <w:rPr>
                <w:rFonts w:hint="eastAsia" w:ascii="仿宋_GB2312" w:hAnsi="仿宋_GB2312" w:eastAsia="仿宋_GB2312" w:cs="仿宋_GB2312"/>
                <w:sz w:val="20"/>
                <w:szCs w:val="20"/>
                <w:lang w:val="en"/>
              </w:rPr>
              <w:t>579</w:t>
            </w:r>
            <w:r>
              <w:rPr>
                <w:rFonts w:hint="eastAsia" w:ascii="仿宋_GB2312" w:hAnsi="仿宋_GB2312" w:eastAsia="仿宋_GB2312" w:cs="仿宋_GB2312"/>
                <w:sz w:val="20"/>
                <w:szCs w:val="20"/>
              </w:rPr>
              <w:t>号）</w:t>
            </w:r>
          </w:p>
          <w:p>
            <w:pPr>
              <w:pStyle w:val="2"/>
              <w:keepNext w:val="0"/>
              <w:keepLines w:val="0"/>
              <w:pageBreakBefore w:val="0"/>
              <w:kinsoku/>
              <w:wordWrap/>
              <w:overflowPunct/>
              <w:topLinePunct w:val="0"/>
              <w:autoSpaceDE/>
              <w:autoSpaceDN/>
              <w:bidi w:val="0"/>
              <w:adjustRightInd/>
              <w:snapToGrid/>
              <w:spacing w:line="320" w:lineRule="exact"/>
              <w:ind w:left="0" w:leftChars="0" w:firstLine="400" w:firstLineChars="200"/>
              <w:jc w:val="both"/>
              <w:textAlignment w:val="auto"/>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lang w:val="en-US" w:eastAsia="zh-CN"/>
              </w:rPr>
              <w:t>第十二条　违反无线电管制命令和无线电管制指令的，由国家无线电管理机构或者省、自治区、直辖市无线电管理机构责令改正;拒不改正的，可以关闭、查封、暂扣或者拆除相关设备;情节严重的，吊销无线电台(站)执照和无线电频率使用许可证;违反治安管理规定的，由公安机关依法给予处罚。</w:t>
            </w:r>
          </w:p>
        </w:tc>
        <w:tc>
          <w:tcPr>
            <w:tcW w:w="1643" w:type="dxa"/>
            <w:vAlign w:val="center"/>
          </w:tcPr>
          <w:p>
            <w:pPr>
              <w:keepNext w:val="0"/>
              <w:keepLines w:val="0"/>
              <w:pageBreakBefore w:val="0"/>
              <w:widowControl/>
              <w:suppressAutoHyphens/>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省工业和信息化厅；各市（州）无线电管理局</w:t>
            </w:r>
          </w:p>
        </w:tc>
        <w:tc>
          <w:tcPr>
            <w:tcW w:w="2707" w:type="dxa"/>
            <w:vAlign w:val="center"/>
          </w:tcPr>
          <w:p>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lang w:val="en-US" w:eastAsia="zh-CN"/>
              </w:rPr>
              <w:t>违反无线电管制命令和无线电管制指令，不改正的，可以关闭、查封、暂扣或者拆除相关设备；情节严重的，吊销无线电台(站)执照和无线电频率使用许可证;违反治安管理规定的，由公安机关依法给予处罚。</w:t>
            </w:r>
          </w:p>
        </w:tc>
        <w:tc>
          <w:tcPr>
            <w:tcW w:w="3157"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lang w:val="en-US" w:eastAsia="zh-CN"/>
              </w:rPr>
              <w:t>（一）</w:t>
            </w:r>
            <w:r>
              <w:rPr>
                <w:rFonts w:hint="eastAsia" w:ascii="仿宋_GB2312" w:hAnsi="仿宋_GB2312" w:eastAsia="仿宋_GB2312" w:cs="仿宋_GB2312"/>
                <w:sz w:val="20"/>
                <w:szCs w:val="20"/>
              </w:rPr>
              <w:t>实施前向行政机关负责人报告并经批准</w:t>
            </w:r>
            <w:r>
              <w:rPr>
                <w:rFonts w:hint="eastAsia" w:ascii="仿宋_GB2312" w:hAnsi="仿宋_GB2312" w:eastAsia="仿宋_GB2312" w:cs="仿宋_GB2312"/>
                <w:sz w:val="20"/>
                <w:szCs w:val="20"/>
                <w:lang w:eastAsia="zh-CN"/>
              </w:rPr>
              <w:t>；</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lang w:val="en-US" w:eastAsia="zh-CN"/>
              </w:rPr>
              <w:t>（二）</w:t>
            </w:r>
            <w:r>
              <w:rPr>
                <w:rFonts w:hint="eastAsia" w:ascii="仿宋_GB2312" w:hAnsi="仿宋_GB2312" w:eastAsia="仿宋_GB2312" w:cs="仿宋_GB2312"/>
                <w:sz w:val="20"/>
                <w:szCs w:val="20"/>
              </w:rPr>
              <w:t>由两名以上执法人员实施，出示执法证件，通知当事人到场</w:t>
            </w:r>
            <w:r>
              <w:rPr>
                <w:rFonts w:hint="eastAsia" w:ascii="仿宋_GB2312" w:hAnsi="仿宋_GB2312" w:eastAsia="仿宋_GB2312" w:cs="仿宋_GB2312"/>
                <w:sz w:val="20"/>
                <w:szCs w:val="20"/>
                <w:lang w:eastAsia="zh-CN"/>
              </w:rPr>
              <w:t>；</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lang w:val="en-US" w:eastAsia="zh-CN"/>
              </w:rPr>
              <w:t>（三）</w:t>
            </w:r>
            <w:r>
              <w:rPr>
                <w:rFonts w:hint="eastAsia" w:ascii="仿宋_GB2312" w:hAnsi="仿宋_GB2312" w:eastAsia="仿宋_GB2312" w:cs="仿宋_GB2312"/>
                <w:sz w:val="20"/>
                <w:szCs w:val="20"/>
              </w:rPr>
              <w:t>当场告知当事人采取行政强制措施的理由及依据，并告知当事人享有的救济权，听取当事人陈述、申辩</w:t>
            </w:r>
            <w:r>
              <w:rPr>
                <w:rFonts w:hint="eastAsia" w:ascii="仿宋_GB2312" w:hAnsi="仿宋_GB2312" w:eastAsia="仿宋_GB2312" w:cs="仿宋_GB2312"/>
                <w:sz w:val="20"/>
                <w:szCs w:val="20"/>
                <w:lang w:eastAsia="zh-CN"/>
              </w:rPr>
              <w:t>；</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eastAsia="zh-CN"/>
              </w:rPr>
              <w:t>（四）</w:t>
            </w:r>
            <w:r>
              <w:rPr>
                <w:rFonts w:hint="eastAsia" w:ascii="仿宋_GB2312" w:hAnsi="仿宋_GB2312" w:eastAsia="仿宋_GB2312" w:cs="仿宋_GB2312"/>
                <w:sz w:val="20"/>
                <w:szCs w:val="20"/>
              </w:rPr>
              <w:t>现场笔录由当事人和行政执法人员签名或者盖章，当事人拒绝的，在笔录中予以注明；当事人不到场的，邀请见证人到场，由见证人和行政执法人员在现场笔录上签名或者盖章</w:t>
            </w:r>
          </w:p>
          <w:p>
            <w:pPr>
              <w:pStyle w:val="2"/>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both"/>
              <w:textAlignment w:val="auto"/>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lang w:val="en-US" w:eastAsia="zh-CN"/>
              </w:rPr>
              <w:t>（五）法律、法规规定的其它程序。</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rPr>
              <w:t>情况紧急，需当场实施行政强制措施的，在24小时内向行政机关负责人报告，并补办批准手续。行政机关负责人认为不应当采取行政强制措施的，应当立即解除</w:t>
            </w:r>
            <w:r>
              <w:rPr>
                <w:rFonts w:hint="eastAsia" w:ascii="仿宋_GB2312" w:hAnsi="仿宋_GB2312" w:eastAsia="仿宋_GB2312" w:cs="仿宋_GB2312"/>
                <w:sz w:val="20"/>
                <w:szCs w:val="20"/>
                <w:lang w:eastAsia="zh-CN"/>
              </w:rPr>
              <w:t>。</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实施查封、扣押，应当制作并当场交付查封、扣押决定书和清单。</w:t>
            </w:r>
          </w:p>
        </w:tc>
        <w:tc>
          <w:tcPr>
            <w:tcW w:w="1523"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查封或者扣押的期限不得超过30日，情况复杂的，经行政机关负责人批准，最多可以延长30日，并在查封或者扣押期限内作出处理决定：</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（一）对违法事实清楚、依法应当没收的非法财物予以没收；</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（二）法律、行政法规规定应当销毁的，依法销毁；</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（三）法律、行政法规规定应当解除查封、扣押的，作出解除查封、扣押的决定。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trPr>
        <w:tc>
          <w:tcPr>
            <w:tcW w:w="403" w:type="dxa"/>
            <w:vAlign w:val="center"/>
          </w:tcPr>
          <w:p>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0"/>
                <w:szCs w:val="20"/>
                <w:vertAlign w:val="baseline"/>
                <w:lang w:val="en" w:eastAsia="zh-CN"/>
              </w:rPr>
            </w:pPr>
            <w:r>
              <w:rPr>
                <w:rFonts w:hint="eastAsia" w:ascii="仿宋_GB2312" w:hAnsi="仿宋_GB2312" w:eastAsia="仿宋_GB2312" w:cs="仿宋_GB2312"/>
                <w:sz w:val="20"/>
                <w:szCs w:val="20"/>
                <w:vertAlign w:val="baseline"/>
                <w:lang w:val="en" w:eastAsia="zh-CN"/>
              </w:rPr>
              <w:t>3</w:t>
            </w:r>
          </w:p>
        </w:tc>
        <w:tc>
          <w:tcPr>
            <w:tcW w:w="2010" w:type="dxa"/>
            <w:vAlign w:val="center"/>
          </w:tcPr>
          <w:p>
            <w:pPr>
              <w:keepNext w:val="0"/>
              <w:keepLines w:val="0"/>
              <w:pageBreakBefore w:val="0"/>
              <w:widowControl/>
              <w:suppressAutoHyphens/>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rPr>
              <w:t>对未按规定缴纳无线电频率占用费，经责令限期缴纳，逾期仍不缴纳的加收滞纳金</w:t>
            </w:r>
          </w:p>
        </w:tc>
        <w:tc>
          <w:tcPr>
            <w:tcW w:w="3270" w:type="dxa"/>
            <w:vAlign w:val="center"/>
          </w:tcPr>
          <w:p>
            <w:pPr>
              <w:keepNext w:val="0"/>
              <w:keepLines w:val="0"/>
              <w:pageBreakBefore w:val="0"/>
              <w:widowControl/>
              <w:suppressAutoHyphens/>
              <w:kinsoku/>
              <w:wordWrap/>
              <w:overflowPunct/>
              <w:topLinePunct w:val="0"/>
              <w:autoSpaceDE/>
              <w:autoSpaceDN/>
              <w:bidi w:val="0"/>
              <w:adjustRightInd/>
              <w:snapToGrid/>
              <w:spacing w:line="320" w:lineRule="exact"/>
              <w:ind w:firstLine="400" w:firstLineChars="200"/>
              <w:jc w:val="both"/>
              <w:textAlignment w:val="auto"/>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rPr>
              <w:t>《中华人民共和国无线电管理条例》（国务院和中央军委令第672号）</w:t>
            </w:r>
          </w:p>
          <w:p>
            <w:pPr>
              <w:keepNext w:val="0"/>
              <w:keepLines w:val="0"/>
              <w:pageBreakBefore w:val="0"/>
              <w:kinsoku/>
              <w:wordWrap/>
              <w:overflowPunct/>
              <w:topLinePunct w:val="0"/>
              <w:autoSpaceDE/>
              <w:autoSpaceDN/>
              <w:bidi w:val="0"/>
              <w:adjustRightInd/>
              <w:snapToGrid/>
              <w:spacing w:line="320" w:lineRule="exact"/>
              <w:ind w:firstLine="400" w:firstLineChars="200"/>
              <w:jc w:val="both"/>
              <w:textAlignment w:val="auto"/>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lang w:val="en-US" w:eastAsia="zh-CN"/>
              </w:rPr>
              <w:t>第七十四条　未按照国家有关规定缴纳无线电频率占用费的，由无线电管理机构责令限期缴纳；逾期不缴纳的，自滞纳之日起按日加收0.05%的滞纳金。</w:t>
            </w:r>
          </w:p>
          <w:p>
            <w:pPr>
              <w:keepNext w:val="0"/>
              <w:keepLines w:val="0"/>
              <w:pageBreakBefore w:val="0"/>
              <w:tabs>
                <w:tab w:val="left" w:pos="360"/>
              </w:tabs>
              <w:kinsoku/>
              <w:wordWrap/>
              <w:overflowPunct/>
              <w:topLinePunct w:val="0"/>
              <w:autoSpaceDE/>
              <w:autoSpaceDN/>
              <w:bidi w:val="0"/>
              <w:adjustRightInd/>
              <w:snapToGrid/>
              <w:spacing w:line="320" w:lineRule="exact"/>
              <w:ind w:firstLine="400" w:firstLineChars="200"/>
              <w:jc w:val="both"/>
              <w:textAlignment w:val="auto"/>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lang w:eastAsia="zh-CN"/>
              </w:rPr>
              <w:t>《</w:t>
            </w:r>
            <w:r>
              <w:rPr>
                <w:rFonts w:hint="eastAsia" w:ascii="仿宋_GB2312" w:hAnsi="仿宋_GB2312" w:eastAsia="仿宋_GB2312" w:cs="仿宋_GB2312"/>
                <w:sz w:val="20"/>
                <w:szCs w:val="20"/>
                <w:lang w:val="en-US" w:eastAsia="zh-CN"/>
              </w:rPr>
              <w:t>贵州省</w:t>
            </w:r>
            <w:r>
              <w:rPr>
                <w:rFonts w:hint="eastAsia" w:ascii="仿宋_GB2312" w:hAnsi="仿宋_GB2312" w:eastAsia="仿宋_GB2312" w:cs="仿宋_GB2312"/>
                <w:sz w:val="20"/>
                <w:szCs w:val="20"/>
              </w:rPr>
              <w:t>无线电管理条例</w:t>
            </w:r>
            <w:r>
              <w:rPr>
                <w:rFonts w:hint="eastAsia" w:ascii="仿宋_GB2312" w:hAnsi="仿宋_GB2312" w:eastAsia="仿宋_GB2312" w:cs="仿宋_GB2312"/>
                <w:sz w:val="20"/>
                <w:szCs w:val="20"/>
                <w:lang w:eastAsia="zh-CN"/>
              </w:rPr>
              <w:t>》（2019年3月29日贵州省第十三届人民代表大会常务委员会第九次会议通过）</w:t>
            </w:r>
          </w:p>
          <w:p>
            <w:pPr>
              <w:keepNext w:val="0"/>
              <w:keepLines w:val="0"/>
              <w:pageBreakBefore w:val="0"/>
              <w:widowControl/>
              <w:suppressAutoHyphens/>
              <w:kinsoku/>
              <w:wordWrap/>
              <w:overflowPunct/>
              <w:topLinePunct w:val="0"/>
              <w:autoSpaceDE/>
              <w:autoSpaceDN/>
              <w:bidi w:val="0"/>
              <w:adjustRightInd/>
              <w:snapToGrid/>
              <w:spacing w:line="320" w:lineRule="exact"/>
              <w:ind w:firstLine="400" w:firstLineChars="200"/>
              <w:jc w:val="both"/>
              <w:textAlignment w:val="auto"/>
              <w:rPr>
                <w:rFonts w:hint="eastAsia" w:ascii="仿宋_GB2312" w:hAnsi="仿宋_GB2312" w:eastAsia="仿宋_GB2312" w:cs="仿宋_GB2312"/>
                <w:color w:val="000000"/>
                <w:kern w:val="0"/>
                <w:sz w:val="20"/>
                <w:szCs w:val="20"/>
                <w:lang w:eastAsia="zh-CN"/>
              </w:rPr>
            </w:pPr>
            <w:r>
              <w:rPr>
                <w:rFonts w:hint="eastAsia" w:ascii="仿宋_GB2312" w:hAnsi="仿宋_GB2312" w:eastAsia="仿宋_GB2312" w:cs="仿宋_GB2312"/>
                <w:color w:val="000000"/>
                <w:kern w:val="0"/>
                <w:sz w:val="20"/>
                <w:szCs w:val="20"/>
                <w:lang w:eastAsia="zh-CN"/>
              </w:rPr>
              <w:t>第四条省人民政府无线电主管部门负责全省除军事系统外的无线电管理工作，根据工作需要可以在市、州设立派出机构。</w:t>
            </w:r>
          </w:p>
          <w:p>
            <w:pPr>
              <w:keepNext w:val="0"/>
              <w:keepLines w:val="0"/>
              <w:pageBreakBefore w:val="0"/>
              <w:widowControl/>
              <w:suppressAutoHyphens/>
              <w:kinsoku/>
              <w:wordWrap/>
              <w:overflowPunct/>
              <w:topLinePunct w:val="0"/>
              <w:autoSpaceDE/>
              <w:autoSpaceDN/>
              <w:bidi w:val="0"/>
              <w:adjustRightInd/>
              <w:snapToGrid/>
              <w:spacing w:line="320" w:lineRule="exact"/>
              <w:ind w:firstLine="400" w:firstLineChars="200"/>
              <w:jc w:val="both"/>
              <w:textAlignment w:val="auto"/>
              <w:rPr>
                <w:rFonts w:hint="eastAsia" w:ascii="仿宋_GB2312" w:hAnsi="仿宋_GB2312" w:eastAsia="仿宋_GB2312" w:cs="仿宋_GB2312"/>
                <w:color w:val="000000"/>
                <w:kern w:val="0"/>
                <w:sz w:val="20"/>
                <w:szCs w:val="20"/>
                <w:lang w:eastAsia="zh-CN"/>
              </w:rPr>
            </w:pPr>
            <w:r>
              <w:rPr>
                <w:rFonts w:hint="eastAsia" w:ascii="仿宋_GB2312" w:hAnsi="仿宋_GB2312" w:eastAsia="仿宋_GB2312" w:cs="仿宋_GB2312"/>
                <w:color w:val="000000"/>
                <w:kern w:val="0"/>
                <w:sz w:val="20"/>
                <w:szCs w:val="20"/>
                <w:lang w:eastAsia="zh-CN"/>
              </w:rPr>
              <w:t>省人民政府无线电主管部门在市、州设立的派出机构(以下简称派出机构)按照职责和权限负责本辖区内的无线电管理工作，负责实施无线电频率使用许可和无线电台(站)设置、使用许可，负责无线电监测及干扰查处、无线电监督执法、无线电检测、无线电安全保障等无线电管理工作。</w:t>
            </w:r>
          </w:p>
          <w:p>
            <w:pPr>
              <w:pStyle w:val="2"/>
              <w:keepNext w:val="0"/>
              <w:keepLines w:val="0"/>
              <w:pageBreakBefore w:val="0"/>
              <w:kinsoku/>
              <w:wordWrap/>
              <w:overflowPunct/>
              <w:topLinePunct w:val="0"/>
              <w:autoSpaceDE/>
              <w:autoSpaceDN/>
              <w:bidi w:val="0"/>
              <w:adjustRightInd/>
              <w:snapToGrid/>
              <w:spacing w:line="320" w:lineRule="exact"/>
              <w:ind w:left="0" w:leftChars="0" w:firstLine="400" w:firstLineChars="200"/>
              <w:jc w:val="both"/>
              <w:textAlignment w:val="auto"/>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color w:val="000000"/>
                <w:kern w:val="0"/>
                <w:sz w:val="20"/>
                <w:szCs w:val="20"/>
                <w:lang w:eastAsia="zh-CN"/>
              </w:rPr>
              <w:t>县级人民政府应当确定管理部门，协助省人民政府无线电主管部门及其派出机构做好本行政区域内无线电管理工作。县级以上人民政府有关部门应当按照各自职责，做好无线电管理相关工作。</w:t>
            </w:r>
          </w:p>
        </w:tc>
        <w:tc>
          <w:tcPr>
            <w:tcW w:w="1643" w:type="dxa"/>
            <w:vAlign w:val="center"/>
          </w:tcPr>
          <w:p>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省工业和信息化厅；各市（州）无线电管理局</w:t>
            </w:r>
          </w:p>
        </w:tc>
        <w:tc>
          <w:tcPr>
            <w:tcW w:w="2707" w:type="dxa"/>
            <w:vAlign w:val="center"/>
          </w:tcPr>
          <w:p>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lang w:val="en-US" w:eastAsia="zh-CN"/>
              </w:rPr>
              <w:t>未按照国家有关规定缴纳无线电频率占用费的，由无线电管理机构责令限期缴纳；逾期不缴纳的，自滞纳之日起按日加收0.05%的滞纳金。</w:t>
            </w:r>
          </w:p>
        </w:tc>
        <w:tc>
          <w:tcPr>
            <w:tcW w:w="3157"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lang w:val="en-US" w:eastAsia="zh-CN"/>
              </w:rPr>
              <w:t>（一）</w:t>
            </w:r>
            <w:r>
              <w:rPr>
                <w:rFonts w:hint="eastAsia" w:ascii="仿宋_GB2312" w:hAnsi="仿宋_GB2312" w:eastAsia="仿宋_GB2312" w:cs="仿宋_GB2312"/>
                <w:sz w:val="20"/>
                <w:szCs w:val="20"/>
              </w:rPr>
              <w:t>实施前向行政机关负责人报告并经批准</w:t>
            </w:r>
            <w:r>
              <w:rPr>
                <w:rFonts w:hint="eastAsia" w:ascii="仿宋_GB2312" w:hAnsi="仿宋_GB2312" w:eastAsia="仿宋_GB2312" w:cs="仿宋_GB2312"/>
                <w:sz w:val="20"/>
                <w:szCs w:val="20"/>
                <w:lang w:eastAsia="zh-CN"/>
              </w:rPr>
              <w:t>；</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lang w:val="en-US" w:eastAsia="zh-CN"/>
              </w:rPr>
              <w:t>（二）</w:t>
            </w:r>
            <w:r>
              <w:rPr>
                <w:rFonts w:hint="eastAsia" w:ascii="仿宋_GB2312" w:hAnsi="仿宋_GB2312" w:eastAsia="仿宋_GB2312" w:cs="仿宋_GB2312"/>
                <w:sz w:val="20"/>
                <w:szCs w:val="20"/>
              </w:rPr>
              <w:t>由两名以上执法人员实施，出示执法证件，通知当事人到场</w:t>
            </w:r>
            <w:r>
              <w:rPr>
                <w:rFonts w:hint="eastAsia" w:ascii="仿宋_GB2312" w:hAnsi="仿宋_GB2312" w:eastAsia="仿宋_GB2312" w:cs="仿宋_GB2312"/>
                <w:sz w:val="20"/>
                <w:szCs w:val="20"/>
                <w:lang w:eastAsia="zh-CN"/>
              </w:rPr>
              <w:t>；</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lang w:val="en-US" w:eastAsia="zh-CN"/>
              </w:rPr>
              <w:t>（三）</w:t>
            </w:r>
            <w:r>
              <w:rPr>
                <w:rFonts w:hint="eastAsia" w:ascii="仿宋_GB2312" w:hAnsi="仿宋_GB2312" w:eastAsia="仿宋_GB2312" w:cs="仿宋_GB2312"/>
                <w:sz w:val="20"/>
                <w:szCs w:val="20"/>
              </w:rPr>
              <w:t>当场告知当事人采取行政强制措施的理由</w:t>
            </w:r>
            <w:r>
              <w:rPr>
                <w:rFonts w:hint="eastAsia" w:ascii="仿宋_GB2312" w:hAnsi="仿宋_GB2312" w:eastAsia="仿宋_GB2312" w:cs="仿宋_GB2312"/>
                <w:sz w:val="20"/>
                <w:szCs w:val="20"/>
                <w:lang w:eastAsia="zh-CN"/>
              </w:rPr>
              <w:t>、</w:t>
            </w:r>
            <w:r>
              <w:rPr>
                <w:rFonts w:hint="eastAsia" w:ascii="仿宋_GB2312" w:hAnsi="仿宋_GB2312" w:eastAsia="仿宋_GB2312" w:cs="仿宋_GB2312"/>
                <w:sz w:val="20"/>
                <w:szCs w:val="20"/>
              </w:rPr>
              <w:t>依据</w:t>
            </w:r>
            <w:r>
              <w:rPr>
                <w:rFonts w:hint="eastAsia" w:ascii="仿宋_GB2312" w:hAnsi="仿宋_GB2312" w:eastAsia="仿宋_GB2312" w:cs="仿宋_GB2312"/>
                <w:sz w:val="20"/>
                <w:szCs w:val="20"/>
                <w:lang w:eastAsia="zh-CN"/>
              </w:rPr>
              <w:t>及滞纳金的标准</w:t>
            </w:r>
            <w:r>
              <w:rPr>
                <w:rFonts w:hint="eastAsia" w:ascii="仿宋_GB2312" w:hAnsi="仿宋_GB2312" w:eastAsia="仿宋_GB2312" w:cs="仿宋_GB2312"/>
                <w:sz w:val="20"/>
                <w:szCs w:val="20"/>
              </w:rPr>
              <w:t>，并告知当事人享有的救济权，听取当事人陈述、申辩</w:t>
            </w:r>
            <w:r>
              <w:rPr>
                <w:rFonts w:hint="eastAsia" w:ascii="仿宋_GB2312" w:hAnsi="仿宋_GB2312" w:eastAsia="仿宋_GB2312" w:cs="仿宋_GB2312"/>
                <w:sz w:val="20"/>
                <w:szCs w:val="20"/>
                <w:lang w:eastAsia="zh-CN"/>
              </w:rPr>
              <w:t>；</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eastAsia="zh-CN"/>
              </w:rPr>
              <w:t>（四）</w:t>
            </w:r>
            <w:r>
              <w:rPr>
                <w:rFonts w:hint="eastAsia" w:ascii="仿宋_GB2312" w:hAnsi="仿宋_GB2312" w:eastAsia="仿宋_GB2312" w:cs="仿宋_GB2312"/>
                <w:sz w:val="20"/>
                <w:szCs w:val="20"/>
              </w:rPr>
              <w:t>现场笔录由当事人和行政执法人员签名或者盖章，当事人拒绝的，在笔录中予以注明；当事人不到场的，邀请见证人到场，由见证人和行政执法人员在现场笔录上签名或者盖章</w:t>
            </w:r>
          </w:p>
          <w:p>
            <w:pPr>
              <w:pStyle w:val="2"/>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both"/>
              <w:textAlignment w:val="auto"/>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lang w:val="en-US" w:eastAsia="zh-CN"/>
              </w:rPr>
              <w:t>（五）当事人在法定期限内不申请行政复议或者提起行政诉讼，又不履行行政决定的，没有行政强制执行权的行政机关可以自期限届满之日起三个月内，申请人民法院强制执行。</w:t>
            </w:r>
          </w:p>
          <w:p>
            <w:pPr>
              <w:pStyle w:val="2"/>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both"/>
              <w:textAlignment w:val="auto"/>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lang w:val="en-US" w:eastAsia="zh-CN"/>
              </w:rPr>
              <w:t>（六）法律、法规规定的其它程序。</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eastAsia" w:ascii="仿宋_GB2312" w:hAnsi="仿宋_GB2312" w:eastAsia="仿宋_GB2312" w:cs="仿宋_GB2312"/>
                <w:sz w:val="20"/>
                <w:szCs w:val="20"/>
                <w:vertAlign w:val="baseline"/>
                <w:lang w:val="en-US" w:eastAsia="zh-CN"/>
              </w:rPr>
            </w:pPr>
          </w:p>
        </w:tc>
        <w:tc>
          <w:tcPr>
            <w:tcW w:w="1523"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行政机关依法作出金钱给付义务的行政决定，当事人逾期不履行的，行政机关可以依法加处罚款或者滞纳金。加处罚款或者滞纳金的标准应当告知当事人。</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加处罚款或者滞纳金的数额不得超出金钱给付义务的数额。</w:t>
            </w:r>
          </w:p>
        </w:tc>
      </w:tr>
    </w:tbl>
    <w:p>
      <w:pPr>
        <w:rPr>
          <w:rFonts w:hint="eastAsia" w:ascii="仿宋_GB2312" w:hAnsi="仿宋_GB2312" w:eastAsia="仿宋_GB2312" w:cs="仿宋_GB2312"/>
          <w:sz w:val="21"/>
          <w:szCs w:val="21"/>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360D61"/>
    <w:rsid w:val="04A4283F"/>
    <w:rsid w:val="062F2342"/>
    <w:rsid w:val="09072609"/>
    <w:rsid w:val="0C274600"/>
    <w:rsid w:val="0CA85A3B"/>
    <w:rsid w:val="1080331B"/>
    <w:rsid w:val="139D435D"/>
    <w:rsid w:val="174B17DE"/>
    <w:rsid w:val="18C71E73"/>
    <w:rsid w:val="1A2D5BCA"/>
    <w:rsid w:val="1C03585A"/>
    <w:rsid w:val="1C547D7A"/>
    <w:rsid w:val="1D5B7140"/>
    <w:rsid w:val="1DB4334F"/>
    <w:rsid w:val="1EE82047"/>
    <w:rsid w:val="20CD76AA"/>
    <w:rsid w:val="214947B6"/>
    <w:rsid w:val="22E514DD"/>
    <w:rsid w:val="27463F7F"/>
    <w:rsid w:val="285270F6"/>
    <w:rsid w:val="2A7307BB"/>
    <w:rsid w:val="2AB65C8A"/>
    <w:rsid w:val="2B6373E8"/>
    <w:rsid w:val="2EDA25A4"/>
    <w:rsid w:val="2FC90128"/>
    <w:rsid w:val="307A20DD"/>
    <w:rsid w:val="345B7FEC"/>
    <w:rsid w:val="349A23C3"/>
    <w:rsid w:val="34BB1883"/>
    <w:rsid w:val="364914E3"/>
    <w:rsid w:val="37FE4BDB"/>
    <w:rsid w:val="3ACC0C15"/>
    <w:rsid w:val="3AD3176E"/>
    <w:rsid w:val="3F7F37A5"/>
    <w:rsid w:val="40BA6751"/>
    <w:rsid w:val="410853EB"/>
    <w:rsid w:val="416550D0"/>
    <w:rsid w:val="424602FE"/>
    <w:rsid w:val="454D489C"/>
    <w:rsid w:val="45CE043F"/>
    <w:rsid w:val="46EF0FC4"/>
    <w:rsid w:val="483F39A8"/>
    <w:rsid w:val="4ADB6BD9"/>
    <w:rsid w:val="4E0A7C12"/>
    <w:rsid w:val="501674B3"/>
    <w:rsid w:val="52C142F5"/>
    <w:rsid w:val="532A4428"/>
    <w:rsid w:val="539877FC"/>
    <w:rsid w:val="544472D9"/>
    <w:rsid w:val="5A6DB2A4"/>
    <w:rsid w:val="5A9A67D8"/>
    <w:rsid w:val="5B7FFDC7"/>
    <w:rsid w:val="5C6E0CE8"/>
    <w:rsid w:val="5C7A361C"/>
    <w:rsid w:val="5E1562A1"/>
    <w:rsid w:val="6106710A"/>
    <w:rsid w:val="630928C9"/>
    <w:rsid w:val="64FFDBD4"/>
    <w:rsid w:val="67DC2100"/>
    <w:rsid w:val="695A71E5"/>
    <w:rsid w:val="6BC81A96"/>
    <w:rsid w:val="6D233607"/>
    <w:rsid w:val="6FD81696"/>
    <w:rsid w:val="70360D61"/>
    <w:rsid w:val="72AA2C67"/>
    <w:rsid w:val="768B426A"/>
    <w:rsid w:val="76FA3182"/>
    <w:rsid w:val="77FB045E"/>
    <w:rsid w:val="7A7B3643"/>
    <w:rsid w:val="7C460157"/>
    <w:rsid w:val="7DDFB34E"/>
    <w:rsid w:val="7E4041AD"/>
    <w:rsid w:val="7EF6D34B"/>
    <w:rsid w:val="7F7BC051"/>
    <w:rsid w:val="7F7DD647"/>
    <w:rsid w:val="9F7C735C"/>
    <w:rsid w:val="FECFB6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next w:val="1"/>
    <w:unhideWhenUsed/>
    <w:qFormat/>
    <w:uiPriority w:val="0"/>
    <w:pPr>
      <w:keepNext/>
      <w:keepLines/>
      <w:widowControl w:val="0"/>
      <w:spacing w:before="260" w:beforeLines="0" w:beforeAutospacing="0" w:after="260" w:afterLines="0" w:afterAutospacing="0" w:line="413" w:lineRule="auto"/>
      <w:ind w:leftChars="300"/>
      <w:jc w:val="both"/>
      <w:outlineLvl w:val="1"/>
    </w:pPr>
    <w:rPr>
      <w:rFonts w:ascii="Arial" w:hAnsi="Arial" w:eastAsia="楷体_GB2312" w:cs="Times New Roman"/>
      <w:kern w:val="2"/>
      <w:sz w:val="32"/>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widowControl w:val="0"/>
      <w:suppressAutoHyphens/>
      <w:ind w:left="200" w:leftChars="200"/>
      <w:jc w:val="both"/>
    </w:pPr>
    <w:rPr>
      <w:rFonts w:ascii="Times New Roman" w:hAnsi="Times New Roman" w:eastAsia="宋体" w:cs="Times New Roman"/>
      <w:kern w:val="2"/>
      <w:sz w:val="21"/>
      <w:szCs w:val="20"/>
      <w:lang w:val="en-US" w:eastAsia="zh-CN" w:bidi="ar-SA"/>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2023-05-17T20:14:00Z</dcterms:created>
  <dc:creator>Young</dc:creator>
  <cp:lastModifiedBy>ysgz</cp:lastModifiedBy>
  <dcterms:modified xsi:type="dcterms:W3CDTF">2023-05-17T15:07:19Z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