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42D762">
      <w:pPr>
        <w:pStyle w:val="3"/>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jc w:val="center"/>
        <w:textAlignment w:val="auto"/>
        <w:rPr>
          <w:rFonts w:hint="eastAsia" w:ascii="方正小标宋简体" w:hAnsi="方正小标宋简体" w:eastAsia="方正小标宋简体" w:cs="方正小标宋简体"/>
          <w:b w:val="0"/>
          <w:bCs w:val="0"/>
          <w:sz w:val="44"/>
          <w:szCs w:val="44"/>
          <w:highlight w:val="none"/>
        </w:rPr>
      </w:pPr>
      <w:r>
        <w:rPr>
          <w:rFonts w:hint="eastAsia" w:ascii="方正小标宋简体" w:hAnsi="方正小标宋简体" w:eastAsia="方正小标宋简体" w:cs="方正小标宋简体"/>
          <w:b w:val="0"/>
          <w:bCs w:val="0"/>
          <w:sz w:val="44"/>
          <w:szCs w:val="44"/>
          <w:highlight w:val="none"/>
        </w:rPr>
        <w:t>鹰潭市深化制造业数智化转型行动计划</w:t>
      </w:r>
    </w:p>
    <w:p w14:paraId="6B377C7F">
      <w:pPr>
        <w:pStyle w:val="3"/>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jc w:val="center"/>
        <w:textAlignment w:val="auto"/>
        <w:rPr>
          <w:rFonts w:hint="eastAsia" w:ascii="方正小标宋简体" w:hAnsi="方正小标宋简体" w:eastAsia="方正小标宋简体" w:cs="方正小标宋简体"/>
          <w:b w:val="0"/>
          <w:bCs w:val="0"/>
          <w:sz w:val="44"/>
          <w:szCs w:val="44"/>
          <w:highlight w:val="none"/>
        </w:rPr>
      </w:pPr>
      <w:r>
        <w:rPr>
          <w:rFonts w:hint="eastAsia" w:ascii="方正小标宋简体" w:hAnsi="方正小标宋简体" w:eastAsia="方正小标宋简体" w:cs="方正小标宋简体"/>
          <w:b w:val="0"/>
          <w:bCs w:val="0"/>
          <w:sz w:val="44"/>
          <w:szCs w:val="44"/>
          <w:highlight w:val="none"/>
        </w:rPr>
        <w:t>（2026—2027年）（征求意见稿）</w:t>
      </w:r>
    </w:p>
    <w:p w14:paraId="6A9AE795">
      <w:pPr>
        <w:keepNext w:val="0"/>
        <w:keepLines w:val="0"/>
        <w:pageBreakBefore w:val="0"/>
        <w:widowControl w:val="0"/>
        <w:kinsoku/>
        <w:wordWrap/>
        <w:overflowPunct/>
        <w:topLinePunct w:val="0"/>
        <w:autoSpaceDE/>
        <w:autoSpaceDN/>
        <w:bidi w:val="0"/>
        <w:adjustRightInd/>
        <w:snapToGrid/>
        <w:spacing w:afterAutospacing="0" w:line="560" w:lineRule="exact"/>
        <w:textAlignment w:val="auto"/>
        <w:rPr>
          <w:rFonts w:hint="eastAsia"/>
          <w:highlight w:val="none"/>
        </w:rPr>
      </w:pPr>
    </w:p>
    <w:p w14:paraId="6610EC5D">
      <w:pPr>
        <w:pStyle w:val="4"/>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b w:val="0"/>
          <w:bCs w:val="0"/>
          <w:sz w:val="32"/>
          <w:szCs w:val="32"/>
          <w:highlight w:val="none"/>
        </w:rPr>
        <w:t>为落实国家关于推进制造业数字化、网络化、智能化发展的部署要求，</w:t>
      </w:r>
      <w:r>
        <w:rPr>
          <w:rFonts w:hint="eastAsia" w:ascii="仿宋_GB2312" w:hAnsi="仿宋_GB2312" w:eastAsia="仿宋_GB2312" w:cs="仿宋_GB2312"/>
          <w:b w:val="0"/>
          <w:bCs w:val="0"/>
          <w:sz w:val="32"/>
          <w:szCs w:val="32"/>
          <w:highlight w:val="none"/>
          <w:lang w:val="en-US" w:eastAsia="zh-CN"/>
        </w:rPr>
        <w:t>根据</w:t>
      </w:r>
      <w:r>
        <w:rPr>
          <w:rFonts w:hint="eastAsia" w:ascii="仿宋_GB2312" w:hAnsi="仿宋_GB2312" w:eastAsia="仿宋_GB2312" w:cs="仿宋_GB2312"/>
          <w:b w:val="0"/>
          <w:bCs w:val="0"/>
          <w:sz w:val="32"/>
          <w:szCs w:val="32"/>
          <w:highlight w:val="none"/>
        </w:rPr>
        <w:t>《江西省深化制造业数智化转型行动计划（2026—2027年）》</w:t>
      </w:r>
      <w:r>
        <w:rPr>
          <w:rFonts w:hint="eastAsia" w:ascii="仿宋_GB2312" w:hAnsi="仿宋_GB2312" w:eastAsia="仿宋_GB2312" w:cs="仿宋_GB2312"/>
          <w:b w:val="0"/>
          <w:bCs w:val="0"/>
          <w:sz w:val="32"/>
          <w:szCs w:val="32"/>
          <w:highlight w:val="none"/>
          <w:lang w:val="en-US" w:eastAsia="zh-CN"/>
        </w:rPr>
        <w:t>文件精神</w:t>
      </w:r>
      <w:r>
        <w:rPr>
          <w:rFonts w:hint="eastAsia" w:ascii="仿宋_GB2312" w:hAnsi="仿宋_GB2312" w:eastAsia="仿宋_GB2312" w:cs="仿宋_GB2312"/>
          <w:b w:val="0"/>
          <w:bCs w:val="0"/>
          <w:sz w:val="32"/>
          <w:szCs w:val="32"/>
          <w:highlight w:val="none"/>
        </w:rPr>
        <w:t>，加快推动</w:t>
      </w:r>
      <w:r>
        <w:rPr>
          <w:rFonts w:hint="eastAsia" w:ascii="仿宋_GB2312" w:hAnsi="仿宋_GB2312" w:eastAsia="仿宋_GB2312" w:cs="仿宋_GB2312"/>
          <w:b w:val="0"/>
          <w:bCs w:val="0"/>
          <w:sz w:val="32"/>
          <w:szCs w:val="32"/>
          <w:highlight w:val="none"/>
          <w:lang w:eastAsia="zh-CN"/>
        </w:rPr>
        <w:t>全市</w:t>
      </w:r>
      <w:r>
        <w:rPr>
          <w:rFonts w:hint="eastAsia" w:ascii="仿宋_GB2312" w:hAnsi="仿宋_GB2312" w:eastAsia="仿宋_GB2312" w:cs="仿宋_GB2312"/>
          <w:b w:val="0"/>
          <w:bCs w:val="0"/>
          <w:sz w:val="32"/>
          <w:szCs w:val="32"/>
          <w:highlight w:val="none"/>
        </w:rPr>
        <w:t>数智技术</w:t>
      </w:r>
      <w:r>
        <w:rPr>
          <w:rFonts w:hint="eastAsia" w:ascii="仿宋_GB2312" w:hAnsi="仿宋_GB2312" w:eastAsia="仿宋_GB2312" w:cs="仿宋_GB2312"/>
          <w:b w:val="0"/>
          <w:bCs w:val="0"/>
          <w:sz w:val="32"/>
          <w:szCs w:val="32"/>
          <w:highlight w:val="none"/>
          <w:lang w:val="en-US" w:eastAsia="zh-CN"/>
        </w:rPr>
        <w:t>与</w:t>
      </w:r>
      <w:r>
        <w:rPr>
          <w:rFonts w:hint="eastAsia" w:ascii="仿宋_GB2312" w:hAnsi="仿宋_GB2312" w:eastAsia="仿宋_GB2312" w:cs="仿宋_GB2312"/>
          <w:b w:val="0"/>
          <w:bCs w:val="0"/>
          <w:sz w:val="32"/>
          <w:szCs w:val="32"/>
          <w:highlight w:val="none"/>
        </w:rPr>
        <w:t>制造业</w:t>
      </w:r>
      <w:r>
        <w:rPr>
          <w:rFonts w:hint="eastAsia" w:ascii="仿宋_GB2312" w:hAnsi="仿宋_GB2312" w:eastAsia="仿宋_GB2312" w:cs="仿宋_GB2312"/>
          <w:b w:val="0"/>
          <w:bCs w:val="0"/>
          <w:sz w:val="32"/>
          <w:szCs w:val="32"/>
          <w:highlight w:val="none"/>
          <w:lang w:val="en-US" w:eastAsia="zh-CN"/>
        </w:rPr>
        <w:t>深度融合</w:t>
      </w:r>
      <w:r>
        <w:rPr>
          <w:rFonts w:hint="eastAsia" w:ascii="仿宋_GB2312" w:hAnsi="仿宋_GB2312" w:eastAsia="仿宋_GB2312" w:cs="仿宋_GB2312"/>
          <w:b w:val="0"/>
          <w:bCs w:val="0"/>
          <w:sz w:val="32"/>
          <w:szCs w:val="32"/>
          <w:highlight w:val="none"/>
        </w:rPr>
        <w:t>应用，促进产业提质增效，制定本行动计划。</w:t>
      </w:r>
    </w:p>
    <w:p w14:paraId="40613991">
      <w:pPr>
        <w:pStyle w:val="4"/>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黑体" w:hAnsi="黑体" w:eastAsia="黑体" w:cs="黑体"/>
          <w:b w:val="0"/>
          <w:bCs w:val="0"/>
          <w:sz w:val="32"/>
          <w:szCs w:val="32"/>
          <w:highlight w:val="none"/>
        </w:rPr>
      </w:pPr>
      <w:r>
        <w:rPr>
          <w:rFonts w:hint="eastAsia" w:ascii="黑体" w:hAnsi="黑体" w:eastAsia="黑体" w:cs="黑体"/>
          <w:b w:val="0"/>
          <w:bCs w:val="0"/>
          <w:sz w:val="32"/>
          <w:szCs w:val="32"/>
          <w:highlight w:val="none"/>
        </w:rPr>
        <w:t>一、总体目标</w:t>
      </w:r>
    </w:p>
    <w:p w14:paraId="489D8563">
      <w:pPr>
        <w:pStyle w:val="8"/>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rPr>
        <w:t>坚持以信息化和工业化深度融合为</w:t>
      </w:r>
      <w:r>
        <w:rPr>
          <w:rFonts w:hint="eastAsia" w:ascii="仿宋_GB2312" w:hAnsi="仿宋_GB2312" w:eastAsia="仿宋_GB2312" w:cs="仿宋_GB2312"/>
          <w:sz w:val="32"/>
          <w:szCs w:val="32"/>
          <w:highlight w:val="none"/>
          <w:lang w:val="en-US" w:eastAsia="zh-CN"/>
        </w:rPr>
        <w:t>主线</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将</w:t>
      </w:r>
      <w:r>
        <w:rPr>
          <w:rFonts w:hint="eastAsia" w:ascii="仿宋_GB2312" w:hAnsi="仿宋_GB2312" w:eastAsia="仿宋_GB2312" w:cs="仿宋_GB2312"/>
          <w:sz w:val="32"/>
          <w:szCs w:val="32"/>
          <w:highlight w:val="none"/>
        </w:rPr>
        <w:t>人工智能技术变革转化为产业升级动能，围绕数智技术规模</w:t>
      </w:r>
      <w:r>
        <w:rPr>
          <w:rFonts w:hint="eastAsia" w:ascii="仿宋_GB2312" w:hAnsi="仿宋_GB2312" w:eastAsia="仿宋_GB2312" w:cs="仿宋_GB2312"/>
          <w:sz w:val="32"/>
          <w:szCs w:val="32"/>
          <w:highlight w:val="none"/>
          <w:lang w:eastAsia="zh-CN"/>
        </w:rPr>
        <w:t>化</w:t>
      </w:r>
      <w:r>
        <w:rPr>
          <w:rFonts w:hint="eastAsia" w:ascii="仿宋_GB2312" w:hAnsi="仿宋_GB2312" w:eastAsia="仿宋_GB2312" w:cs="仿宋_GB2312"/>
          <w:sz w:val="32"/>
          <w:szCs w:val="32"/>
          <w:highlight w:val="none"/>
        </w:rPr>
        <w:t>应用，</w:t>
      </w:r>
      <w:r>
        <w:rPr>
          <w:rFonts w:hint="eastAsia" w:ascii="仿宋_GB2312" w:hAnsi="仿宋_GB2312" w:eastAsia="仿宋_GB2312" w:cs="仿宋_GB2312"/>
          <w:sz w:val="32"/>
          <w:szCs w:val="32"/>
          <w:highlight w:val="none"/>
          <w:lang w:val="en-US" w:eastAsia="zh-CN"/>
        </w:rPr>
        <w:t>以</w:t>
      </w:r>
      <w:r>
        <w:rPr>
          <w:rFonts w:hint="eastAsia" w:ascii="仿宋_GB2312" w:hAnsi="仿宋_GB2312" w:eastAsia="仿宋_GB2312" w:cs="仿宋_GB2312"/>
          <w:sz w:val="32"/>
          <w:szCs w:val="32"/>
          <w:highlight w:val="none"/>
        </w:rPr>
        <w:t>链式改造、集群</w:t>
      </w:r>
      <w:r>
        <w:rPr>
          <w:rFonts w:hint="eastAsia" w:ascii="仿宋_GB2312" w:hAnsi="仿宋_GB2312" w:eastAsia="仿宋_GB2312" w:cs="仿宋_GB2312"/>
          <w:sz w:val="32"/>
          <w:szCs w:val="32"/>
          <w:highlight w:val="none"/>
          <w:lang w:val="en-US" w:eastAsia="zh-CN"/>
        </w:rPr>
        <w:t>式改造</w:t>
      </w:r>
      <w:r>
        <w:rPr>
          <w:rFonts w:hint="eastAsia" w:ascii="仿宋_GB2312" w:hAnsi="仿宋_GB2312" w:eastAsia="仿宋_GB2312" w:cs="仿宋_GB2312"/>
          <w:sz w:val="32"/>
          <w:szCs w:val="32"/>
          <w:highlight w:val="none"/>
        </w:rPr>
        <w:t>和“人工智能+制造”</w:t>
      </w:r>
      <w:r>
        <w:rPr>
          <w:rFonts w:hint="eastAsia" w:ascii="仿宋_GB2312" w:hAnsi="仿宋_GB2312" w:eastAsia="仿宋_GB2312" w:cs="仿宋_GB2312"/>
          <w:sz w:val="32"/>
          <w:szCs w:val="32"/>
          <w:highlight w:val="none"/>
          <w:lang w:val="en-US" w:eastAsia="zh-CN"/>
        </w:rPr>
        <w:t>为重点</w:t>
      </w:r>
      <w:r>
        <w:rPr>
          <w:rFonts w:hint="eastAsia" w:ascii="仿宋_GB2312" w:hAnsi="仿宋_GB2312" w:eastAsia="仿宋_GB2312" w:cs="仿宋_GB2312"/>
          <w:sz w:val="32"/>
          <w:szCs w:val="32"/>
          <w:highlight w:val="none"/>
        </w:rPr>
        <w:t>，强化服务供给和产业生态支撑，</w:t>
      </w:r>
      <w:r>
        <w:rPr>
          <w:rFonts w:hint="eastAsia" w:ascii="仿宋_GB2312" w:hAnsi="仿宋_GB2312" w:eastAsia="仿宋_GB2312" w:cs="仿宋_GB2312"/>
          <w:sz w:val="32"/>
          <w:szCs w:val="32"/>
          <w:highlight w:val="none"/>
          <w:lang w:eastAsia="zh-CN"/>
        </w:rPr>
        <w:t>引导</w:t>
      </w:r>
      <w:r>
        <w:rPr>
          <w:rFonts w:hint="eastAsia" w:ascii="仿宋_GB2312" w:hAnsi="仿宋_GB2312" w:eastAsia="仿宋_GB2312" w:cs="仿宋_GB2312"/>
          <w:sz w:val="32"/>
          <w:szCs w:val="32"/>
          <w:highlight w:val="none"/>
        </w:rPr>
        <w:t>企业优化重塑生产方式、</w:t>
      </w:r>
      <w:r>
        <w:rPr>
          <w:rFonts w:hint="eastAsia" w:ascii="仿宋_GB2312" w:hAnsi="仿宋_GB2312" w:eastAsia="仿宋_GB2312" w:cs="仿宋_GB2312"/>
          <w:sz w:val="32"/>
          <w:szCs w:val="32"/>
          <w:highlight w:val="none"/>
          <w:lang w:eastAsia="zh-CN"/>
        </w:rPr>
        <w:t>服务方式和组织结构</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eastAsia="zh-CN"/>
        </w:rPr>
        <w:t>推</w:t>
      </w:r>
      <w:r>
        <w:rPr>
          <w:rFonts w:hint="eastAsia" w:ascii="仿宋_GB2312" w:hAnsi="仿宋_GB2312" w:eastAsia="仿宋_GB2312" w:cs="仿宋_GB2312"/>
          <w:sz w:val="32"/>
          <w:szCs w:val="32"/>
          <w:highlight w:val="none"/>
        </w:rPr>
        <w:t>动</w:t>
      </w:r>
      <w:r>
        <w:rPr>
          <w:rFonts w:hint="eastAsia" w:ascii="仿宋_GB2312" w:hAnsi="仿宋_GB2312" w:eastAsia="仿宋_GB2312" w:cs="仿宋_GB2312"/>
          <w:sz w:val="32"/>
          <w:szCs w:val="32"/>
          <w:highlight w:val="none"/>
          <w:lang w:eastAsia="zh-CN"/>
        </w:rPr>
        <w:t>全市</w:t>
      </w:r>
      <w:r>
        <w:rPr>
          <w:rFonts w:hint="eastAsia" w:ascii="仿宋_GB2312" w:hAnsi="仿宋_GB2312" w:eastAsia="仿宋_GB2312" w:cs="仿宋_GB2312"/>
          <w:sz w:val="32"/>
          <w:szCs w:val="32"/>
          <w:highlight w:val="none"/>
        </w:rPr>
        <w:t>制造业向智能化、绿色化、融合化更高水平发展。</w:t>
      </w:r>
    </w:p>
    <w:p w14:paraId="1E50E4EB">
      <w:pPr>
        <w:pStyle w:val="8"/>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力争到2027年底，推动600家以上企业深度利用工业互联网生态提升，推动80家以上企业数字化全流程提升，培育8个人工智能典型应用场景，打造省级“数智标杆”企业16家，全力创建省级产业数字化转型先行区，实现重点行业“链式”协同全覆盖、重点产业集群数智提能全覆盖、规上工业企业数字化改造全覆盖，全市制造业数</w:t>
      </w:r>
      <w:r>
        <w:rPr>
          <w:rFonts w:hint="eastAsia" w:ascii="仿宋_GB2312" w:hAnsi="仿宋_GB2312" w:eastAsia="仿宋_GB2312" w:cs="仿宋_GB2312"/>
          <w:sz w:val="32"/>
          <w:szCs w:val="32"/>
          <w:highlight w:val="none"/>
          <w:lang w:val="en-US" w:eastAsia="zh-CN"/>
        </w:rPr>
        <w:t>字</w:t>
      </w:r>
      <w:r>
        <w:rPr>
          <w:rFonts w:hint="eastAsia" w:ascii="仿宋_GB2312" w:hAnsi="仿宋_GB2312" w:eastAsia="仿宋_GB2312" w:cs="仿宋_GB2312"/>
          <w:sz w:val="32"/>
          <w:szCs w:val="32"/>
          <w:highlight w:val="none"/>
        </w:rPr>
        <w:t>化发展水平持续提升，制造业综合实力和竞争力显著增强。</w:t>
      </w:r>
    </w:p>
    <w:p w14:paraId="0920CB8C">
      <w:pPr>
        <w:pStyle w:val="4"/>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黑体" w:hAnsi="黑体" w:eastAsia="黑体" w:cs="黑体"/>
          <w:b w:val="0"/>
          <w:bCs w:val="0"/>
          <w:sz w:val="32"/>
          <w:szCs w:val="32"/>
          <w:highlight w:val="none"/>
        </w:rPr>
      </w:pPr>
      <w:r>
        <w:rPr>
          <w:rFonts w:hint="eastAsia" w:ascii="黑体" w:hAnsi="黑体" w:eastAsia="黑体" w:cs="黑体"/>
          <w:b w:val="0"/>
          <w:bCs w:val="0"/>
          <w:sz w:val="32"/>
          <w:szCs w:val="32"/>
          <w:highlight w:val="none"/>
        </w:rPr>
        <w:t>二、重点任务</w:t>
      </w:r>
    </w:p>
    <w:p w14:paraId="3B4DB9E4">
      <w:pPr>
        <w:pStyle w:val="5"/>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firstLine="643" w:firstLineChars="200"/>
        <w:textAlignment w:val="auto"/>
        <w:rPr>
          <w:rFonts w:hint="eastAsia" w:ascii="楷体_GB2312" w:hAnsi="楷体_GB2312" w:eastAsia="楷体_GB2312" w:cs="楷体_GB2312"/>
          <w:sz w:val="32"/>
          <w:szCs w:val="32"/>
          <w:highlight w:val="none"/>
        </w:rPr>
      </w:pPr>
      <w:r>
        <w:rPr>
          <w:rFonts w:hint="eastAsia" w:ascii="楷体_GB2312" w:hAnsi="楷体_GB2312" w:eastAsia="楷体_GB2312" w:cs="楷体_GB2312"/>
          <w:sz w:val="32"/>
          <w:szCs w:val="32"/>
          <w:highlight w:val="none"/>
        </w:rPr>
        <w:t>（一）实施企业提智扩面行动</w:t>
      </w:r>
    </w:p>
    <w:p w14:paraId="17710049">
      <w:pPr>
        <w:pStyle w:val="8"/>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firstLine="643" w:firstLineChars="200"/>
        <w:textAlignment w:val="auto"/>
        <w:rPr>
          <w:rFonts w:hint="eastAsia" w:ascii="仿宋_GB2312" w:hAnsi="仿宋_GB2312" w:eastAsia="仿宋_GB2312" w:cs="仿宋_GB2312"/>
          <w:b w:val="0"/>
          <w:bCs/>
          <w:sz w:val="32"/>
          <w:szCs w:val="32"/>
          <w:highlight w:val="none"/>
        </w:rPr>
      </w:pPr>
      <w:r>
        <w:rPr>
          <w:rStyle w:val="11"/>
          <w:rFonts w:hint="eastAsia" w:ascii="仿宋_GB2312" w:hAnsi="仿宋_GB2312" w:eastAsia="仿宋_GB2312" w:cs="仿宋_GB2312"/>
          <w:sz w:val="32"/>
          <w:szCs w:val="32"/>
          <w:highlight w:val="none"/>
        </w:rPr>
        <w:t>1.推进企业全流程</w:t>
      </w:r>
      <w:r>
        <w:rPr>
          <w:rStyle w:val="11"/>
          <w:rFonts w:hint="eastAsia" w:ascii="仿宋_GB2312" w:hAnsi="仿宋_GB2312" w:eastAsia="仿宋_GB2312" w:cs="仿宋_GB2312"/>
          <w:sz w:val="32"/>
          <w:szCs w:val="32"/>
          <w:highlight w:val="none"/>
          <w:lang w:val="en-US" w:eastAsia="zh-CN"/>
        </w:rPr>
        <w:t>集成</w:t>
      </w:r>
      <w:r>
        <w:rPr>
          <w:rStyle w:val="11"/>
          <w:rFonts w:hint="eastAsia" w:ascii="仿宋_GB2312" w:hAnsi="仿宋_GB2312" w:eastAsia="仿宋_GB2312" w:cs="仿宋_GB2312"/>
          <w:sz w:val="32"/>
          <w:szCs w:val="32"/>
          <w:highlight w:val="none"/>
        </w:rPr>
        <w:t>升级。</w:t>
      </w:r>
      <w:r>
        <w:rPr>
          <w:rStyle w:val="11"/>
          <w:rFonts w:hint="eastAsia" w:ascii="仿宋_GB2312" w:hAnsi="仿宋_GB2312" w:eastAsia="仿宋_GB2312" w:cs="仿宋_GB2312"/>
          <w:b w:val="0"/>
          <w:bCs/>
          <w:sz w:val="32"/>
          <w:szCs w:val="32"/>
          <w:highlight w:val="none"/>
        </w:rPr>
        <w:t>支持基础较好企业围绕</w:t>
      </w:r>
      <w:r>
        <w:rPr>
          <w:rStyle w:val="11"/>
          <w:rFonts w:hint="eastAsia" w:ascii="仿宋_GB2312" w:hAnsi="仿宋_GB2312" w:eastAsia="仿宋_GB2312" w:cs="仿宋_GB2312"/>
          <w:b w:val="0"/>
          <w:bCs/>
          <w:sz w:val="32"/>
          <w:szCs w:val="32"/>
          <w:highlight w:val="none"/>
          <w:lang w:val="en-US" w:eastAsia="zh-CN"/>
        </w:rPr>
        <w:t>业务全流程</w:t>
      </w:r>
      <w:r>
        <w:rPr>
          <w:rStyle w:val="11"/>
          <w:rFonts w:hint="eastAsia" w:ascii="仿宋_GB2312" w:hAnsi="仿宋_GB2312" w:eastAsia="仿宋_GB2312" w:cs="仿宋_GB2312"/>
          <w:b w:val="0"/>
          <w:bCs/>
          <w:sz w:val="32"/>
          <w:szCs w:val="32"/>
          <w:highlight w:val="none"/>
        </w:rPr>
        <w:t>实施</w:t>
      </w:r>
      <w:r>
        <w:rPr>
          <w:rStyle w:val="11"/>
          <w:rFonts w:hint="eastAsia" w:ascii="仿宋_GB2312" w:hAnsi="仿宋_GB2312" w:eastAsia="仿宋_GB2312" w:cs="仿宋_GB2312"/>
          <w:b w:val="0"/>
          <w:bCs/>
          <w:sz w:val="32"/>
          <w:szCs w:val="32"/>
          <w:highlight w:val="none"/>
          <w:lang w:val="en-US" w:eastAsia="zh-CN"/>
        </w:rPr>
        <w:t>集成</w:t>
      </w:r>
      <w:r>
        <w:rPr>
          <w:rStyle w:val="11"/>
          <w:rFonts w:hint="eastAsia" w:ascii="仿宋_GB2312" w:hAnsi="仿宋_GB2312" w:eastAsia="仿宋_GB2312" w:cs="仿宋_GB2312"/>
          <w:b w:val="0"/>
          <w:bCs/>
          <w:sz w:val="32"/>
          <w:szCs w:val="32"/>
          <w:highlight w:val="none"/>
        </w:rPr>
        <w:t>改造，加快智能装备、工业软件和相关软硬件工具部署应用，带动制造单元、生产线、车间</w:t>
      </w:r>
      <w:r>
        <w:rPr>
          <w:rStyle w:val="11"/>
          <w:rFonts w:hint="eastAsia" w:ascii="仿宋_GB2312" w:hAnsi="仿宋_GB2312" w:eastAsia="仿宋_GB2312" w:cs="仿宋_GB2312"/>
          <w:b w:val="0"/>
          <w:bCs/>
          <w:sz w:val="32"/>
          <w:szCs w:val="32"/>
          <w:highlight w:val="none"/>
          <w:lang w:val="en-US" w:eastAsia="zh-CN"/>
        </w:rPr>
        <w:t>等智能化升级</w:t>
      </w:r>
      <w:r>
        <w:rPr>
          <w:rStyle w:val="11"/>
          <w:rFonts w:hint="eastAsia" w:ascii="仿宋_GB2312" w:hAnsi="仿宋_GB2312" w:eastAsia="仿宋_GB2312" w:cs="仿宋_GB2312"/>
          <w:b w:val="0"/>
          <w:bCs/>
          <w:sz w:val="32"/>
          <w:szCs w:val="32"/>
          <w:highlight w:val="none"/>
        </w:rPr>
        <w:t>。</w:t>
      </w:r>
      <w:r>
        <w:rPr>
          <w:rStyle w:val="11"/>
          <w:rFonts w:hint="eastAsia" w:ascii="仿宋_GB2312" w:hAnsi="仿宋_GB2312" w:eastAsia="仿宋_GB2312" w:cs="仿宋_GB2312"/>
          <w:b w:val="0"/>
          <w:bCs/>
          <w:sz w:val="32"/>
          <w:szCs w:val="32"/>
          <w:highlight w:val="none"/>
          <w:lang w:val="en-US" w:eastAsia="zh-CN"/>
        </w:rPr>
        <w:t>引导企业加强</w:t>
      </w:r>
      <w:r>
        <w:rPr>
          <w:rStyle w:val="11"/>
          <w:rFonts w:hint="eastAsia" w:ascii="仿宋_GB2312" w:hAnsi="仿宋_GB2312" w:eastAsia="仿宋_GB2312" w:cs="仿宋_GB2312"/>
          <w:b w:val="0"/>
          <w:bCs/>
          <w:sz w:val="32"/>
          <w:szCs w:val="32"/>
          <w:highlight w:val="none"/>
        </w:rPr>
        <w:t>工业互联网平台</w:t>
      </w:r>
      <w:r>
        <w:rPr>
          <w:rStyle w:val="11"/>
          <w:rFonts w:hint="eastAsia" w:ascii="仿宋_GB2312" w:hAnsi="仿宋_GB2312" w:eastAsia="仿宋_GB2312" w:cs="仿宋_GB2312"/>
          <w:b w:val="0"/>
          <w:bCs/>
          <w:sz w:val="32"/>
          <w:szCs w:val="32"/>
          <w:highlight w:val="none"/>
          <w:lang w:val="en-US" w:eastAsia="zh-CN"/>
        </w:rPr>
        <w:t>能力建设，提升</w:t>
      </w:r>
      <w:r>
        <w:rPr>
          <w:rStyle w:val="11"/>
          <w:rFonts w:hint="eastAsia" w:ascii="仿宋_GB2312" w:hAnsi="仿宋_GB2312" w:eastAsia="仿宋_GB2312" w:cs="仿宋_GB2312"/>
          <w:b w:val="0"/>
          <w:bCs/>
          <w:sz w:val="32"/>
          <w:szCs w:val="32"/>
          <w:highlight w:val="none"/>
        </w:rPr>
        <w:t>企业数据</w:t>
      </w:r>
      <w:r>
        <w:rPr>
          <w:rStyle w:val="11"/>
          <w:rFonts w:hint="eastAsia" w:ascii="仿宋_GB2312" w:hAnsi="仿宋_GB2312" w:eastAsia="仿宋_GB2312" w:cs="仿宋_GB2312"/>
          <w:b w:val="0"/>
          <w:bCs w:val="0"/>
          <w:sz w:val="32"/>
          <w:szCs w:val="32"/>
          <w:highlight w:val="none"/>
        </w:rPr>
        <w:t>集成和业务打通能力</w:t>
      </w:r>
      <w:r>
        <w:rPr>
          <w:rStyle w:val="11"/>
          <w:rFonts w:hint="eastAsia" w:ascii="仿宋_GB2312" w:hAnsi="仿宋_GB2312" w:eastAsia="仿宋_GB2312" w:cs="仿宋_GB2312"/>
          <w:b w:val="0"/>
          <w:bCs/>
          <w:sz w:val="32"/>
          <w:szCs w:val="32"/>
          <w:highlight w:val="none"/>
          <w:lang w:eastAsia="zh-CN"/>
        </w:rPr>
        <w:t>，</w:t>
      </w:r>
      <w:r>
        <w:rPr>
          <w:rStyle w:val="11"/>
          <w:rFonts w:hint="eastAsia" w:ascii="仿宋_GB2312" w:hAnsi="仿宋_GB2312" w:eastAsia="仿宋_GB2312" w:cs="仿宋_GB2312"/>
          <w:b w:val="0"/>
          <w:bCs/>
          <w:sz w:val="32"/>
          <w:szCs w:val="32"/>
          <w:highlight w:val="none"/>
          <w:lang w:val="en-US" w:eastAsia="zh-CN"/>
        </w:rPr>
        <w:t>促进</w:t>
      </w:r>
      <w:r>
        <w:rPr>
          <w:rStyle w:val="11"/>
          <w:rFonts w:hint="eastAsia" w:ascii="仿宋_GB2312" w:hAnsi="仿宋_GB2312" w:eastAsia="仿宋_GB2312" w:cs="仿宋_GB2312"/>
          <w:b w:val="0"/>
          <w:bCs/>
          <w:sz w:val="32"/>
          <w:szCs w:val="32"/>
          <w:highlight w:val="none"/>
        </w:rPr>
        <w:t>关键</w:t>
      </w:r>
      <w:r>
        <w:rPr>
          <w:rStyle w:val="11"/>
          <w:rFonts w:hint="eastAsia" w:ascii="仿宋_GB2312" w:hAnsi="仿宋_GB2312" w:eastAsia="仿宋_GB2312" w:cs="仿宋_GB2312"/>
          <w:b w:val="0"/>
          <w:bCs/>
          <w:sz w:val="32"/>
          <w:szCs w:val="32"/>
          <w:highlight w:val="none"/>
          <w:lang w:eastAsia="zh-CN"/>
        </w:rPr>
        <w:t>业务</w:t>
      </w:r>
      <w:r>
        <w:rPr>
          <w:rStyle w:val="11"/>
          <w:rFonts w:hint="eastAsia" w:ascii="仿宋_GB2312" w:hAnsi="仿宋_GB2312" w:eastAsia="仿宋_GB2312" w:cs="仿宋_GB2312"/>
          <w:b w:val="0"/>
          <w:bCs/>
          <w:sz w:val="32"/>
          <w:szCs w:val="32"/>
          <w:highlight w:val="none"/>
        </w:rPr>
        <w:t>环节</w:t>
      </w:r>
      <w:r>
        <w:rPr>
          <w:rStyle w:val="11"/>
          <w:rFonts w:hint="eastAsia" w:ascii="仿宋_GB2312" w:hAnsi="仿宋_GB2312" w:eastAsia="仿宋_GB2312" w:cs="仿宋_GB2312"/>
          <w:b w:val="0"/>
          <w:bCs/>
          <w:sz w:val="32"/>
          <w:szCs w:val="32"/>
          <w:highlight w:val="none"/>
          <w:lang w:eastAsia="zh-CN"/>
        </w:rPr>
        <w:t>数智化协同能力</w:t>
      </w:r>
      <w:r>
        <w:rPr>
          <w:rStyle w:val="11"/>
          <w:rFonts w:hint="eastAsia" w:ascii="仿宋_GB2312" w:hAnsi="仿宋_GB2312" w:eastAsia="仿宋_GB2312" w:cs="仿宋_GB2312"/>
          <w:b w:val="0"/>
          <w:bCs/>
          <w:sz w:val="32"/>
          <w:szCs w:val="32"/>
          <w:highlight w:val="none"/>
        </w:rPr>
        <w:t>。到2027年，力争新增80家以上L7级及以上企业。</w:t>
      </w:r>
    </w:p>
    <w:p w14:paraId="6A68FF33">
      <w:pPr>
        <w:pStyle w:val="8"/>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firstLine="643" w:firstLineChars="200"/>
        <w:textAlignment w:val="auto"/>
        <w:rPr>
          <w:rFonts w:hint="eastAsia" w:ascii="仿宋_GB2312" w:hAnsi="仿宋_GB2312" w:eastAsia="仿宋_GB2312" w:cs="仿宋_GB2312"/>
          <w:sz w:val="32"/>
          <w:szCs w:val="32"/>
          <w:highlight w:val="none"/>
          <w:lang w:eastAsia="zh-CN"/>
        </w:rPr>
      </w:pPr>
      <w:r>
        <w:rPr>
          <w:rStyle w:val="11"/>
          <w:rFonts w:hint="eastAsia" w:ascii="仿宋_GB2312" w:hAnsi="仿宋_GB2312" w:eastAsia="仿宋_GB2312" w:cs="仿宋_GB2312"/>
          <w:sz w:val="32"/>
          <w:szCs w:val="32"/>
          <w:highlight w:val="none"/>
        </w:rPr>
        <w:t>2.</w:t>
      </w:r>
      <w:r>
        <w:rPr>
          <w:rStyle w:val="11"/>
          <w:rFonts w:hint="eastAsia" w:ascii="仿宋_GB2312" w:hAnsi="仿宋_GB2312" w:eastAsia="仿宋_GB2312" w:cs="仿宋_GB2312"/>
          <w:sz w:val="32"/>
          <w:szCs w:val="32"/>
          <w:highlight w:val="none"/>
          <w:lang w:val="en-US" w:eastAsia="zh-CN"/>
        </w:rPr>
        <w:t>梯次</w:t>
      </w:r>
      <w:r>
        <w:rPr>
          <w:rStyle w:val="11"/>
          <w:rFonts w:hint="eastAsia" w:ascii="仿宋_GB2312" w:hAnsi="仿宋_GB2312" w:eastAsia="仿宋_GB2312" w:cs="仿宋_GB2312"/>
          <w:sz w:val="32"/>
          <w:szCs w:val="32"/>
          <w:highlight w:val="none"/>
        </w:rPr>
        <w:t>推进中小企业</w:t>
      </w:r>
      <w:r>
        <w:rPr>
          <w:rStyle w:val="11"/>
          <w:rFonts w:hint="eastAsia" w:ascii="仿宋_GB2312" w:hAnsi="仿宋_GB2312" w:eastAsia="仿宋_GB2312" w:cs="仿宋_GB2312"/>
          <w:sz w:val="32"/>
          <w:szCs w:val="32"/>
          <w:highlight w:val="none"/>
          <w:lang w:val="en-US" w:eastAsia="zh-CN"/>
        </w:rPr>
        <w:t>转型</w:t>
      </w:r>
      <w:r>
        <w:rPr>
          <w:rStyle w:val="11"/>
          <w:rFonts w:hint="eastAsia" w:ascii="仿宋_GB2312" w:hAnsi="仿宋_GB2312" w:eastAsia="仿宋_GB2312" w:cs="仿宋_GB2312"/>
          <w:sz w:val="32"/>
          <w:szCs w:val="32"/>
          <w:highlight w:val="none"/>
        </w:rPr>
        <w:t>。</w:t>
      </w:r>
      <w:r>
        <w:rPr>
          <w:rStyle w:val="11"/>
          <w:rFonts w:hint="eastAsia" w:ascii="仿宋_GB2312" w:hAnsi="仿宋_GB2312" w:eastAsia="仿宋_GB2312" w:cs="仿宋_GB2312"/>
          <w:b w:val="0"/>
          <w:bCs/>
          <w:sz w:val="32"/>
          <w:szCs w:val="32"/>
          <w:highlight w:val="none"/>
        </w:rPr>
        <w:t>按照企业基础、行业特点和发展阶段分层推进改造。支持</w:t>
      </w:r>
      <w:bookmarkStart w:id="0" w:name="_GoBack"/>
      <w:bookmarkEnd w:id="0"/>
      <w:r>
        <w:rPr>
          <w:rStyle w:val="11"/>
          <w:rFonts w:hint="eastAsia" w:ascii="仿宋_GB2312" w:hAnsi="仿宋_GB2312" w:eastAsia="仿宋_GB2312" w:cs="仿宋_GB2312"/>
          <w:b w:val="0"/>
          <w:bCs/>
          <w:sz w:val="32"/>
          <w:szCs w:val="32"/>
          <w:highlight w:val="none"/>
        </w:rPr>
        <w:t>专精特新中小企业优先补齐关键业务系统短板，围绕重点场景开展深度应用</w:t>
      </w:r>
      <w:r>
        <w:rPr>
          <w:rStyle w:val="11"/>
          <w:rFonts w:hint="eastAsia" w:ascii="仿宋_GB2312" w:hAnsi="仿宋_GB2312" w:eastAsia="仿宋_GB2312" w:cs="仿宋_GB2312"/>
          <w:b w:val="0"/>
          <w:bCs/>
          <w:sz w:val="32"/>
          <w:szCs w:val="32"/>
          <w:highlight w:val="none"/>
          <w:lang w:eastAsia="zh-CN"/>
        </w:rPr>
        <w:t>。</w:t>
      </w:r>
      <w:r>
        <w:rPr>
          <w:rStyle w:val="11"/>
          <w:rFonts w:hint="eastAsia" w:ascii="仿宋_GB2312" w:hAnsi="仿宋_GB2312" w:eastAsia="仿宋_GB2312" w:cs="仿宋_GB2312"/>
          <w:b w:val="0"/>
          <w:bCs/>
          <w:sz w:val="32"/>
          <w:szCs w:val="32"/>
          <w:highlight w:val="none"/>
        </w:rPr>
        <w:t>面向广大中小微企业推广“小快轻准”产品和云化服务，鼓励以“微改造”方式</w:t>
      </w:r>
      <w:r>
        <w:rPr>
          <w:rStyle w:val="11"/>
          <w:rFonts w:hint="eastAsia" w:ascii="仿宋_GB2312" w:hAnsi="仿宋_GB2312" w:eastAsia="仿宋_GB2312" w:cs="仿宋_GB2312"/>
          <w:b w:val="0"/>
          <w:bCs/>
          <w:sz w:val="32"/>
          <w:szCs w:val="32"/>
          <w:highlight w:val="none"/>
          <w:lang w:eastAsia="zh-CN"/>
        </w:rPr>
        <w:t>逐步接入工业</w:t>
      </w:r>
      <w:r>
        <w:rPr>
          <w:rStyle w:val="11"/>
          <w:rFonts w:hint="eastAsia" w:ascii="仿宋_GB2312" w:hAnsi="仿宋_GB2312" w:eastAsia="仿宋_GB2312" w:cs="仿宋_GB2312"/>
          <w:b w:val="0"/>
          <w:bCs/>
          <w:sz w:val="32"/>
          <w:szCs w:val="32"/>
          <w:highlight w:val="none"/>
          <w:lang w:val="en-US" w:eastAsia="zh-CN"/>
        </w:rPr>
        <w:t>互</w:t>
      </w:r>
      <w:r>
        <w:rPr>
          <w:rStyle w:val="11"/>
          <w:rFonts w:hint="eastAsia" w:ascii="仿宋_GB2312" w:hAnsi="仿宋_GB2312" w:eastAsia="仿宋_GB2312" w:cs="仿宋_GB2312"/>
          <w:b w:val="0"/>
          <w:bCs/>
          <w:sz w:val="32"/>
          <w:szCs w:val="32"/>
          <w:highlight w:val="none"/>
          <w:lang w:eastAsia="zh-CN"/>
        </w:rPr>
        <w:t>联网生态</w:t>
      </w:r>
      <w:r>
        <w:rPr>
          <w:rStyle w:val="11"/>
          <w:rFonts w:hint="eastAsia" w:ascii="仿宋_GB2312" w:hAnsi="仿宋_GB2312" w:eastAsia="仿宋_GB2312" w:cs="仿宋_GB2312"/>
          <w:b w:val="0"/>
          <w:bCs/>
          <w:sz w:val="32"/>
          <w:szCs w:val="32"/>
          <w:highlight w:val="none"/>
        </w:rPr>
        <w:t>，</w:t>
      </w:r>
      <w:r>
        <w:rPr>
          <w:rStyle w:val="11"/>
          <w:rFonts w:hint="eastAsia" w:ascii="仿宋_GB2312" w:hAnsi="仿宋_GB2312" w:eastAsia="仿宋_GB2312" w:cs="仿宋_GB2312"/>
          <w:b w:val="0"/>
          <w:bCs/>
          <w:sz w:val="32"/>
          <w:szCs w:val="32"/>
          <w:highlight w:val="none"/>
          <w:lang w:eastAsia="zh-CN"/>
        </w:rPr>
        <w:t>持续</w:t>
      </w:r>
      <w:r>
        <w:rPr>
          <w:rStyle w:val="11"/>
          <w:rFonts w:hint="eastAsia" w:ascii="仿宋_GB2312" w:hAnsi="仿宋_GB2312" w:eastAsia="仿宋_GB2312" w:cs="仿宋_GB2312"/>
          <w:b w:val="0"/>
          <w:bCs/>
          <w:sz w:val="32"/>
          <w:szCs w:val="32"/>
          <w:highlight w:val="none"/>
        </w:rPr>
        <w:t>提高数</w:t>
      </w:r>
      <w:r>
        <w:rPr>
          <w:rStyle w:val="11"/>
          <w:rFonts w:hint="eastAsia" w:ascii="仿宋_GB2312" w:hAnsi="仿宋_GB2312" w:eastAsia="仿宋_GB2312" w:cs="仿宋_GB2312"/>
          <w:b w:val="0"/>
          <w:bCs/>
          <w:sz w:val="32"/>
          <w:szCs w:val="32"/>
          <w:highlight w:val="none"/>
          <w:lang w:val="en-US" w:eastAsia="zh-CN"/>
        </w:rPr>
        <w:t>字</w:t>
      </w:r>
      <w:r>
        <w:rPr>
          <w:rStyle w:val="11"/>
          <w:rFonts w:hint="eastAsia" w:ascii="仿宋_GB2312" w:hAnsi="仿宋_GB2312" w:eastAsia="仿宋_GB2312" w:cs="仿宋_GB2312"/>
          <w:b w:val="0"/>
          <w:bCs/>
          <w:sz w:val="32"/>
          <w:szCs w:val="32"/>
          <w:highlight w:val="none"/>
        </w:rPr>
        <w:t>化</w:t>
      </w:r>
      <w:r>
        <w:rPr>
          <w:rStyle w:val="11"/>
          <w:rFonts w:hint="eastAsia" w:ascii="仿宋_GB2312" w:hAnsi="仿宋_GB2312" w:eastAsia="仿宋_GB2312" w:cs="仿宋_GB2312"/>
          <w:b w:val="0"/>
          <w:bCs/>
          <w:sz w:val="32"/>
          <w:szCs w:val="32"/>
          <w:highlight w:val="none"/>
          <w:lang w:val="en-US" w:eastAsia="zh-CN"/>
        </w:rPr>
        <w:t>水平</w:t>
      </w:r>
      <w:r>
        <w:rPr>
          <w:rStyle w:val="11"/>
          <w:rFonts w:hint="eastAsia" w:ascii="仿宋_GB2312" w:hAnsi="仿宋_GB2312" w:eastAsia="仿宋_GB2312" w:cs="仿宋_GB2312"/>
          <w:b w:val="0"/>
          <w:bCs/>
          <w:sz w:val="32"/>
          <w:szCs w:val="32"/>
          <w:highlight w:val="none"/>
        </w:rPr>
        <w:t>。</w:t>
      </w:r>
    </w:p>
    <w:p w14:paraId="56BEF826">
      <w:pPr>
        <w:pStyle w:val="8"/>
        <w:spacing w:beforeAutospacing="0" w:afterAutospacing="0" w:line="560" w:lineRule="exact"/>
        <w:ind w:firstLine="643" w:firstLineChars="200"/>
        <w:rPr>
          <w:rFonts w:hint="eastAsia" w:ascii="楷体_GB2312" w:hAnsi="楷体_GB2312" w:eastAsia="楷体_GB2312" w:cs="楷体_GB2312"/>
          <w:sz w:val="32"/>
          <w:szCs w:val="32"/>
          <w:highlight w:val="none"/>
        </w:rPr>
      </w:pPr>
      <w:r>
        <w:rPr>
          <w:rStyle w:val="11"/>
          <w:rFonts w:hint="eastAsia" w:ascii="仿宋_GB2312" w:hAnsi="仿宋_GB2312" w:eastAsia="仿宋_GB2312" w:cs="仿宋_GB2312"/>
          <w:sz w:val="32"/>
          <w:szCs w:val="32"/>
          <w:highlight w:val="none"/>
        </w:rPr>
        <w:t>3.强化</w:t>
      </w:r>
      <w:r>
        <w:rPr>
          <w:rStyle w:val="11"/>
          <w:rFonts w:hint="eastAsia" w:ascii="仿宋_GB2312" w:hAnsi="仿宋_GB2312" w:eastAsia="仿宋_GB2312" w:cs="仿宋_GB2312"/>
          <w:sz w:val="32"/>
          <w:szCs w:val="32"/>
          <w:highlight w:val="none"/>
          <w:lang w:val="en-US" w:eastAsia="zh-CN"/>
        </w:rPr>
        <w:t>数智化</w:t>
      </w:r>
      <w:r>
        <w:rPr>
          <w:rStyle w:val="11"/>
          <w:rFonts w:hint="eastAsia" w:ascii="仿宋_GB2312" w:hAnsi="仿宋_GB2312" w:eastAsia="仿宋_GB2312" w:cs="仿宋_GB2312"/>
          <w:sz w:val="32"/>
          <w:szCs w:val="32"/>
          <w:highlight w:val="none"/>
        </w:rPr>
        <w:t>标杆</w:t>
      </w:r>
      <w:r>
        <w:rPr>
          <w:rStyle w:val="11"/>
          <w:rFonts w:hint="eastAsia" w:ascii="仿宋_GB2312" w:hAnsi="仿宋_GB2312" w:eastAsia="仿宋_GB2312" w:cs="仿宋_GB2312"/>
          <w:sz w:val="32"/>
          <w:szCs w:val="32"/>
          <w:highlight w:val="none"/>
          <w:lang w:val="en-US" w:eastAsia="zh-CN"/>
        </w:rPr>
        <w:t>示范引领</w:t>
      </w:r>
      <w:r>
        <w:rPr>
          <w:rStyle w:val="11"/>
          <w:rFonts w:hint="eastAsia" w:ascii="仿宋_GB2312" w:hAnsi="仿宋_GB2312" w:eastAsia="仿宋_GB2312" w:cs="仿宋_GB2312"/>
          <w:sz w:val="32"/>
          <w:szCs w:val="32"/>
          <w:highlight w:val="none"/>
        </w:rPr>
        <w:t>。</w:t>
      </w:r>
      <w:r>
        <w:rPr>
          <w:rStyle w:val="11"/>
          <w:rFonts w:hint="eastAsia" w:ascii="仿宋_GB2312" w:hAnsi="仿宋_GB2312" w:eastAsia="仿宋_GB2312" w:cs="仿宋_GB2312"/>
          <w:b w:val="0"/>
          <w:bCs/>
          <w:sz w:val="32"/>
          <w:szCs w:val="32"/>
          <w:highlight w:val="none"/>
        </w:rPr>
        <w:t>紧扣智能化应用主攻方向，分层分类推进智能工厂梯度培育，加大先进适用技术和典型经验推广力度，形成一批可学习、可借鉴、可推广的数智化转型样本。通过案例视频、案例汇编、现场交流等方式放大示范效应，带动行业企业提档升级。到2027年，力争</w:t>
      </w:r>
      <w:r>
        <w:rPr>
          <w:rStyle w:val="11"/>
          <w:rFonts w:hint="eastAsia" w:ascii="仿宋_GB2312" w:hAnsi="仿宋_GB2312" w:eastAsia="仿宋_GB2312" w:cs="仿宋_GB2312"/>
          <w:b w:val="0"/>
          <w:bCs/>
          <w:sz w:val="32"/>
          <w:szCs w:val="32"/>
          <w:highlight w:val="none"/>
          <w:lang w:val="en-US" w:eastAsia="zh-CN"/>
        </w:rPr>
        <w:t>打造</w:t>
      </w:r>
      <w:r>
        <w:rPr>
          <w:rStyle w:val="11"/>
          <w:rFonts w:hint="eastAsia" w:ascii="仿宋_GB2312" w:hAnsi="仿宋_GB2312" w:eastAsia="仿宋_GB2312" w:cs="仿宋_GB2312"/>
          <w:b w:val="0"/>
          <w:bCs/>
          <w:sz w:val="32"/>
          <w:szCs w:val="32"/>
          <w:highlight w:val="none"/>
        </w:rPr>
        <w:t>省级“数智标杆”企业16家以上</w:t>
      </w:r>
      <w:r>
        <w:rPr>
          <w:rStyle w:val="11"/>
          <w:rFonts w:hint="eastAsia" w:ascii="仿宋_GB2312" w:hAnsi="仿宋_GB2312" w:eastAsia="仿宋_GB2312" w:cs="仿宋_GB2312"/>
          <w:b w:val="0"/>
          <w:bCs/>
          <w:sz w:val="32"/>
          <w:szCs w:val="32"/>
          <w:highlight w:val="none"/>
          <w:lang w:eastAsia="zh-CN"/>
        </w:rPr>
        <w:t>，</w:t>
      </w:r>
      <w:r>
        <w:rPr>
          <w:rStyle w:val="11"/>
          <w:rFonts w:hint="eastAsia" w:ascii="仿宋_GB2312" w:hAnsi="仿宋_GB2312" w:eastAsia="仿宋_GB2312" w:cs="仿宋_GB2312"/>
          <w:b w:val="0"/>
          <w:bCs/>
          <w:sz w:val="32"/>
          <w:szCs w:val="32"/>
          <w:highlight w:val="none"/>
          <w:lang w:val="en-US" w:eastAsia="zh-CN"/>
        </w:rPr>
        <w:t>新增</w:t>
      </w:r>
      <w:r>
        <w:rPr>
          <w:rStyle w:val="11"/>
          <w:rFonts w:hint="eastAsia" w:ascii="仿宋_GB2312" w:hAnsi="仿宋_GB2312" w:eastAsia="仿宋_GB2312" w:cs="仿宋_GB2312"/>
          <w:b w:val="0"/>
          <w:bCs/>
          <w:sz w:val="32"/>
          <w:szCs w:val="32"/>
          <w:highlight w:val="none"/>
        </w:rPr>
        <w:t>先进级智能工厂16家以上，新增“数字领航”企业、卓越级智能工厂等国家级标杆10个以上。</w:t>
      </w:r>
    </w:p>
    <w:p w14:paraId="76835E99">
      <w:pPr>
        <w:pStyle w:val="5"/>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firstLine="643" w:firstLineChars="200"/>
        <w:textAlignment w:val="auto"/>
        <w:rPr>
          <w:rFonts w:hint="eastAsia" w:ascii="楷体_GB2312" w:hAnsi="楷体_GB2312" w:eastAsia="楷体_GB2312" w:cs="楷体_GB2312"/>
          <w:sz w:val="32"/>
          <w:szCs w:val="32"/>
          <w:highlight w:val="none"/>
        </w:rPr>
      </w:pPr>
      <w:r>
        <w:rPr>
          <w:rFonts w:hint="eastAsia" w:ascii="楷体_GB2312" w:hAnsi="楷体_GB2312" w:eastAsia="楷体_GB2312" w:cs="楷体_GB2312"/>
          <w:sz w:val="32"/>
          <w:szCs w:val="32"/>
          <w:highlight w:val="none"/>
        </w:rPr>
        <w:t>（二）实施链式协同改造行动</w:t>
      </w:r>
    </w:p>
    <w:p w14:paraId="6BF5261F">
      <w:pPr>
        <w:pStyle w:val="8"/>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firstLine="643" w:firstLineChars="200"/>
        <w:textAlignment w:val="auto"/>
        <w:rPr>
          <w:rFonts w:hint="eastAsia" w:ascii="仿宋_GB2312" w:hAnsi="仿宋_GB2312" w:eastAsia="仿宋_GB2312" w:cs="仿宋_GB2312"/>
          <w:b w:val="0"/>
          <w:bCs/>
          <w:sz w:val="32"/>
          <w:szCs w:val="32"/>
          <w:highlight w:val="none"/>
          <w:lang w:eastAsia="zh-CN"/>
        </w:rPr>
      </w:pPr>
      <w:r>
        <w:rPr>
          <w:rStyle w:val="11"/>
          <w:rFonts w:hint="eastAsia" w:ascii="仿宋_GB2312" w:hAnsi="仿宋_GB2312" w:eastAsia="仿宋_GB2312" w:cs="仿宋_GB2312"/>
          <w:sz w:val="32"/>
          <w:szCs w:val="32"/>
          <w:highlight w:val="none"/>
        </w:rPr>
        <w:t>1.增强供应链协同能力。</w:t>
      </w:r>
      <w:r>
        <w:rPr>
          <w:rStyle w:val="11"/>
          <w:rFonts w:hint="eastAsia" w:ascii="仿宋_GB2312" w:hAnsi="仿宋_GB2312" w:eastAsia="仿宋_GB2312" w:cs="仿宋_GB2312"/>
          <w:b w:val="0"/>
          <w:bCs/>
          <w:sz w:val="32"/>
          <w:szCs w:val="32"/>
          <w:highlight w:val="none"/>
          <w:lang w:val="en-US" w:eastAsia="zh-CN"/>
        </w:rPr>
        <w:t>实施</w:t>
      </w:r>
      <w:r>
        <w:rPr>
          <w:rStyle w:val="11"/>
          <w:rFonts w:hint="eastAsia" w:ascii="仿宋_GB2312" w:hAnsi="仿宋_GB2312" w:eastAsia="仿宋_GB2312" w:cs="仿宋_GB2312"/>
          <w:b w:val="0"/>
          <w:bCs/>
          <w:sz w:val="32"/>
          <w:szCs w:val="32"/>
          <w:highlight w:val="none"/>
        </w:rPr>
        <w:t>数字化供应链</w:t>
      </w:r>
      <w:r>
        <w:rPr>
          <w:rStyle w:val="11"/>
          <w:rFonts w:hint="eastAsia" w:ascii="仿宋_GB2312" w:hAnsi="仿宋_GB2312" w:eastAsia="仿宋_GB2312" w:cs="仿宋_GB2312"/>
          <w:b w:val="0"/>
          <w:bCs/>
          <w:sz w:val="32"/>
          <w:szCs w:val="32"/>
          <w:highlight w:val="none"/>
          <w:lang w:val="en-US" w:eastAsia="zh-CN"/>
        </w:rPr>
        <w:t>贯标试点</w:t>
      </w:r>
      <w:r>
        <w:rPr>
          <w:rStyle w:val="11"/>
          <w:rFonts w:hint="eastAsia" w:ascii="仿宋_GB2312" w:hAnsi="仿宋_GB2312" w:eastAsia="仿宋_GB2312" w:cs="仿宋_GB2312"/>
          <w:b w:val="0"/>
          <w:bCs/>
          <w:sz w:val="32"/>
          <w:szCs w:val="32"/>
          <w:highlight w:val="none"/>
        </w:rPr>
        <w:t>，推动</w:t>
      </w:r>
      <w:r>
        <w:rPr>
          <w:rStyle w:val="11"/>
          <w:rFonts w:hint="eastAsia" w:ascii="仿宋_GB2312" w:hAnsi="仿宋_GB2312" w:eastAsia="仿宋_GB2312" w:cs="仿宋_GB2312"/>
          <w:b w:val="0"/>
          <w:bCs/>
          <w:sz w:val="32"/>
          <w:szCs w:val="32"/>
          <w:highlight w:val="none"/>
          <w:lang w:val="en-US" w:eastAsia="zh-CN"/>
        </w:rPr>
        <w:t>企业</w:t>
      </w:r>
      <w:r>
        <w:rPr>
          <w:rStyle w:val="11"/>
          <w:rFonts w:hint="eastAsia" w:ascii="仿宋_GB2312" w:hAnsi="仿宋_GB2312" w:eastAsia="仿宋_GB2312" w:cs="仿宋_GB2312"/>
          <w:b w:val="0"/>
          <w:bCs/>
          <w:sz w:val="32"/>
          <w:szCs w:val="32"/>
          <w:highlight w:val="none"/>
        </w:rPr>
        <w:t>供应链全生命周期数</w:t>
      </w:r>
      <w:r>
        <w:rPr>
          <w:rStyle w:val="11"/>
          <w:rFonts w:hint="eastAsia" w:ascii="仿宋_GB2312" w:hAnsi="仿宋_GB2312" w:eastAsia="仿宋_GB2312" w:cs="仿宋_GB2312"/>
          <w:b w:val="0"/>
          <w:bCs/>
          <w:sz w:val="32"/>
          <w:szCs w:val="32"/>
          <w:highlight w:val="none"/>
          <w:lang w:eastAsia="zh-CN"/>
        </w:rPr>
        <w:t>据</w:t>
      </w:r>
      <w:r>
        <w:rPr>
          <w:rStyle w:val="11"/>
          <w:rFonts w:hint="eastAsia" w:ascii="仿宋_GB2312" w:hAnsi="仿宋_GB2312" w:eastAsia="仿宋_GB2312" w:cs="仿宋_GB2312"/>
          <w:b w:val="0"/>
          <w:bCs/>
          <w:sz w:val="32"/>
          <w:szCs w:val="32"/>
          <w:highlight w:val="none"/>
        </w:rPr>
        <w:t>归集和</w:t>
      </w:r>
      <w:r>
        <w:rPr>
          <w:rStyle w:val="11"/>
          <w:rFonts w:hint="eastAsia" w:ascii="仿宋_GB2312" w:hAnsi="仿宋_GB2312" w:eastAsia="仿宋_GB2312" w:cs="仿宋_GB2312"/>
          <w:b w:val="0"/>
          <w:bCs/>
          <w:sz w:val="32"/>
          <w:szCs w:val="32"/>
          <w:highlight w:val="none"/>
          <w:lang w:val="en-US" w:eastAsia="zh-CN"/>
        </w:rPr>
        <w:t>数字</w:t>
      </w:r>
      <w:r>
        <w:rPr>
          <w:rStyle w:val="11"/>
          <w:rFonts w:hint="eastAsia" w:ascii="仿宋_GB2312" w:hAnsi="仿宋_GB2312" w:eastAsia="仿宋_GB2312" w:cs="仿宋_GB2312"/>
          <w:b w:val="0"/>
          <w:bCs/>
          <w:sz w:val="32"/>
          <w:szCs w:val="32"/>
          <w:highlight w:val="none"/>
        </w:rPr>
        <w:t>系统接口开放，带动</w:t>
      </w:r>
      <w:r>
        <w:rPr>
          <w:rStyle w:val="11"/>
          <w:rFonts w:hint="eastAsia" w:ascii="仿宋_GB2312" w:hAnsi="仿宋_GB2312" w:eastAsia="仿宋_GB2312" w:cs="仿宋_GB2312"/>
          <w:b w:val="0"/>
          <w:bCs/>
          <w:sz w:val="32"/>
          <w:szCs w:val="32"/>
          <w:highlight w:val="none"/>
          <w:lang w:eastAsia="zh-CN"/>
        </w:rPr>
        <w:t>供应链</w:t>
      </w:r>
      <w:r>
        <w:rPr>
          <w:rStyle w:val="11"/>
          <w:rFonts w:hint="eastAsia" w:ascii="仿宋_GB2312" w:hAnsi="仿宋_GB2312" w:eastAsia="仿宋_GB2312" w:cs="仿宋_GB2312"/>
          <w:b w:val="0"/>
          <w:bCs/>
          <w:sz w:val="32"/>
          <w:szCs w:val="32"/>
          <w:highlight w:val="none"/>
        </w:rPr>
        <w:t>上下游企业</w:t>
      </w:r>
      <w:r>
        <w:rPr>
          <w:rStyle w:val="11"/>
          <w:rFonts w:hint="eastAsia" w:ascii="仿宋_GB2312" w:hAnsi="仿宋_GB2312" w:eastAsia="仿宋_GB2312" w:cs="仿宋_GB2312"/>
          <w:b w:val="0"/>
          <w:bCs/>
          <w:sz w:val="32"/>
          <w:szCs w:val="32"/>
          <w:highlight w:val="none"/>
          <w:lang w:val="en-US" w:eastAsia="zh-CN"/>
        </w:rPr>
        <w:t>实施</w:t>
      </w:r>
      <w:r>
        <w:rPr>
          <w:rStyle w:val="11"/>
          <w:rFonts w:hint="eastAsia" w:ascii="仿宋_GB2312" w:hAnsi="仿宋_GB2312" w:eastAsia="仿宋_GB2312" w:cs="仿宋_GB2312"/>
          <w:b w:val="0"/>
          <w:bCs/>
          <w:sz w:val="32"/>
          <w:szCs w:val="32"/>
          <w:highlight w:val="none"/>
        </w:rPr>
        <w:t>统一规范</w:t>
      </w:r>
      <w:r>
        <w:rPr>
          <w:rStyle w:val="11"/>
          <w:rFonts w:hint="eastAsia" w:ascii="仿宋_GB2312" w:hAnsi="仿宋_GB2312" w:eastAsia="仿宋_GB2312" w:cs="仿宋_GB2312"/>
          <w:b w:val="0"/>
          <w:bCs/>
          <w:sz w:val="32"/>
          <w:szCs w:val="32"/>
          <w:highlight w:val="none"/>
          <w:lang w:eastAsia="zh-CN"/>
        </w:rPr>
        <w:t>的</w:t>
      </w:r>
      <w:r>
        <w:rPr>
          <w:rStyle w:val="11"/>
          <w:rFonts w:hint="eastAsia" w:ascii="仿宋_GB2312" w:hAnsi="仿宋_GB2312" w:eastAsia="仿宋_GB2312" w:cs="仿宋_GB2312"/>
          <w:b w:val="0"/>
          <w:bCs/>
          <w:sz w:val="32"/>
          <w:szCs w:val="32"/>
          <w:highlight w:val="none"/>
          <w:lang w:val="en-US" w:eastAsia="zh-CN"/>
        </w:rPr>
        <w:t>数字化</w:t>
      </w:r>
      <w:r>
        <w:rPr>
          <w:rStyle w:val="11"/>
          <w:rFonts w:hint="eastAsia" w:ascii="仿宋_GB2312" w:hAnsi="仿宋_GB2312" w:eastAsia="仿宋_GB2312" w:cs="仿宋_GB2312"/>
          <w:b w:val="0"/>
          <w:bCs/>
          <w:sz w:val="32"/>
          <w:szCs w:val="32"/>
          <w:highlight w:val="none"/>
        </w:rPr>
        <w:t>改造，提升数据流、信息流和业务流协同效率。支持企业搭建产业链协同平台和大宗商品数字化交易平台。引导中小企业</w:t>
      </w:r>
      <w:r>
        <w:rPr>
          <w:rStyle w:val="11"/>
          <w:rFonts w:hint="eastAsia" w:ascii="仿宋_GB2312" w:hAnsi="仿宋_GB2312" w:eastAsia="仿宋_GB2312" w:cs="仿宋_GB2312"/>
          <w:b w:val="0"/>
          <w:bCs/>
          <w:sz w:val="32"/>
          <w:szCs w:val="32"/>
          <w:highlight w:val="none"/>
          <w:lang w:val="en-US" w:eastAsia="zh-CN"/>
        </w:rPr>
        <w:t>主动</w:t>
      </w:r>
      <w:r>
        <w:rPr>
          <w:rStyle w:val="11"/>
          <w:rFonts w:hint="eastAsia" w:ascii="仿宋_GB2312" w:hAnsi="仿宋_GB2312" w:eastAsia="仿宋_GB2312" w:cs="仿宋_GB2312"/>
          <w:b w:val="0"/>
          <w:bCs/>
          <w:sz w:val="32"/>
          <w:szCs w:val="32"/>
          <w:highlight w:val="none"/>
        </w:rPr>
        <w:t>融入大企业产业链供应链体系，持续增强专业化配套和协同发展能力。</w:t>
      </w:r>
    </w:p>
    <w:p w14:paraId="0C187EF4">
      <w:pPr>
        <w:pStyle w:val="8"/>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firstLine="643" w:firstLineChars="200"/>
        <w:textAlignment w:val="auto"/>
        <w:rPr>
          <w:rFonts w:hint="eastAsia" w:ascii="仿宋_GB2312" w:hAnsi="仿宋_GB2312" w:eastAsia="仿宋_GB2312" w:cs="仿宋_GB2312"/>
          <w:b w:val="0"/>
          <w:bCs/>
          <w:sz w:val="32"/>
          <w:szCs w:val="32"/>
          <w:highlight w:val="none"/>
          <w:lang w:eastAsia="zh-CN"/>
        </w:rPr>
      </w:pPr>
      <w:r>
        <w:rPr>
          <w:rStyle w:val="11"/>
          <w:rFonts w:hint="eastAsia" w:ascii="仿宋_GB2312" w:hAnsi="仿宋_GB2312" w:eastAsia="仿宋_GB2312" w:cs="仿宋_GB2312"/>
          <w:sz w:val="32"/>
          <w:szCs w:val="32"/>
          <w:highlight w:val="none"/>
        </w:rPr>
        <w:t>2.深</w:t>
      </w:r>
      <w:r>
        <w:rPr>
          <w:rStyle w:val="11"/>
          <w:rFonts w:hint="eastAsia" w:ascii="仿宋_GB2312" w:hAnsi="仿宋_GB2312" w:eastAsia="仿宋_GB2312" w:cs="仿宋_GB2312"/>
          <w:sz w:val="32"/>
          <w:szCs w:val="32"/>
          <w:highlight w:val="none"/>
          <w:lang w:val="en-US" w:eastAsia="zh-CN"/>
        </w:rPr>
        <w:t>化</w:t>
      </w:r>
      <w:r>
        <w:rPr>
          <w:rStyle w:val="11"/>
          <w:rFonts w:hint="eastAsia" w:ascii="仿宋_GB2312" w:hAnsi="仿宋_GB2312" w:eastAsia="仿宋_GB2312" w:cs="仿宋_GB2312"/>
          <w:sz w:val="32"/>
          <w:szCs w:val="32"/>
          <w:highlight w:val="none"/>
        </w:rPr>
        <w:t>服务链协同支撑。</w:t>
      </w:r>
      <w:r>
        <w:rPr>
          <w:rStyle w:val="11"/>
          <w:rFonts w:hint="eastAsia" w:ascii="仿宋_GB2312" w:hAnsi="仿宋_GB2312" w:eastAsia="仿宋_GB2312" w:cs="仿宋_GB2312"/>
          <w:b w:val="0"/>
          <w:bCs/>
          <w:sz w:val="32"/>
          <w:szCs w:val="32"/>
          <w:highlight w:val="none"/>
        </w:rPr>
        <w:t>聚焦铜基新材料、电子信息、高端装备、智能眼镜等重点行业，梳理共性</w:t>
      </w:r>
      <w:r>
        <w:rPr>
          <w:rStyle w:val="11"/>
          <w:rFonts w:hint="eastAsia" w:ascii="仿宋_GB2312" w:hAnsi="仿宋_GB2312" w:eastAsia="仿宋_GB2312" w:cs="仿宋_GB2312"/>
          <w:b w:val="0"/>
          <w:bCs/>
          <w:sz w:val="32"/>
          <w:szCs w:val="32"/>
          <w:highlight w:val="none"/>
          <w:lang w:val="en-US" w:eastAsia="zh-CN"/>
        </w:rPr>
        <w:t>需求</w:t>
      </w:r>
      <w:r>
        <w:rPr>
          <w:rStyle w:val="11"/>
          <w:rFonts w:hint="eastAsia" w:ascii="仿宋_GB2312" w:hAnsi="仿宋_GB2312" w:eastAsia="仿宋_GB2312" w:cs="仿宋_GB2312"/>
          <w:b w:val="0"/>
          <w:bCs/>
          <w:sz w:val="32"/>
          <w:szCs w:val="32"/>
          <w:highlight w:val="none"/>
        </w:rPr>
        <w:t>和高频场景，组织制造企业联合服务商、软件</w:t>
      </w:r>
      <w:r>
        <w:rPr>
          <w:rStyle w:val="11"/>
          <w:rFonts w:hint="eastAsia" w:ascii="仿宋_GB2312" w:hAnsi="仿宋_GB2312" w:eastAsia="仿宋_GB2312" w:cs="仿宋_GB2312"/>
          <w:b w:val="0"/>
          <w:bCs/>
          <w:sz w:val="32"/>
          <w:szCs w:val="32"/>
          <w:highlight w:val="none"/>
          <w:lang w:eastAsia="zh-CN"/>
        </w:rPr>
        <w:t>开发商</w:t>
      </w:r>
      <w:r>
        <w:rPr>
          <w:rStyle w:val="11"/>
          <w:rFonts w:hint="eastAsia" w:ascii="仿宋_GB2312" w:hAnsi="仿宋_GB2312" w:eastAsia="仿宋_GB2312" w:cs="仿宋_GB2312"/>
          <w:b w:val="0"/>
          <w:bCs/>
          <w:sz w:val="32"/>
          <w:szCs w:val="32"/>
          <w:highlight w:val="none"/>
        </w:rPr>
        <w:t>、装备企业</w:t>
      </w:r>
      <w:r>
        <w:rPr>
          <w:rStyle w:val="11"/>
          <w:rFonts w:hint="eastAsia" w:ascii="仿宋_GB2312" w:hAnsi="仿宋_GB2312" w:eastAsia="仿宋_GB2312" w:cs="仿宋_GB2312"/>
          <w:b w:val="0"/>
          <w:bCs/>
          <w:sz w:val="32"/>
          <w:szCs w:val="32"/>
          <w:highlight w:val="none"/>
          <w:lang w:eastAsia="zh-CN"/>
        </w:rPr>
        <w:t>开发</w:t>
      </w:r>
      <w:r>
        <w:rPr>
          <w:rStyle w:val="11"/>
          <w:rFonts w:hint="eastAsia" w:ascii="仿宋_GB2312" w:hAnsi="仿宋_GB2312" w:eastAsia="仿宋_GB2312" w:cs="仿宋_GB2312"/>
          <w:b w:val="0"/>
          <w:bCs/>
          <w:sz w:val="32"/>
          <w:szCs w:val="32"/>
          <w:highlight w:val="none"/>
        </w:rPr>
        <w:t>标准化、模块化、轻量化解决方案。支持有条件的企业延伸布局数</w:t>
      </w:r>
      <w:r>
        <w:rPr>
          <w:rStyle w:val="11"/>
          <w:rFonts w:hint="eastAsia" w:ascii="仿宋_GB2312" w:hAnsi="仿宋_GB2312" w:eastAsia="仿宋_GB2312" w:cs="仿宋_GB2312"/>
          <w:b w:val="0"/>
          <w:bCs/>
          <w:sz w:val="32"/>
          <w:szCs w:val="32"/>
          <w:highlight w:val="none"/>
          <w:lang w:val="en-US" w:eastAsia="zh-CN"/>
        </w:rPr>
        <w:t>字</w:t>
      </w:r>
      <w:r>
        <w:rPr>
          <w:rStyle w:val="11"/>
          <w:rFonts w:hint="eastAsia" w:ascii="仿宋_GB2312" w:hAnsi="仿宋_GB2312" w:eastAsia="仿宋_GB2312" w:cs="仿宋_GB2312"/>
          <w:b w:val="0"/>
          <w:bCs/>
          <w:sz w:val="32"/>
          <w:szCs w:val="32"/>
          <w:highlight w:val="none"/>
        </w:rPr>
        <w:t>化服务业务，输出成熟场景</w:t>
      </w:r>
      <w:r>
        <w:rPr>
          <w:rStyle w:val="11"/>
          <w:rFonts w:hint="eastAsia" w:ascii="仿宋_GB2312" w:hAnsi="仿宋_GB2312" w:eastAsia="仿宋_GB2312" w:cs="仿宋_GB2312"/>
          <w:b w:val="0"/>
          <w:bCs/>
          <w:sz w:val="32"/>
          <w:szCs w:val="32"/>
          <w:highlight w:val="none"/>
          <w:lang w:val="en-US" w:eastAsia="zh-CN"/>
        </w:rPr>
        <w:t>和解决</w:t>
      </w:r>
      <w:r>
        <w:rPr>
          <w:rStyle w:val="11"/>
          <w:rFonts w:hint="eastAsia" w:ascii="仿宋_GB2312" w:hAnsi="仿宋_GB2312" w:eastAsia="仿宋_GB2312" w:cs="仿宋_GB2312"/>
          <w:b w:val="0"/>
          <w:bCs/>
          <w:sz w:val="32"/>
          <w:szCs w:val="32"/>
          <w:highlight w:val="none"/>
        </w:rPr>
        <w:t>方案</w:t>
      </w:r>
      <w:r>
        <w:rPr>
          <w:rStyle w:val="11"/>
          <w:rFonts w:hint="eastAsia" w:ascii="仿宋_GB2312" w:hAnsi="仿宋_GB2312" w:eastAsia="仿宋_GB2312" w:cs="仿宋_GB2312"/>
          <w:b w:val="0"/>
          <w:bCs/>
          <w:sz w:val="32"/>
          <w:szCs w:val="32"/>
          <w:highlight w:val="none"/>
          <w:lang w:eastAsia="zh-CN"/>
        </w:rPr>
        <w:t>。</w:t>
      </w:r>
      <w:r>
        <w:rPr>
          <w:rStyle w:val="11"/>
          <w:rFonts w:hint="eastAsia" w:ascii="仿宋_GB2312" w:hAnsi="仿宋_GB2312" w:eastAsia="仿宋_GB2312" w:cs="仿宋_GB2312"/>
          <w:b w:val="0"/>
          <w:bCs/>
          <w:sz w:val="32"/>
          <w:szCs w:val="32"/>
          <w:highlight w:val="none"/>
        </w:rPr>
        <w:t>推动工业互联网与重点产业链“链网协同”，形成一批适配</w:t>
      </w:r>
      <w:r>
        <w:rPr>
          <w:rStyle w:val="11"/>
          <w:rFonts w:hint="eastAsia" w:ascii="仿宋_GB2312" w:hAnsi="仿宋_GB2312" w:eastAsia="仿宋_GB2312" w:cs="仿宋_GB2312"/>
          <w:b w:val="0"/>
          <w:bCs/>
          <w:sz w:val="32"/>
          <w:szCs w:val="32"/>
          <w:highlight w:val="none"/>
          <w:lang w:eastAsia="zh-CN"/>
        </w:rPr>
        <w:t>全市</w:t>
      </w:r>
      <w:r>
        <w:rPr>
          <w:rStyle w:val="11"/>
          <w:rFonts w:hint="eastAsia" w:ascii="仿宋_GB2312" w:hAnsi="仿宋_GB2312" w:eastAsia="仿宋_GB2312" w:cs="仿宋_GB2312"/>
          <w:b w:val="0"/>
          <w:bCs/>
          <w:sz w:val="32"/>
          <w:szCs w:val="32"/>
          <w:highlight w:val="none"/>
        </w:rPr>
        <w:t>产业特点的解决方案。</w:t>
      </w:r>
    </w:p>
    <w:p w14:paraId="5251F4FF">
      <w:pPr>
        <w:pStyle w:val="8"/>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firstLine="643" w:firstLineChars="200"/>
        <w:textAlignment w:val="auto"/>
        <w:rPr>
          <w:rFonts w:hint="eastAsia" w:ascii="仿宋_GB2312" w:hAnsi="仿宋_GB2312" w:eastAsia="仿宋_GB2312" w:cs="仿宋_GB2312"/>
          <w:b w:val="0"/>
          <w:bCs/>
          <w:sz w:val="32"/>
          <w:szCs w:val="32"/>
          <w:highlight w:val="none"/>
          <w:lang w:eastAsia="zh-CN"/>
        </w:rPr>
      </w:pPr>
      <w:r>
        <w:rPr>
          <w:rStyle w:val="11"/>
          <w:rFonts w:hint="eastAsia" w:ascii="仿宋_GB2312" w:hAnsi="仿宋_GB2312" w:eastAsia="仿宋_GB2312" w:cs="仿宋_GB2312"/>
          <w:sz w:val="32"/>
          <w:szCs w:val="32"/>
          <w:highlight w:val="none"/>
        </w:rPr>
        <w:t>3.提升产业链</w:t>
      </w:r>
      <w:r>
        <w:rPr>
          <w:rStyle w:val="11"/>
          <w:rFonts w:hint="eastAsia" w:ascii="仿宋_GB2312" w:hAnsi="仿宋_GB2312" w:eastAsia="仿宋_GB2312" w:cs="仿宋_GB2312"/>
          <w:sz w:val="32"/>
          <w:szCs w:val="32"/>
          <w:highlight w:val="none"/>
          <w:lang w:val="en-US" w:eastAsia="zh-CN"/>
        </w:rPr>
        <w:t>协同</w:t>
      </w:r>
      <w:r>
        <w:rPr>
          <w:rStyle w:val="11"/>
          <w:rFonts w:hint="eastAsia" w:ascii="仿宋_GB2312" w:hAnsi="仿宋_GB2312" w:eastAsia="仿宋_GB2312" w:cs="仿宋_GB2312"/>
          <w:sz w:val="32"/>
          <w:szCs w:val="32"/>
          <w:highlight w:val="none"/>
        </w:rPr>
        <w:t>水平。</w:t>
      </w:r>
      <w:r>
        <w:rPr>
          <w:rFonts w:hint="eastAsia" w:ascii="仿宋_GB2312" w:hAnsi="仿宋_GB2312" w:eastAsia="仿宋_GB2312" w:cs="仿宋_GB2312"/>
          <w:sz w:val="32"/>
          <w:szCs w:val="32"/>
          <w:highlight w:val="none"/>
          <w:lang w:val="en-US" w:eastAsia="zh-CN"/>
        </w:rPr>
        <w:t>加快铜基新材料数字化转型</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一图四清单</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编制和应用，以图谱化、场景化方式精准推进产业链各环节的数字化转型。深化</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铜产业大脑</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建设，探索开展“产融E链计划”</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强化数据汇聚和金融服务功能，加快与工业互联网深度融合与协同赋能</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全面提升产业服务能力和治理水平，加速行业数字化转型和产业发展能级跃升。</w:t>
      </w:r>
    </w:p>
    <w:p w14:paraId="3B27EC0E">
      <w:pPr>
        <w:pStyle w:val="5"/>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firstLine="643" w:firstLineChars="200"/>
        <w:textAlignment w:val="auto"/>
        <w:rPr>
          <w:rFonts w:hint="eastAsia" w:ascii="楷体_GB2312" w:hAnsi="楷体_GB2312" w:eastAsia="楷体_GB2312" w:cs="楷体_GB2312"/>
          <w:sz w:val="32"/>
          <w:szCs w:val="32"/>
          <w:highlight w:val="none"/>
        </w:rPr>
      </w:pPr>
      <w:r>
        <w:rPr>
          <w:rFonts w:hint="eastAsia" w:ascii="楷体_GB2312" w:hAnsi="楷体_GB2312" w:eastAsia="楷体_GB2312" w:cs="楷体_GB2312"/>
          <w:sz w:val="32"/>
          <w:szCs w:val="32"/>
          <w:highlight w:val="none"/>
        </w:rPr>
        <w:t>（三）实施集群数智提能行动</w:t>
      </w:r>
    </w:p>
    <w:p w14:paraId="291B60E7">
      <w:pPr>
        <w:pStyle w:val="8"/>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firstLine="643" w:firstLineChars="200"/>
        <w:textAlignment w:val="auto"/>
        <w:rPr>
          <w:rFonts w:hint="eastAsia" w:ascii="仿宋_GB2312" w:hAnsi="仿宋_GB2312" w:eastAsia="仿宋_GB2312" w:cs="仿宋_GB2312"/>
          <w:b w:val="0"/>
          <w:bCs/>
          <w:sz w:val="32"/>
          <w:szCs w:val="32"/>
          <w:highlight w:val="none"/>
          <w:lang w:eastAsia="zh-CN"/>
        </w:rPr>
      </w:pPr>
      <w:r>
        <w:rPr>
          <w:rStyle w:val="11"/>
          <w:rFonts w:hint="eastAsia" w:ascii="仿宋_GB2312" w:hAnsi="仿宋_GB2312" w:eastAsia="仿宋_GB2312" w:cs="仿宋_GB2312"/>
          <w:sz w:val="32"/>
          <w:szCs w:val="32"/>
          <w:highlight w:val="none"/>
        </w:rPr>
        <w:t>1.</w:t>
      </w:r>
      <w:r>
        <w:rPr>
          <w:rStyle w:val="11"/>
          <w:rFonts w:hint="eastAsia" w:ascii="仿宋_GB2312" w:hAnsi="仿宋_GB2312" w:eastAsia="仿宋_GB2312" w:cs="仿宋_GB2312"/>
          <w:sz w:val="32"/>
          <w:szCs w:val="32"/>
          <w:highlight w:val="none"/>
          <w:lang w:val="en-US" w:eastAsia="zh-CN"/>
        </w:rPr>
        <w:t>全力推进</w:t>
      </w:r>
      <w:r>
        <w:rPr>
          <w:rStyle w:val="11"/>
          <w:rFonts w:hint="eastAsia" w:ascii="仿宋_GB2312" w:hAnsi="仿宋_GB2312" w:eastAsia="仿宋_GB2312" w:cs="仿宋_GB2312"/>
          <w:sz w:val="32"/>
          <w:szCs w:val="32"/>
          <w:highlight w:val="none"/>
        </w:rPr>
        <w:t>转型先行区</w:t>
      </w:r>
      <w:r>
        <w:rPr>
          <w:rStyle w:val="11"/>
          <w:rFonts w:hint="eastAsia" w:ascii="仿宋_GB2312" w:hAnsi="仿宋_GB2312" w:eastAsia="仿宋_GB2312" w:cs="仿宋_GB2312"/>
          <w:sz w:val="32"/>
          <w:szCs w:val="32"/>
          <w:highlight w:val="none"/>
          <w:lang w:val="en-US" w:eastAsia="zh-CN"/>
        </w:rPr>
        <w:t>建设</w:t>
      </w:r>
      <w:r>
        <w:rPr>
          <w:rStyle w:val="11"/>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rPr>
        <w:t>突出区域特色与行业优势，</w:t>
      </w:r>
      <w:r>
        <w:rPr>
          <w:rFonts w:hint="eastAsia" w:ascii="仿宋_GB2312" w:hAnsi="仿宋_GB2312" w:eastAsia="仿宋_GB2312" w:cs="仿宋_GB2312"/>
          <w:sz w:val="32"/>
          <w:szCs w:val="32"/>
          <w:highlight w:val="none"/>
          <w:lang w:val="en-US" w:eastAsia="zh-CN"/>
        </w:rPr>
        <w:t>在市级创建铜基新材料产业数字化转型先行区，各区（市）</w:t>
      </w:r>
      <w:r>
        <w:rPr>
          <w:rFonts w:hint="eastAsia" w:ascii="仿宋_GB2312" w:hAnsi="仿宋_GB2312" w:eastAsia="仿宋_GB2312" w:cs="仿宋_GB2312"/>
          <w:sz w:val="32"/>
          <w:szCs w:val="32"/>
          <w:highlight w:val="none"/>
        </w:rPr>
        <w:t>聚焦眼镜、电子信息、装备制造等重点产业集群</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全力创建细分领域</w:t>
      </w:r>
      <w:r>
        <w:rPr>
          <w:rFonts w:hint="eastAsia" w:ascii="仿宋_GB2312" w:hAnsi="仿宋_GB2312" w:eastAsia="仿宋_GB2312" w:cs="仿宋_GB2312"/>
          <w:sz w:val="32"/>
          <w:szCs w:val="32"/>
          <w:highlight w:val="none"/>
        </w:rPr>
        <w:t>产业数字化转型先行区。</w:t>
      </w:r>
      <w:r>
        <w:rPr>
          <w:rStyle w:val="11"/>
          <w:rFonts w:hint="eastAsia" w:ascii="仿宋_GB2312" w:hAnsi="仿宋_GB2312" w:eastAsia="仿宋_GB2312" w:cs="仿宋_GB2312"/>
          <w:b w:val="0"/>
          <w:bCs/>
          <w:sz w:val="32"/>
          <w:szCs w:val="32"/>
          <w:highlight w:val="none"/>
        </w:rPr>
        <w:t>通过先行区建设</w:t>
      </w:r>
      <w:r>
        <w:rPr>
          <w:rStyle w:val="11"/>
          <w:rFonts w:hint="eastAsia" w:ascii="仿宋_GB2312" w:hAnsi="仿宋_GB2312" w:eastAsia="仿宋_GB2312" w:cs="仿宋_GB2312"/>
          <w:b w:val="0"/>
          <w:bCs/>
          <w:sz w:val="32"/>
          <w:szCs w:val="32"/>
          <w:highlight w:val="none"/>
          <w:lang w:val="en-US" w:eastAsia="zh-CN"/>
        </w:rPr>
        <w:t>健全产业集群</w:t>
      </w:r>
      <w:r>
        <w:rPr>
          <w:rStyle w:val="11"/>
          <w:rFonts w:hint="eastAsia" w:ascii="仿宋_GB2312" w:hAnsi="仿宋_GB2312" w:eastAsia="仿宋_GB2312" w:cs="仿宋_GB2312"/>
          <w:b w:val="0"/>
          <w:bCs/>
          <w:sz w:val="32"/>
          <w:szCs w:val="32"/>
          <w:highlight w:val="none"/>
        </w:rPr>
        <w:t>公共服务体系</w:t>
      </w:r>
      <w:r>
        <w:rPr>
          <w:rStyle w:val="11"/>
          <w:rFonts w:hint="eastAsia" w:ascii="仿宋_GB2312" w:hAnsi="仿宋_GB2312" w:eastAsia="仿宋_GB2312" w:cs="仿宋_GB2312"/>
          <w:b w:val="0"/>
          <w:bCs/>
          <w:sz w:val="32"/>
          <w:szCs w:val="32"/>
          <w:highlight w:val="none"/>
          <w:lang w:eastAsia="zh-CN"/>
        </w:rPr>
        <w:t>，</w:t>
      </w:r>
      <w:r>
        <w:rPr>
          <w:rStyle w:val="11"/>
          <w:rFonts w:hint="eastAsia" w:ascii="仿宋_GB2312" w:hAnsi="仿宋_GB2312" w:eastAsia="仿宋_GB2312" w:cs="仿宋_GB2312"/>
          <w:b w:val="0"/>
          <w:bCs/>
          <w:sz w:val="32"/>
          <w:szCs w:val="32"/>
          <w:highlight w:val="none"/>
          <w:lang w:val="en-US" w:eastAsia="zh-CN"/>
        </w:rPr>
        <w:t>完善</w:t>
      </w:r>
      <w:r>
        <w:rPr>
          <w:rStyle w:val="11"/>
          <w:rFonts w:hint="eastAsia" w:ascii="仿宋_GB2312" w:hAnsi="仿宋_GB2312" w:eastAsia="仿宋_GB2312" w:cs="仿宋_GB2312"/>
          <w:b w:val="0"/>
          <w:bCs/>
          <w:sz w:val="32"/>
          <w:szCs w:val="32"/>
          <w:highlight w:val="none"/>
        </w:rPr>
        <w:t>工业互联网生态</w:t>
      </w:r>
      <w:r>
        <w:rPr>
          <w:rStyle w:val="11"/>
          <w:rFonts w:hint="eastAsia" w:ascii="仿宋_GB2312" w:hAnsi="仿宋_GB2312" w:eastAsia="仿宋_GB2312" w:cs="仿宋_GB2312"/>
          <w:b w:val="0"/>
          <w:bCs/>
          <w:sz w:val="32"/>
          <w:szCs w:val="32"/>
          <w:highlight w:val="none"/>
          <w:lang w:eastAsia="zh-CN"/>
        </w:rPr>
        <w:t>，</w:t>
      </w:r>
      <w:r>
        <w:rPr>
          <w:rStyle w:val="11"/>
          <w:rFonts w:hint="eastAsia" w:ascii="仿宋_GB2312" w:hAnsi="仿宋_GB2312" w:eastAsia="仿宋_GB2312" w:cs="仿宋_GB2312"/>
          <w:b w:val="0"/>
          <w:bCs/>
          <w:sz w:val="32"/>
          <w:szCs w:val="32"/>
          <w:highlight w:val="none"/>
        </w:rPr>
        <w:t>提升数</w:t>
      </w:r>
      <w:r>
        <w:rPr>
          <w:rStyle w:val="11"/>
          <w:rFonts w:hint="eastAsia" w:ascii="仿宋_GB2312" w:hAnsi="仿宋_GB2312" w:eastAsia="仿宋_GB2312" w:cs="仿宋_GB2312"/>
          <w:b w:val="0"/>
          <w:bCs/>
          <w:sz w:val="32"/>
          <w:szCs w:val="32"/>
          <w:highlight w:val="none"/>
          <w:lang w:val="en-US" w:eastAsia="zh-CN"/>
        </w:rPr>
        <w:t>字</w:t>
      </w:r>
      <w:r>
        <w:rPr>
          <w:rStyle w:val="11"/>
          <w:rFonts w:hint="eastAsia" w:ascii="仿宋_GB2312" w:hAnsi="仿宋_GB2312" w:eastAsia="仿宋_GB2312" w:cs="仿宋_GB2312"/>
          <w:b w:val="0"/>
          <w:bCs/>
          <w:sz w:val="32"/>
          <w:szCs w:val="32"/>
          <w:highlight w:val="none"/>
        </w:rPr>
        <w:t>化服务供给能力，</w:t>
      </w:r>
      <w:r>
        <w:rPr>
          <w:rFonts w:hint="eastAsia" w:ascii="仿宋_GB2312" w:hAnsi="仿宋_GB2312" w:eastAsia="仿宋_GB2312" w:cs="仿宋_GB2312"/>
          <w:sz w:val="32"/>
          <w:szCs w:val="32"/>
          <w:highlight w:val="none"/>
        </w:rPr>
        <w:t>推动集群内企业数</w:t>
      </w:r>
      <w:r>
        <w:rPr>
          <w:rFonts w:hint="eastAsia" w:ascii="仿宋_GB2312" w:hAnsi="仿宋_GB2312" w:eastAsia="仿宋_GB2312" w:cs="仿宋_GB2312"/>
          <w:sz w:val="32"/>
          <w:szCs w:val="32"/>
          <w:highlight w:val="none"/>
          <w:lang w:val="en-US" w:eastAsia="zh-CN"/>
        </w:rPr>
        <w:t>字</w:t>
      </w:r>
      <w:r>
        <w:rPr>
          <w:rFonts w:hint="eastAsia" w:ascii="仿宋_GB2312" w:hAnsi="仿宋_GB2312" w:eastAsia="仿宋_GB2312" w:cs="仿宋_GB2312"/>
          <w:sz w:val="32"/>
          <w:szCs w:val="32"/>
          <w:highlight w:val="none"/>
        </w:rPr>
        <w:t>化转型规模与深度协同提升</w:t>
      </w:r>
      <w:r>
        <w:rPr>
          <w:rStyle w:val="11"/>
          <w:rFonts w:hint="eastAsia" w:ascii="仿宋_GB2312" w:hAnsi="仿宋_GB2312" w:eastAsia="仿宋_GB2312" w:cs="仿宋_GB2312"/>
          <w:b w:val="0"/>
          <w:bCs/>
          <w:sz w:val="32"/>
          <w:szCs w:val="32"/>
          <w:highlight w:val="none"/>
        </w:rPr>
        <w:t>，</w:t>
      </w:r>
      <w:r>
        <w:rPr>
          <w:rStyle w:val="11"/>
          <w:rFonts w:hint="eastAsia" w:ascii="仿宋_GB2312" w:hAnsi="仿宋_GB2312" w:eastAsia="仿宋_GB2312" w:cs="仿宋_GB2312"/>
          <w:b w:val="0"/>
          <w:bCs/>
          <w:sz w:val="32"/>
          <w:szCs w:val="32"/>
          <w:highlight w:val="none"/>
          <w:lang w:val="en-US" w:eastAsia="zh-CN"/>
        </w:rPr>
        <w:t>全面提高</w:t>
      </w:r>
      <w:r>
        <w:rPr>
          <w:rStyle w:val="11"/>
          <w:rFonts w:hint="eastAsia" w:ascii="仿宋_GB2312" w:hAnsi="仿宋_GB2312" w:eastAsia="仿宋_GB2312" w:cs="仿宋_GB2312"/>
          <w:b w:val="0"/>
          <w:bCs/>
          <w:sz w:val="32"/>
          <w:szCs w:val="32"/>
          <w:highlight w:val="none"/>
        </w:rPr>
        <w:t>产业智能化、绿色化、融合化水平。</w:t>
      </w:r>
    </w:p>
    <w:p w14:paraId="2D86E111">
      <w:pPr>
        <w:pStyle w:val="8"/>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firstLine="643" w:firstLineChars="200"/>
        <w:textAlignment w:val="auto"/>
        <w:rPr>
          <w:rFonts w:hint="eastAsia" w:ascii="仿宋_GB2312" w:hAnsi="仿宋_GB2312" w:eastAsia="仿宋_GB2312" w:cs="仿宋_GB2312"/>
          <w:b w:val="0"/>
          <w:bCs/>
          <w:sz w:val="32"/>
          <w:szCs w:val="32"/>
          <w:highlight w:val="none"/>
          <w:lang w:eastAsia="zh-CN"/>
        </w:rPr>
      </w:pPr>
      <w:r>
        <w:rPr>
          <w:rStyle w:val="11"/>
          <w:rFonts w:hint="eastAsia" w:ascii="仿宋_GB2312" w:hAnsi="仿宋_GB2312" w:eastAsia="仿宋_GB2312" w:cs="仿宋_GB2312"/>
          <w:sz w:val="32"/>
          <w:szCs w:val="32"/>
          <w:highlight w:val="none"/>
        </w:rPr>
        <w:t>2.</w:t>
      </w:r>
      <w:r>
        <w:rPr>
          <w:rStyle w:val="11"/>
          <w:rFonts w:hint="eastAsia" w:ascii="仿宋_GB2312" w:hAnsi="仿宋_GB2312" w:eastAsia="仿宋_GB2312" w:cs="仿宋_GB2312"/>
          <w:sz w:val="32"/>
          <w:szCs w:val="32"/>
          <w:highlight w:val="none"/>
          <w:lang w:val="en-US" w:eastAsia="zh-CN"/>
        </w:rPr>
        <w:t>提升</w:t>
      </w:r>
      <w:r>
        <w:rPr>
          <w:rStyle w:val="11"/>
          <w:rFonts w:hint="eastAsia" w:ascii="仿宋_GB2312" w:hAnsi="仿宋_GB2312" w:eastAsia="仿宋_GB2312" w:cs="仿宋_GB2312"/>
          <w:sz w:val="32"/>
          <w:szCs w:val="32"/>
          <w:highlight w:val="none"/>
        </w:rPr>
        <w:t>集群数</w:t>
      </w:r>
      <w:r>
        <w:rPr>
          <w:rStyle w:val="11"/>
          <w:rFonts w:hint="eastAsia" w:ascii="仿宋_GB2312" w:hAnsi="仿宋_GB2312" w:eastAsia="仿宋_GB2312" w:cs="仿宋_GB2312"/>
          <w:sz w:val="32"/>
          <w:szCs w:val="32"/>
          <w:highlight w:val="none"/>
          <w:lang w:val="en-US" w:eastAsia="zh-CN"/>
        </w:rPr>
        <w:t>字</w:t>
      </w:r>
      <w:r>
        <w:rPr>
          <w:rStyle w:val="11"/>
          <w:rFonts w:hint="eastAsia" w:ascii="仿宋_GB2312" w:hAnsi="仿宋_GB2312" w:eastAsia="仿宋_GB2312" w:cs="仿宋_GB2312"/>
          <w:sz w:val="32"/>
          <w:szCs w:val="32"/>
          <w:highlight w:val="none"/>
        </w:rPr>
        <w:t>化</w:t>
      </w:r>
      <w:r>
        <w:rPr>
          <w:rStyle w:val="11"/>
          <w:rFonts w:hint="eastAsia" w:ascii="仿宋_GB2312" w:hAnsi="仿宋_GB2312" w:eastAsia="仿宋_GB2312" w:cs="仿宋_GB2312"/>
          <w:sz w:val="32"/>
          <w:szCs w:val="32"/>
          <w:highlight w:val="none"/>
          <w:lang w:val="en-US" w:eastAsia="zh-CN"/>
        </w:rPr>
        <w:t>能力</w:t>
      </w:r>
      <w:r>
        <w:rPr>
          <w:rStyle w:val="11"/>
          <w:rFonts w:hint="eastAsia" w:ascii="仿宋_GB2312" w:hAnsi="仿宋_GB2312" w:eastAsia="仿宋_GB2312" w:cs="仿宋_GB2312"/>
          <w:sz w:val="32"/>
          <w:szCs w:val="32"/>
          <w:highlight w:val="none"/>
        </w:rPr>
        <w:t>。</w:t>
      </w:r>
      <w:r>
        <w:rPr>
          <w:rStyle w:val="11"/>
          <w:rFonts w:hint="eastAsia" w:ascii="仿宋_GB2312" w:hAnsi="仿宋_GB2312" w:eastAsia="仿宋_GB2312" w:cs="仿宋_GB2312"/>
          <w:b w:val="0"/>
          <w:bCs/>
          <w:sz w:val="32"/>
          <w:szCs w:val="32"/>
          <w:highlight w:val="none"/>
          <w:lang w:eastAsia="zh-CN"/>
        </w:rPr>
        <w:t>推动</w:t>
      </w:r>
      <w:r>
        <w:rPr>
          <w:rStyle w:val="11"/>
          <w:rFonts w:hint="eastAsia" w:ascii="仿宋_GB2312" w:hAnsi="仿宋_GB2312" w:eastAsia="仿宋_GB2312" w:cs="仿宋_GB2312"/>
          <w:b w:val="0"/>
          <w:bCs/>
          <w:sz w:val="32"/>
          <w:szCs w:val="32"/>
          <w:highlight w:val="none"/>
        </w:rPr>
        <w:t>园区</w:t>
      </w:r>
      <w:r>
        <w:rPr>
          <w:rStyle w:val="11"/>
          <w:rFonts w:hint="eastAsia" w:ascii="仿宋_GB2312" w:hAnsi="仿宋_GB2312" w:eastAsia="仿宋_GB2312" w:cs="仿宋_GB2312"/>
          <w:b w:val="0"/>
          <w:bCs/>
          <w:sz w:val="32"/>
          <w:szCs w:val="32"/>
          <w:highlight w:val="none"/>
          <w:lang w:eastAsia="zh-CN"/>
        </w:rPr>
        <w:t>加快</w:t>
      </w:r>
      <w:r>
        <w:rPr>
          <w:rStyle w:val="11"/>
          <w:rFonts w:hint="eastAsia" w:ascii="仿宋_GB2312" w:hAnsi="仿宋_GB2312" w:eastAsia="仿宋_GB2312" w:cs="仿宋_GB2312"/>
          <w:b w:val="0"/>
          <w:bCs/>
          <w:sz w:val="32"/>
          <w:szCs w:val="32"/>
          <w:highlight w:val="none"/>
        </w:rPr>
        <w:t>部署应用5G、工业互联网等新型基础设施，</w:t>
      </w:r>
      <w:r>
        <w:rPr>
          <w:rStyle w:val="11"/>
          <w:rFonts w:hint="eastAsia" w:ascii="仿宋_GB2312" w:hAnsi="仿宋_GB2312" w:eastAsia="仿宋_GB2312" w:cs="仿宋_GB2312"/>
          <w:b w:val="0"/>
          <w:bCs/>
          <w:sz w:val="32"/>
          <w:szCs w:val="32"/>
          <w:highlight w:val="none"/>
          <w:lang w:eastAsia="zh-CN"/>
        </w:rPr>
        <w:t>加强</w:t>
      </w:r>
      <w:r>
        <w:rPr>
          <w:rStyle w:val="11"/>
          <w:rFonts w:hint="eastAsia" w:ascii="仿宋_GB2312" w:hAnsi="仿宋_GB2312" w:eastAsia="仿宋_GB2312" w:cs="仿宋_GB2312"/>
          <w:b w:val="0"/>
          <w:bCs/>
          <w:sz w:val="32"/>
          <w:szCs w:val="32"/>
          <w:highlight w:val="none"/>
        </w:rPr>
        <w:t>数据采集、治理和开发利用</w:t>
      </w:r>
      <w:r>
        <w:rPr>
          <w:rStyle w:val="11"/>
          <w:rFonts w:hint="eastAsia" w:ascii="仿宋_GB2312" w:hAnsi="仿宋_GB2312" w:eastAsia="仿宋_GB2312" w:cs="仿宋_GB2312"/>
          <w:b w:val="0"/>
          <w:bCs/>
          <w:sz w:val="32"/>
          <w:szCs w:val="32"/>
          <w:highlight w:val="none"/>
          <w:lang w:eastAsia="zh-CN"/>
        </w:rPr>
        <w:t>能力</w:t>
      </w:r>
      <w:r>
        <w:rPr>
          <w:rStyle w:val="11"/>
          <w:rFonts w:hint="eastAsia" w:ascii="仿宋_GB2312" w:hAnsi="仿宋_GB2312" w:eastAsia="仿宋_GB2312" w:cs="仿宋_GB2312"/>
          <w:b w:val="0"/>
          <w:bCs/>
          <w:sz w:val="32"/>
          <w:szCs w:val="32"/>
          <w:highlight w:val="none"/>
        </w:rPr>
        <w:t>，</w:t>
      </w:r>
      <w:r>
        <w:rPr>
          <w:rFonts w:hint="eastAsia" w:ascii="仿宋_GB2312" w:hAnsi="仿宋_GB2312" w:eastAsia="仿宋_GB2312" w:cs="仿宋_GB2312"/>
          <w:sz w:val="32"/>
          <w:szCs w:val="32"/>
          <w:highlight w:val="none"/>
        </w:rPr>
        <w:t>推进服务数字化、管理数字化，</w:t>
      </w:r>
      <w:r>
        <w:rPr>
          <w:rFonts w:hint="eastAsia" w:ascii="仿宋_GB2312" w:hAnsi="仿宋_GB2312" w:eastAsia="仿宋_GB2312" w:cs="仿宋_GB2312"/>
          <w:sz w:val="32"/>
          <w:szCs w:val="32"/>
          <w:highlight w:val="none"/>
          <w:lang w:val="en-US" w:eastAsia="zh-CN"/>
        </w:rPr>
        <w:t>促进数字化绿色化协同发展，</w:t>
      </w:r>
      <w:r>
        <w:rPr>
          <w:rStyle w:val="11"/>
          <w:rFonts w:hint="eastAsia" w:ascii="仿宋_GB2312" w:hAnsi="仿宋_GB2312" w:eastAsia="仿宋_GB2312" w:cs="仿宋_GB2312"/>
          <w:b w:val="0"/>
          <w:bCs/>
          <w:sz w:val="32"/>
          <w:szCs w:val="32"/>
          <w:highlight w:val="none"/>
        </w:rPr>
        <w:t>增强集群实数融合支撑能力。支持鹰潭高新区、贵溪经开区等国家级开发区先行</w:t>
      </w:r>
      <w:r>
        <w:rPr>
          <w:rStyle w:val="11"/>
          <w:rFonts w:hint="eastAsia" w:ascii="仿宋_GB2312" w:hAnsi="仿宋_GB2312" w:eastAsia="仿宋_GB2312" w:cs="仿宋_GB2312"/>
          <w:b w:val="0"/>
          <w:bCs/>
          <w:sz w:val="32"/>
          <w:szCs w:val="32"/>
          <w:highlight w:val="none"/>
          <w:lang w:val="en-US" w:eastAsia="zh-CN"/>
        </w:rPr>
        <w:t>创建</w:t>
      </w:r>
      <w:r>
        <w:rPr>
          <w:rStyle w:val="11"/>
          <w:rFonts w:hint="eastAsia" w:ascii="仿宋_GB2312" w:hAnsi="仿宋_GB2312" w:eastAsia="仿宋_GB2312" w:cs="仿宋_GB2312"/>
          <w:b w:val="0"/>
          <w:bCs/>
          <w:sz w:val="32"/>
          <w:szCs w:val="32"/>
          <w:highlight w:val="none"/>
        </w:rPr>
        <w:t>高标准数字园区。</w:t>
      </w:r>
    </w:p>
    <w:p w14:paraId="3562C830">
      <w:pPr>
        <w:pStyle w:val="8"/>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firstLine="643" w:firstLineChars="200"/>
        <w:textAlignment w:val="auto"/>
        <w:rPr>
          <w:rFonts w:hint="eastAsia" w:ascii="仿宋_GB2312" w:hAnsi="仿宋_GB2312" w:eastAsia="仿宋_GB2312" w:cs="仿宋_GB2312"/>
          <w:sz w:val="32"/>
          <w:szCs w:val="32"/>
          <w:highlight w:val="none"/>
          <w:lang w:eastAsia="zh-CN"/>
        </w:rPr>
      </w:pPr>
      <w:r>
        <w:rPr>
          <w:rStyle w:val="11"/>
          <w:rFonts w:hint="eastAsia" w:ascii="仿宋_GB2312" w:hAnsi="仿宋_GB2312" w:eastAsia="仿宋_GB2312" w:cs="仿宋_GB2312"/>
          <w:sz w:val="32"/>
          <w:szCs w:val="32"/>
          <w:highlight w:val="none"/>
        </w:rPr>
        <w:t>3.探索集群协同创新机制。</w:t>
      </w:r>
      <w:r>
        <w:rPr>
          <w:rFonts w:hint="eastAsia" w:ascii="仿宋_GB2312" w:hAnsi="仿宋_GB2312" w:eastAsia="仿宋_GB2312" w:cs="仿宋_GB2312"/>
          <w:sz w:val="32"/>
          <w:szCs w:val="32"/>
          <w:highlight w:val="none"/>
        </w:rPr>
        <w:t>持续推进产业集群和中小企业数字化转型试点</w:t>
      </w:r>
      <w:r>
        <w:rPr>
          <w:rFonts w:hint="eastAsia" w:ascii="仿宋_GB2312" w:hAnsi="仿宋_GB2312" w:eastAsia="仿宋_GB2312" w:cs="仿宋_GB2312"/>
          <w:sz w:val="32"/>
          <w:szCs w:val="32"/>
          <w:highlight w:val="none"/>
          <w:lang w:val="en-US" w:eastAsia="zh-CN"/>
        </w:rPr>
        <w:t>建设</w:t>
      </w:r>
      <w:r>
        <w:rPr>
          <w:rFonts w:hint="eastAsia" w:ascii="仿宋_GB2312" w:hAnsi="仿宋_GB2312" w:eastAsia="仿宋_GB2312" w:cs="仿宋_GB2312"/>
          <w:sz w:val="32"/>
          <w:szCs w:val="32"/>
          <w:highlight w:val="none"/>
        </w:rPr>
        <w:t>，</w:t>
      </w:r>
      <w:r>
        <w:rPr>
          <w:rStyle w:val="11"/>
          <w:rFonts w:hint="eastAsia" w:ascii="仿宋_GB2312" w:hAnsi="仿宋_GB2312" w:eastAsia="仿宋_GB2312" w:cs="仿宋_GB2312"/>
          <w:b w:val="0"/>
          <w:bCs/>
          <w:sz w:val="32"/>
          <w:szCs w:val="32"/>
          <w:highlight w:val="none"/>
          <w:lang w:val="en-US" w:eastAsia="zh-CN"/>
        </w:rPr>
        <w:t>推动</w:t>
      </w:r>
      <w:r>
        <w:rPr>
          <w:rStyle w:val="11"/>
          <w:rFonts w:hint="eastAsia" w:ascii="仿宋_GB2312" w:hAnsi="仿宋_GB2312" w:eastAsia="仿宋_GB2312" w:cs="仿宋_GB2312"/>
          <w:b w:val="0"/>
          <w:bCs/>
          <w:sz w:val="32"/>
          <w:szCs w:val="32"/>
          <w:highlight w:val="none"/>
        </w:rPr>
        <w:t>“工业互联网平台+园区”</w:t>
      </w:r>
      <w:r>
        <w:rPr>
          <w:rStyle w:val="11"/>
          <w:rFonts w:hint="eastAsia" w:ascii="仿宋_GB2312" w:hAnsi="仿宋_GB2312" w:eastAsia="仿宋_GB2312" w:cs="仿宋_GB2312"/>
          <w:b w:val="0"/>
          <w:bCs/>
          <w:sz w:val="32"/>
          <w:szCs w:val="32"/>
          <w:highlight w:val="none"/>
          <w:lang w:val="en-US" w:eastAsia="zh-CN"/>
        </w:rPr>
        <w:t>融合</w:t>
      </w:r>
      <w:r>
        <w:rPr>
          <w:rStyle w:val="11"/>
          <w:rFonts w:hint="eastAsia" w:ascii="仿宋_GB2312" w:hAnsi="仿宋_GB2312" w:eastAsia="仿宋_GB2312" w:cs="仿宋_GB2312"/>
          <w:b w:val="0"/>
          <w:bCs/>
          <w:sz w:val="32"/>
          <w:szCs w:val="32"/>
          <w:highlight w:val="none"/>
        </w:rPr>
        <w:t>，鼓励发展集采集销、协同制造、共享仓储物流、众包众创等服务型制造新业态，提升数据共享、业务联动和智能决策水平，推动资源在线配置、产能柔性组织和产业链高效协同。</w:t>
      </w:r>
    </w:p>
    <w:p w14:paraId="45429A5A">
      <w:pPr>
        <w:pStyle w:val="5"/>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firstLine="643" w:firstLineChars="200"/>
        <w:textAlignment w:val="auto"/>
        <w:rPr>
          <w:rFonts w:hint="eastAsia" w:ascii="楷体_GB2312" w:hAnsi="楷体_GB2312" w:eastAsia="楷体_GB2312" w:cs="楷体_GB2312"/>
          <w:sz w:val="32"/>
          <w:szCs w:val="32"/>
          <w:highlight w:val="none"/>
        </w:rPr>
      </w:pPr>
      <w:r>
        <w:rPr>
          <w:rFonts w:hint="eastAsia" w:ascii="楷体_GB2312" w:hAnsi="楷体_GB2312" w:eastAsia="楷体_GB2312" w:cs="楷体_GB2312"/>
          <w:sz w:val="32"/>
          <w:szCs w:val="32"/>
          <w:highlight w:val="none"/>
        </w:rPr>
        <w:t>（四）实施人工智能赋能行动</w:t>
      </w:r>
    </w:p>
    <w:p w14:paraId="6F278CD2">
      <w:pPr>
        <w:pStyle w:val="8"/>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firstLine="643" w:firstLineChars="200"/>
        <w:textAlignment w:val="auto"/>
        <w:rPr>
          <w:rFonts w:hint="eastAsia" w:ascii="仿宋_GB2312" w:hAnsi="仿宋_GB2312" w:eastAsia="仿宋_GB2312" w:cs="仿宋_GB2312"/>
          <w:b w:val="0"/>
          <w:bCs/>
          <w:sz w:val="32"/>
          <w:szCs w:val="32"/>
          <w:highlight w:val="none"/>
        </w:rPr>
      </w:pPr>
      <w:r>
        <w:rPr>
          <w:rStyle w:val="11"/>
          <w:rFonts w:hint="eastAsia" w:ascii="仿宋_GB2312" w:hAnsi="仿宋_GB2312" w:eastAsia="仿宋_GB2312" w:cs="仿宋_GB2312"/>
          <w:sz w:val="32"/>
          <w:szCs w:val="32"/>
          <w:highlight w:val="none"/>
        </w:rPr>
        <w:t>1.推进人工智能场景化落地。</w:t>
      </w:r>
      <w:r>
        <w:rPr>
          <w:rStyle w:val="11"/>
          <w:rFonts w:hint="eastAsia" w:ascii="仿宋_GB2312" w:hAnsi="仿宋_GB2312" w:eastAsia="仿宋_GB2312" w:cs="仿宋_GB2312"/>
          <w:b w:val="0"/>
          <w:bCs/>
          <w:sz w:val="32"/>
          <w:szCs w:val="32"/>
          <w:highlight w:val="none"/>
        </w:rPr>
        <w:t>聚焦全市制造业重点领域，</w:t>
      </w:r>
      <w:r>
        <w:rPr>
          <w:rStyle w:val="11"/>
          <w:rFonts w:hint="eastAsia" w:ascii="仿宋_GB2312" w:hAnsi="仿宋_GB2312" w:eastAsia="仿宋_GB2312" w:cs="仿宋_GB2312"/>
          <w:b w:val="0"/>
          <w:bCs/>
          <w:sz w:val="32"/>
          <w:szCs w:val="32"/>
          <w:highlight w:val="none"/>
          <w:lang w:val="en-US" w:eastAsia="zh-CN"/>
        </w:rPr>
        <w:t>联合专业机构，面向重点行业开展智能化改造需求评估，形成重点行业“人工智能+制造”场景指引，打造</w:t>
      </w:r>
      <w:r>
        <w:rPr>
          <w:rStyle w:val="11"/>
          <w:rFonts w:hint="eastAsia" w:ascii="仿宋_GB2312" w:hAnsi="仿宋_GB2312" w:eastAsia="仿宋_GB2312" w:cs="仿宋_GB2312"/>
          <w:b w:val="0"/>
          <w:bCs/>
          <w:sz w:val="32"/>
          <w:szCs w:val="32"/>
          <w:highlight w:val="none"/>
        </w:rPr>
        <w:t>一批可落地、可复制的数智协同应用场景，深化人工智能解决方案在行业渗透与应用。通过试点示范</w:t>
      </w:r>
      <w:r>
        <w:rPr>
          <w:rStyle w:val="11"/>
          <w:rFonts w:hint="eastAsia" w:ascii="仿宋_GB2312" w:hAnsi="仿宋_GB2312" w:eastAsia="仿宋_GB2312" w:cs="仿宋_GB2312"/>
          <w:b w:val="0"/>
          <w:bCs/>
          <w:sz w:val="32"/>
          <w:szCs w:val="32"/>
          <w:highlight w:val="none"/>
          <w:lang w:eastAsia="zh-CN"/>
        </w:rPr>
        <w:t>、标杆</w:t>
      </w:r>
      <w:r>
        <w:rPr>
          <w:rStyle w:val="11"/>
          <w:rFonts w:hint="eastAsia" w:ascii="仿宋_GB2312" w:hAnsi="仿宋_GB2312" w:eastAsia="仿宋_GB2312" w:cs="仿宋_GB2312"/>
          <w:b w:val="0"/>
          <w:bCs/>
          <w:sz w:val="32"/>
          <w:szCs w:val="32"/>
          <w:highlight w:val="none"/>
          <w:lang w:val="en-US" w:eastAsia="zh-CN"/>
        </w:rPr>
        <w:t>引领等方式</w:t>
      </w:r>
      <w:r>
        <w:rPr>
          <w:rStyle w:val="11"/>
          <w:rFonts w:hint="eastAsia" w:ascii="仿宋_GB2312" w:hAnsi="仿宋_GB2312" w:eastAsia="仿宋_GB2312" w:cs="仿宋_GB2312"/>
          <w:b w:val="0"/>
          <w:bCs/>
          <w:sz w:val="32"/>
          <w:szCs w:val="32"/>
          <w:highlight w:val="none"/>
        </w:rPr>
        <w:t>，带动成熟场景向产业链上下游延伸。到2027年，累计培育8个以上技术先进、效果明显、具备复制推广价值的人工智能典型应用场景，促进全市制造业智能化水平提升。</w:t>
      </w:r>
    </w:p>
    <w:p w14:paraId="1B7B317E">
      <w:pPr>
        <w:pStyle w:val="8"/>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firstLine="643" w:firstLineChars="200"/>
        <w:textAlignment w:val="auto"/>
        <w:rPr>
          <w:rFonts w:hint="eastAsia" w:ascii="仿宋_GB2312" w:hAnsi="仿宋_GB2312" w:eastAsia="仿宋_GB2312" w:cs="仿宋_GB2312"/>
          <w:b w:val="0"/>
          <w:bCs/>
          <w:sz w:val="32"/>
          <w:szCs w:val="32"/>
          <w:highlight w:val="none"/>
        </w:rPr>
      </w:pPr>
      <w:r>
        <w:rPr>
          <w:rStyle w:val="11"/>
          <w:rFonts w:hint="eastAsia" w:ascii="仿宋_GB2312" w:hAnsi="仿宋_GB2312" w:eastAsia="仿宋_GB2312" w:cs="仿宋_GB2312"/>
          <w:sz w:val="32"/>
          <w:szCs w:val="32"/>
          <w:highlight w:val="none"/>
        </w:rPr>
        <w:t>2.提升工业数据开发利用水平。</w:t>
      </w:r>
      <w:r>
        <w:rPr>
          <w:rStyle w:val="11"/>
          <w:rFonts w:hint="eastAsia" w:ascii="仿宋_GB2312" w:hAnsi="仿宋_GB2312" w:eastAsia="仿宋_GB2312" w:cs="仿宋_GB2312"/>
          <w:b w:val="0"/>
          <w:bCs/>
          <w:sz w:val="32"/>
          <w:szCs w:val="32"/>
          <w:highlight w:val="none"/>
        </w:rPr>
        <w:t>鼓励企业围绕研发、生产、</w:t>
      </w:r>
      <w:r>
        <w:rPr>
          <w:rStyle w:val="11"/>
          <w:rFonts w:hint="eastAsia" w:ascii="仿宋_GB2312" w:hAnsi="仿宋_GB2312" w:eastAsia="仿宋_GB2312" w:cs="仿宋_GB2312"/>
          <w:b w:val="0"/>
          <w:bCs/>
          <w:sz w:val="32"/>
          <w:szCs w:val="32"/>
          <w:highlight w:val="none"/>
          <w:lang w:eastAsia="zh-CN"/>
        </w:rPr>
        <w:t>服务</w:t>
      </w:r>
      <w:r>
        <w:rPr>
          <w:rStyle w:val="11"/>
          <w:rFonts w:hint="eastAsia" w:ascii="仿宋_GB2312" w:hAnsi="仿宋_GB2312" w:eastAsia="仿宋_GB2312" w:cs="仿宋_GB2312"/>
          <w:b w:val="0"/>
          <w:bCs/>
          <w:sz w:val="32"/>
          <w:szCs w:val="32"/>
          <w:highlight w:val="none"/>
        </w:rPr>
        <w:t>、质量、经营等多维数据开展汇聚整合和深度治理，支持工业企业、平台企业、数据服务企业共建工业领域高质量数据集，培育数据采集汇聚、数据标注、数据应用等专业化服务能力。支持</w:t>
      </w:r>
      <w:r>
        <w:rPr>
          <w:rStyle w:val="11"/>
          <w:rFonts w:hint="eastAsia" w:ascii="仿宋_GB2312" w:hAnsi="仿宋_GB2312" w:eastAsia="仿宋_GB2312" w:cs="仿宋_GB2312"/>
          <w:b w:val="0"/>
          <w:bCs/>
          <w:sz w:val="32"/>
          <w:szCs w:val="32"/>
          <w:highlight w:val="none"/>
          <w:lang w:val="en-US" w:eastAsia="zh-CN"/>
        </w:rPr>
        <w:t>工业</w:t>
      </w:r>
      <w:r>
        <w:rPr>
          <w:rStyle w:val="11"/>
          <w:rFonts w:hint="eastAsia" w:ascii="仿宋_GB2312" w:hAnsi="仿宋_GB2312" w:eastAsia="仿宋_GB2312" w:cs="仿宋_GB2312"/>
          <w:b w:val="0"/>
          <w:bCs/>
          <w:sz w:val="32"/>
          <w:szCs w:val="32"/>
          <w:highlight w:val="none"/>
        </w:rPr>
        <w:t>企业牵头打造安全可信的工业模数空间，形成兼具行业通用价值和场景适配能力的</w:t>
      </w:r>
      <w:r>
        <w:rPr>
          <w:rStyle w:val="11"/>
          <w:rFonts w:hint="eastAsia" w:ascii="仿宋_GB2312" w:hAnsi="仿宋_GB2312" w:eastAsia="仿宋_GB2312" w:cs="仿宋_GB2312"/>
          <w:b w:val="0"/>
          <w:bCs/>
          <w:sz w:val="32"/>
          <w:szCs w:val="32"/>
          <w:highlight w:val="none"/>
          <w:lang w:val="en-US" w:eastAsia="zh-CN"/>
        </w:rPr>
        <w:t>高质量数据集</w:t>
      </w:r>
      <w:r>
        <w:rPr>
          <w:rStyle w:val="11"/>
          <w:rFonts w:hint="eastAsia" w:ascii="仿宋_GB2312" w:hAnsi="仿宋_GB2312" w:eastAsia="仿宋_GB2312" w:cs="仿宋_GB2312"/>
          <w:b w:val="0"/>
          <w:bCs/>
          <w:sz w:val="32"/>
          <w:szCs w:val="32"/>
          <w:highlight w:val="none"/>
        </w:rPr>
        <w:t>。</w:t>
      </w:r>
    </w:p>
    <w:p w14:paraId="613B6907">
      <w:pPr>
        <w:pStyle w:val="8"/>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firstLine="643" w:firstLineChars="200"/>
        <w:textAlignment w:val="auto"/>
        <w:rPr>
          <w:rFonts w:hint="eastAsia" w:ascii="仿宋_GB2312" w:hAnsi="仿宋_GB2312" w:eastAsia="仿宋_GB2312" w:cs="仿宋_GB2312"/>
          <w:b w:val="0"/>
          <w:bCs/>
          <w:sz w:val="32"/>
          <w:szCs w:val="32"/>
          <w:highlight w:val="none"/>
        </w:rPr>
      </w:pPr>
      <w:r>
        <w:rPr>
          <w:rStyle w:val="11"/>
          <w:rFonts w:hint="eastAsia" w:ascii="仿宋_GB2312" w:hAnsi="仿宋_GB2312" w:eastAsia="仿宋_GB2312" w:cs="仿宋_GB2312"/>
          <w:sz w:val="32"/>
          <w:szCs w:val="32"/>
          <w:highlight w:val="none"/>
        </w:rPr>
        <w:t>3.壮大工业人工智能生态。</w:t>
      </w:r>
      <w:r>
        <w:rPr>
          <w:rStyle w:val="11"/>
          <w:rFonts w:hint="eastAsia" w:ascii="仿宋_GB2312" w:hAnsi="仿宋_GB2312" w:eastAsia="仿宋_GB2312" w:cs="仿宋_GB2312"/>
          <w:b w:val="0"/>
          <w:bCs/>
          <w:sz w:val="32"/>
          <w:szCs w:val="32"/>
          <w:highlight w:val="none"/>
        </w:rPr>
        <w:t>支持制造业企业与人工智能企业结合行业特征，围绕管理辅助、生产辅助、工艺优化等方向研发工业模型，</w:t>
      </w:r>
      <w:r>
        <w:rPr>
          <w:rStyle w:val="11"/>
          <w:rFonts w:hint="eastAsia" w:ascii="仿宋_GB2312" w:hAnsi="仿宋_GB2312" w:eastAsia="仿宋_GB2312" w:cs="仿宋_GB2312"/>
          <w:b w:val="0"/>
          <w:bCs/>
          <w:sz w:val="32"/>
          <w:szCs w:val="32"/>
          <w:highlight w:val="none"/>
          <w:lang w:val="en-US" w:eastAsia="zh-CN"/>
        </w:rPr>
        <w:t>打造</w:t>
      </w:r>
      <w:r>
        <w:rPr>
          <w:rStyle w:val="11"/>
          <w:rFonts w:hint="eastAsia" w:ascii="仿宋_GB2312" w:hAnsi="仿宋_GB2312" w:eastAsia="仿宋_GB2312" w:cs="仿宋_GB2312"/>
          <w:b w:val="0"/>
          <w:bCs/>
          <w:sz w:val="32"/>
          <w:szCs w:val="32"/>
          <w:highlight w:val="none"/>
        </w:rPr>
        <w:t>“大模型+</w:t>
      </w:r>
      <w:r>
        <w:rPr>
          <w:rStyle w:val="11"/>
          <w:rFonts w:hint="eastAsia" w:ascii="仿宋_GB2312" w:hAnsi="仿宋_GB2312" w:eastAsia="仿宋_GB2312" w:cs="仿宋_GB2312"/>
          <w:b w:val="0"/>
          <w:bCs/>
          <w:sz w:val="32"/>
          <w:szCs w:val="32"/>
          <w:highlight w:val="none"/>
          <w:lang w:val="en-US" w:eastAsia="zh-CN"/>
        </w:rPr>
        <w:t>智能化</w:t>
      </w:r>
      <w:r>
        <w:rPr>
          <w:rStyle w:val="11"/>
          <w:rFonts w:hint="eastAsia" w:ascii="仿宋_GB2312" w:hAnsi="仿宋_GB2312" w:eastAsia="仿宋_GB2312" w:cs="仿宋_GB2312"/>
          <w:b w:val="0"/>
          <w:bCs/>
          <w:sz w:val="32"/>
          <w:szCs w:val="32"/>
          <w:highlight w:val="none"/>
        </w:rPr>
        <w:t>软件”融合应用。面向业务管理、计划排产等重点场景开发多层次工业智能体。鼓励人工智能技术</w:t>
      </w:r>
      <w:r>
        <w:rPr>
          <w:rStyle w:val="11"/>
          <w:rFonts w:hint="eastAsia" w:ascii="仿宋_GB2312" w:hAnsi="仿宋_GB2312" w:eastAsia="仿宋_GB2312" w:cs="仿宋_GB2312"/>
          <w:b w:val="0"/>
          <w:bCs/>
          <w:sz w:val="32"/>
          <w:szCs w:val="32"/>
          <w:highlight w:val="none"/>
          <w:lang w:eastAsia="zh-CN"/>
        </w:rPr>
        <w:t>在</w:t>
      </w:r>
      <w:r>
        <w:rPr>
          <w:rStyle w:val="11"/>
          <w:rFonts w:hint="eastAsia" w:ascii="仿宋_GB2312" w:hAnsi="仿宋_GB2312" w:eastAsia="仿宋_GB2312" w:cs="仿宋_GB2312"/>
          <w:b w:val="0"/>
          <w:bCs/>
          <w:sz w:val="32"/>
          <w:szCs w:val="32"/>
          <w:highlight w:val="none"/>
        </w:rPr>
        <w:t>生产核心环节深度嵌入，在基础支撑、智能产品、智能装备等方面形成一批关键技术和产品，推动</w:t>
      </w:r>
      <w:r>
        <w:rPr>
          <w:rStyle w:val="11"/>
          <w:rFonts w:hint="eastAsia" w:ascii="仿宋_GB2312" w:hAnsi="仿宋_GB2312" w:eastAsia="仿宋_GB2312" w:cs="仿宋_GB2312"/>
          <w:b w:val="0"/>
          <w:bCs/>
          <w:sz w:val="32"/>
          <w:szCs w:val="32"/>
          <w:highlight w:val="none"/>
          <w:lang w:eastAsia="zh-CN"/>
        </w:rPr>
        <w:t>“</w:t>
      </w:r>
      <w:r>
        <w:rPr>
          <w:rStyle w:val="11"/>
          <w:rFonts w:hint="eastAsia" w:ascii="仿宋_GB2312" w:hAnsi="仿宋_GB2312" w:eastAsia="仿宋_GB2312" w:cs="仿宋_GB2312"/>
          <w:b w:val="0"/>
          <w:bCs/>
          <w:sz w:val="32"/>
          <w:szCs w:val="32"/>
          <w:highlight w:val="none"/>
        </w:rPr>
        <w:t>AI+软件技术改造</w:t>
      </w:r>
      <w:r>
        <w:rPr>
          <w:rStyle w:val="11"/>
          <w:rFonts w:hint="eastAsia" w:ascii="仿宋_GB2312" w:hAnsi="仿宋_GB2312" w:eastAsia="仿宋_GB2312" w:cs="仿宋_GB2312"/>
          <w:b w:val="0"/>
          <w:bCs/>
          <w:sz w:val="32"/>
          <w:szCs w:val="32"/>
          <w:highlight w:val="none"/>
          <w:lang w:eastAsia="zh-CN"/>
        </w:rPr>
        <w:t>”</w:t>
      </w:r>
      <w:r>
        <w:rPr>
          <w:rStyle w:val="11"/>
          <w:rFonts w:hint="eastAsia" w:ascii="仿宋_GB2312" w:hAnsi="仿宋_GB2312" w:eastAsia="仿宋_GB2312" w:cs="仿宋_GB2312"/>
          <w:b w:val="0"/>
          <w:bCs/>
          <w:sz w:val="32"/>
          <w:szCs w:val="32"/>
          <w:highlight w:val="none"/>
        </w:rPr>
        <w:t>提升企业生产效率</w:t>
      </w:r>
      <w:r>
        <w:rPr>
          <w:rStyle w:val="11"/>
          <w:rFonts w:hint="eastAsia" w:ascii="仿宋_GB2312" w:hAnsi="仿宋_GB2312" w:eastAsia="仿宋_GB2312" w:cs="仿宋_GB2312"/>
          <w:b w:val="0"/>
          <w:bCs/>
          <w:sz w:val="32"/>
          <w:szCs w:val="32"/>
          <w:highlight w:val="none"/>
          <w:lang w:eastAsia="zh-CN"/>
        </w:rPr>
        <w:t>。</w:t>
      </w:r>
      <w:r>
        <w:rPr>
          <w:rStyle w:val="11"/>
          <w:rFonts w:hint="eastAsia" w:ascii="仿宋_GB2312" w:hAnsi="仿宋_GB2312" w:eastAsia="仿宋_GB2312" w:cs="仿宋_GB2312"/>
          <w:bCs/>
          <w:sz w:val="32"/>
          <w:szCs w:val="32"/>
          <w:highlight w:val="none"/>
        </w:rPr>
        <w:t>鼓励企业与服务机构开展研究合作</w:t>
      </w:r>
      <w:r>
        <w:rPr>
          <w:rStyle w:val="11"/>
          <w:rFonts w:hint="eastAsia" w:ascii="仿宋_GB2312" w:hAnsi="仿宋_GB2312" w:eastAsia="仿宋_GB2312" w:cs="仿宋_GB2312"/>
          <w:b w:val="0"/>
          <w:bCs/>
          <w:sz w:val="32"/>
          <w:szCs w:val="32"/>
          <w:highlight w:val="none"/>
        </w:rPr>
        <w:t>，加速场景培育和落地。积极争创省级人工智能创新应用先导区。</w:t>
      </w:r>
    </w:p>
    <w:p w14:paraId="76F1253D">
      <w:pPr>
        <w:pStyle w:val="5"/>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firstLine="643" w:firstLineChars="200"/>
        <w:textAlignment w:val="auto"/>
        <w:rPr>
          <w:rFonts w:hint="eastAsia" w:ascii="楷体_GB2312" w:hAnsi="楷体_GB2312" w:eastAsia="楷体_GB2312" w:cs="楷体_GB2312"/>
          <w:sz w:val="32"/>
          <w:szCs w:val="32"/>
          <w:highlight w:val="none"/>
        </w:rPr>
      </w:pPr>
      <w:r>
        <w:rPr>
          <w:rFonts w:hint="eastAsia" w:ascii="楷体_GB2312" w:hAnsi="楷体_GB2312" w:eastAsia="楷体_GB2312" w:cs="楷体_GB2312"/>
          <w:sz w:val="32"/>
          <w:szCs w:val="32"/>
          <w:highlight w:val="none"/>
        </w:rPr>
        <w:t>（五）实施服务拓展培优行动</w:t>
      </w:r>
    </w:p>
    <w:p w14:paraId="4C44A69C">
      <w:pPr>
        <w:pStyle w:val="8"/>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firstLine="643" w:firstLineChars="200"/>
        <w:textAlignment w:val="auto"/>
        <w:rPr>
          <w:rFonts w:hint="eastAsia" w:ascii="仿宋_GB2312" w:hAnsi="仿宋_GB2312" w:eastAsia="仿宋_GB2312" w:cs="仿宋_GB2312"/>
          <w:sz w:val="32"/>
          <w:szCs w:val="32"/>
          <w:highlight w:val="none"/>
        </w:rPr>
      </w:pPr>
      <w:r>
        <w:rPr>
          <w:rStyle w:val="11"/>
          <w:rFonts w:hint="eastAsia" w:ascii="仿宋_GB2312" w:hAnsi="仿宋_GB2312" w:eastAsia="仿宋_GB2312" w:cs="仿宋_GB2312"/>
          <w:sz w:val="32"/>
          <w:szCs w:val="32"/>
          <w:highlight w:val="none"/>
        </w:rPr>
        <w:t>1.</w:t>
      </w:r>
      <w:r>
        <w:rPr>
          <w:rStyle w:val="11"/>
          <w:rFonts w:hint="eastAsia" w:ascii="仿宋_GB2312" w:hAnsi="仿宋_GB2312" w:eastAsia="仿宋_GB2312" w:cs="仿宋_GB2312"/>
          <w:sz w:val="32"/>
          <w:szCs w:val="32"/>
          <w:highlight w:val="none"/>
          <w:lang w:val="en-US" w:eastAsia="zh-CN"/>
        </w:rPr>
        <w:t>强化</w:t>
      </w:r>
      <w:r>
        <w:rPr>
          <w:rStyle w:val="11"/>
          <w:rFonts w:hint="eastAsia" w:ascii="仿宋_GB2312" w:hAnsi="仿宋_GB2312" w:eastAsia="仿宋_GB2312" w:cs="仿宋_GB2312"/>
          <w:sz w:val="32"/>
          <w:szCs w:val="32"/>
          <w:highlight w:val="none"/>
        </w:rPr>
        <w:t>专业化服务供给。</w:t>
      </w:r>
      <w:r>
        <w:rPr>
          <w:rStyle w:val="11"/>
          <w:rFonts w:hint="eastAsia" w:ascii="仿宋_GB2312" w:hAnsi="仿宋_GB2312" w:eastAsia="仿宋_GB2312" w:cs="仿宋_GB2312"/>
          <w:b w:val="0"/>
          <w:bCs/>
          <w:sz w:val="32"/>
          <w:szCs w:val="32"/>
          <w:highlight w:val="none"/>
        </w:rPr>
        <w:t>引进培育一批</w:t>
      </w:r>
      <w:r>
        <w:rPr>
          <w:rStyle w:val="11"/>
          <w:rFonts w:hint="eastAsia" w:ascii="仿宋_GB2312" w:hAnsi="仿宋_GB2312" w:eastAsia="仿宋_GB2312" w:cs="仿宋_GB2312"/>
          <w:b w:val="0"/>
          <w:bCs w:val="0"/>
          <w:sz w:val="32"/>
          <w:szCs w:val="32"/>
          <w:highlight w:val="none"/>
        </w:rPr>
        <w:t>具备行业理解、技术研发和落地实施能力</w:t>
      </w:r>
      <w:r>
        <w:rPr>
          <w:rStyle w:val="11"/>
          <w:rFonts w:hint="eastAsia" w:ascii="仿宋_GB2312" w:hAnsi="仿宋_GB2312" w:eastAsia="仿宋_GB2312" w:cs="仿宋_GB2312"/>
          <w:b w:val="0"/>
          <w:bCs/>
          <w:sz w:val="32"/>
          <w:szCs w:val="32"/>
          <w:highlight w:val="none"/>
        </w:rPr>
        <w:t>的数</w:t>
      </w:r>
      <w:r>
        <w:rPr>
          <w:rStyle w:val="11"/>
          <w:rFonts w:hint="eastAsia" w:ascii="仿宋_GB2312" w:hAnsi="仿宋_GB2312" w:eastAsia="仿宋_GB2312" w:cs="仿宋_GB2312"/>
          <w:b w:val="0"/>
          <w:bCs/>
          <w:sz w:val="32"/>
          <w:szCs w:val="32"/>
          <w:highlight w:val="none"/>
          <w:lang w:eastAsia="zh-CN"/>
        </w:rPr>
        <w:t>智</w:t>
      </w:r>
      <w:r>
        <w:rPr>
          <w:rStyle w:val="11"/>
          <w:rFonts w:hint="eastAsia" w:ascii="仿宋_GB2312" w:hAnsi="仿宋_GB2312" w:eastAsia="仿宋_GB2312" w:cs="仿宋_GB2312"/>
          <w:b w:val="0"/>
          <w:bCs/>
          <w:sz w:val="32"/>
          <w:szCs w:val="32"/>
          <w:highlight w:val="none"/>
        </w:rPr>
        <w:t>化服务商，</w:t>
      </w:r>
      <w:r>
        <w:rPr>
          <w:rStyle w:val="11"/>
          <w:rFonts w:hint="eastAsia" w:ascii="仿宋_GB2312" w:hAnsi="仿宋_GB2312" w:eastAsia="仿宋_GB2312" w:cs="仿宋_GB2312"/>
          <w:b w:val="0"/>
          <w:bCs/>
          <w:sz w:val="32"/>
          <w:szCs w:val="32"/>
          <w:highlight w:val="none"/>
          <w:lang w:val="en-US" w:eastAsia="zh-CN"/>
        </w:rPr>
        <w:t>依托</w:t>
      </w:r>
      <w:r>
        <w:rPr>
          <w:rStyle w:val="11"/>
          <w:rFonts w:hint="eastAsia" w:ascii="仿宋_GB2312" w:hAnsi="仿宋_GB2312" w:eastAsia="仿宋_GB2312" w:cs="仿宋_GB2312"/>
          <w:b w:val="0"/>
          <w:bCs/>
          <w:sz w:val="32"/>
          <w:szCs w:val="32"/>
          <w:highlight w:val="none"/>
        </w:rPr>
        <w:t>行业</w:t>
      </w:r>
      <w:r>
        <w:rPr>
          <w:rStyle w:val="11"/>
          <w:rFonts w:hint="eastAsia" w:ascii="仿宋_GB2312" w:hAnsi="仿宋_GB2312" w:eastAsia="仿宋_GB2312" w:cs="仿宋_GB2312"/>
          <w:b w:val="0"/>
          <w:bCs/>
          <w:sz w:val="32"/>
          <w:szCs w:val="32"/>
          <w:highlight w:val="none"/>
          <w:lang w:val="en-US" w:eastAsia="zh-CN"/>
        </w:rPr>
        <w:t>“一图四清单”</w:t>
      </w:r>
      <w:r>
        <w:rPr>
          <w:rStyle w:val="11"/>
          <w:rFonts w:hint="eastAsia" w:ascii="仿宋_GB2312" w:hAnsi="仿宋_GB2312" w:eastAsia="仿宋_GB2312" w:cs="仿宋_GB2312"/>
          <w:b w:val="0"/>
          <w:bCs/>
          <w:sz w:val="32"/>
          <w:szCs w:val="32"/>
          <w:highlight w:val="none"/>
        </w:rPr>
        <w:t>分类提升</w:t>
      </w:r>
      <w:r>
        <w:rPr>
          <w:rStyle w:val="11"/>
          <w:rFonts w:hint="eastAsia" w:ascii="仿宋_GB2312" w:hAnsi="仿宋_GB2312" w:eastAsia="仿宋_GB2312" w:cs="仿宋_GB2312"/>
          <w:b w:val="0"/>
          <w:bCs/>
          <w:sz w:val="32"/>
          <w:szCs w:val="32"/>
          <w:highlight w:val="none"/>
          <w:lang w:val="en-US" w:eastAsia="zh-CN"/>
        </w:rPr>
        <w:t>服务商供给</w:t>
      </w:r>
      <w:r>
        <w:rPr>
          <w:rStyle w:val="11"/>
          <w:rFonts w:hint="eastAsia" w:ascii="仿宋_GB2312" w:hAnsi="仿宋_GB2312" w:eastAsia="仿宋_GB2312" w:cs="仿宋_GB2312"/>
          <w:b w:val="0"/>
          <w:bCs/>
          <w:sz w:val="32"/>
          <w:szCs w:val="32"/>
          <w:highlight w:val="none"/>
        </w:rPr>
        <w:t>能力。建立服务商动态评估制度，定期遴选优秀服务商，引导服务商从“</w:t>
      </w:r>
      <w:r>
        <w:rPr>
          <w:rStyle w:val="11"/>
          <w:rFonts w:hint="eastAsia" w:ascii="仿宋_GB2312" w:hAnsi="仿宋_GB2312" w:eastAsia="仿宋_GB2312" w:cs="仿宋_GB2312"/>
          <w:b w:val="0"/>
          <w:bCs/>
          <w:sz w:val="32"/>
          <w:szCs w:val="32"/>
          <w:highlight w:val="none"/>
          <w:lang w:val="en-US" w:eastAsia="zh-CN"/>
        </w:rPr>
        <w:t>一次性</w:t>
      </w:r>
      <w:r>
        <w:rPr>
          <w:rStyle w:val="11"/>
          <w:rFonts w:hint="eastAsia" w:ascii="仿宋_GB2312" w:hAnsi="仿宋_GB2312" w:eastAsia="仿宋_GB2312" w:cs="仿宋_GB2312"/>
          <w:b w:val="0"/>
          <w:bCs/>
          <w:sz w:val="32"/>
          <w:szCs w:val="32"/>
          <w:highlight w:val="none"/>
        </w:rPr>
        <w:t>交付”向“长期运营服务”转变。鼓励服务商联合高校院所、制造企业开展技术攻关，提升解决方案的适配性与本地化供给能力。</w:t>
      </w:r>
    </w:p>
    <w:p w14:paraId="4CACF389">
      <w:pPr>
        <w:pStyle w:val="8"/>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firstLine="643" w:firstLineChars="200"/>
        <w:textAlignment w:val="auto"/>
        <w:rPr>
          <w:rFonts w:hint="eastAsia" w:ascii="仿宋_GB2312" w:hAnsi="仿宋_GB2312" w:eastAsia="仿宋_GB2312" w:cs="仿宋_GB2312"/>
          <w:b w:val="0"/>
          <w:bCs/>
          <w:sz w:val="32"/>
          <w:szCs w:val="32"/>
          <w:highlight w:val="none"/>
        </w:rPr>
      </w:pPr>
      <w:r>
        <w:rPr>
          <w:rStyle w:val="11"/>
          <w:rFonts w:hint="eastAsia" w:ascii="仿宋_GB2312" w:hAnsi="仿宋_GB2312" w:eastAsia="仿宋_GB2312" w:cs="仿宋_GB2312"/>
          <w:sz w:val="32"/>
          <w:szCs w:val="32"/>
          <w:highlight w:val="none"/>
        </w:rPr>
        <w:t>2.完善公共服务</w:t>
      </w:r>
      <w:r>
        <w:rPr>
          <w:rStyle w:val="11"/>
          <w:rFonts w:hint="eastAsia" w:ascii="仿宋_GB2312" w:hAnsi="仿宋_GB2312" w:eastAsia="仿宋_GB2312" w:cs="仿宋_GB2312"/>
          <w:sz w:val="32"/>
          <w:szCs w:val="32"/>
          <w:highlight w:val="none"/>
          <w:lang w:val="en-US" w:eastAsia="zh-CN"/>
        </w:rPr>
        <w:t>体系</w:t>
      </w:r>
      <w:r>
        <w:rPr>
          <w:rStyle w:val="11"/>
          <w:rFonts w:hint="eastAsia" w:ascii="仿宋_GB2312" w:hAnsi="仿宋_GB2312" w:eastAsia="仿宋_GB2312" w:cs="仿宋_GB2312"/>
          <w:sz w:val="32"/>
          <w:szCs w:val="32"/>
          <w:highlight w:val="none"/>
        </w:rPr>
        <w:t>。</w:t>
      </w:r>
      <w:r>
        <w:rPr>
          <w:rStyle w:val="11"/>
          <w:rFonts w:hint="eastAsia" w:ascii="仿宋_GB2312" w:hAnsi="仿宋_GB2312" w:eastAsia="仿宋_GB2312" w:cs="仿宋_GB2312"/>
          <w:b w:val="0"/>
          <w:bCs/>
          <w:sz w:val="32"/>
          <w:szCs w:val="32"/>
          <w:highlight w:val="none"/>
        </w:rPr>
        <w:t>整合优质服务资源，为企业数</w:t>
      </w:r>
      <w:r>
        <w:rPr>
          <w:rStyle w:val="11"/>
          <w:rFonts w:hint="eastAsia" w:ascii="仿宋_GB2312" w:hAnsi="仿宋_GB2312" w:eastAsia="仿宋_GB2312" w:cs="仿宋_GB2312"/>
          <w:b w:val="0"/>
          <w:bCs/>
          <w:sz w:val="32"/>
          <w:szCs w:val="32"/>
          <w:highlight w:val="none"/>
          <w:lang w:val="en-US" w:eastAsia="zh-CN"/>
        </w:rPr>
        <w:t>字</w:t>
      </w:r>
      <w:r>
        <w:rPr>
          <w:rStyle w:val="11"/>
          <w:rFonts w:hint="eastAsia" w:ascii="仿宋_GB2312" w:hAnsi="仿宋_GB2312" w:eastAsia="仿宋_GB2312" w:cs="仿宋_GB2312"/>
          <w:b w:val="0"/>
          <w:bCs/>
          <w:sz w:val="32"/>
          <w:szCs w:val="32"/>
          <w:highlight w:val="none"/>
        </w:rPr>
        <w:t>化转型提供本地化、标准化、工程化服务。强化“数字化转型促进中心、数字化诊所、数字专员”三级服务体系能力建设，提升诊断咨询、方案集成、人才培训、供需对接等综合服务能力。依托省级数字化转型促进中心，积极争取创建国家级数字化转型促进中心</w:t>
      </w:r>
      <w:r>
        <w:rPr>
          <w:rStyle w:val="11"/>
          <w:rFonts w:hint="eastAsia" w:ascii="仿宋_GB2312" w:hAnsi="仿宋_GB2312" w:eastAsia="仿宋_GB2312" w:cs="仿宋_GB2312"/>
          <w:b w:val="0"/>
          <w:bCs/>
          <w:sz w:val="32"/>
          <w:szCs w:val="32"/>
          <w:highlight w:val="none"/>
          <w:lang w:val="en-US" w:eastAsia="zh-CN"/>
        </w:rPr>
        <w:t>，</w:t>
      </w:r>
      <w:r>
        <w:rPr>
          <w:rStyle w:val="11"/>
          <w:rFonts w:hint="eastAsia" w:ascii="仿宋_GB2312" w:hAnsi="仿宋_GB2312" w:eastAsia="仿宋_GB2312" w:cs="仿宋_GB2312"/>
          <w:b w:val="0"/>
          <w:bCs/>
          <w:sz w:val="32"/>
          <w:szCs w:val="32"/>
          <w:highlight w:val="none"/>
        </w:rPr>
        <w:t>提升平台服务能级和影响力。</w:t>
      </w:r>
    </w:p>
    <w:p w14:paraId="6FAF6B54">
      <w:pPr>
        <w:pStyle w:val="8"/>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firstLine="643" w:firstLineChars="200"/>
        <w:textAlignment w:val="auto"/>
        <w:rPr>
          <w:rFonts w:hint="eastAsia" w:ascii="仿宋_GB2312" w:hAnsi="仿宋_GB2312" w:eastAsia="仿宋_GB2312" w:cs="仿宋_GB2312"/>
          <w:sz w:val="32"/>
          <w:szCs w:val="32"/>
          <w:highlight w:val="none"/>
        </w:rPr>
      </w:pPr>
      <w:r>
        <w:rPr>
          <w:rStyle w:val="11"/>
          <w:rFonts w:hint="eastAsia" w:ascii="仿宋_GB2312" w:hAnsi="仿宋_GB2312" w:eastAsia="仿宋_GB2312" w:cs="仿宋_GB2312"/>
          <w:sz w:val="32"/>
          <w:szCs w:val="32"/>
          <w:highlight w:val="none"/>
        </w:rPr>
        <w:t>3.提升平台赋能水平。</w:t>
      </w:r>
      <w:r>
        <w:rPr>
          <w:rStyle w:val="11"/>
          <w:rFonts w:hint="eastAsia" w:ascii="仿宋_GB2312" w:hAnsi="仿宋_GB2312" w:eastAsia="仿宋_GB2312" w:cs="仿宋_GB2312"/>
          <w:b w:val="0"/>
          <w:bCs/>
          <w:sz w:val="32"/>
          <w:szCs w:val="32"/>
          <w:highlight w:val="none"/>
        </w:rPr>
        <w:t>推动工业互联网</w:t>
      </w:r>
      <w:r>
        <w:rPr>
          <w:rStyle w:val="11"/>
          <w:rFonts w:hint="eastAsia" w:ascii="仿宋_GB2312" w:hAnsi="仿宋_GB2312" w:eastAsia="仿宋_GB2312" w:cs="仿宋_GB2312"/>
          <w:b w:val="0"/>
          <w:bCs/>
          <w:sz w:val="32"/>
          <w:szCs w:val="32"/>
          <w:highlight w:val="none"/>
          <w:lang w:val="en-US" w:eastAsia="zh-CN"/>
        </w:rPr>
        <w:t>和</w:t>
      </w:r>
      <w:r>
        <w:rPr>
          <w:rStyle w:val="11"/>
          <w:rFonts w:hint="eastAsia" w:ascii="仿宋_GB2312" w:hAnsi="仿宋_GB2312" w:eastAsia="仿宋_GB2312" w:cs="仿宋_GB2312"/>
          <w:b w:val="0"/>
          <w:bCs/>
          <w:sz w:val="32"/>
          <w:szCs w:val="32"/>
          <w:highlight w:val="none"/>
        </w:rPr>
        <w:t>人工智能</w:t>
      </w:r>
      <w:r>
        <w:rPr>
          <w:rStyle w:val="11"/>
          <w:rFonts w:hint="eastAsia" w:ascii="仿宋_GB2312" w:hAnsi="仿宋_GB2312" w:eastAsia="仿宋_GB2312" w:cs="仿宋_GB2312"/>
          <w:b w:val="0"/>
          <w:bCs/>
          <w:sz w:val="32"/>
          <w:szCs w:val="32"/>
          <w:highlight w:val="none"/>
          <w:lang w:val="en-US" w:eastAsia="zh-CN"/>
        </w:rPr>
        <w:t>融合赋能，加速</w:t>
      </w:r>
      <w:r>
        <w:rPr>
          <w:rStyle w:val="11"/>
          <w:rFonts w:hint="eastAsia" w:ascii="仿宋_GB2312" w:hAnsi="仿宋_GB2312" w:eastAsia="仿宋_GB2312" w:cs="仿宋_GB2312"/>
          <w:b w:val="0"/>
          <w:bCs/>
          <w:sz w:val="32"/>
          <w:szCs w:val="32"/>
          <w:highlight w:val="none"/>
        </w:rPr>
        <w:t>铜产业大脑、工业互联网标识解析二级节点等平台资源</w:t>
      </w:r>
      <w:r>
        <w:rPr>
          <w:rStyle w:val="11"/>
          <w:rFonts w:hint="eastAsia" w:ascii="仿宋_GB2312" w:hAnsi="仿宋_GB2312" w:eastAsia="仿宋_GB2312" w:cs="仿宋_GB2312"/>
          <w:b w:val="0"/>
          <w:bCs/>
          <w:sz w:val="32"/>
          <w:szCs w:val="32"/>
          <w:highlight w:val="none"/>
          <w:lang w:val="en-US" w:eastAsia="zh-CN"/>
        </w:rPr>
        <w:t>整合</w:t>
      </w:r>
      <w:r>
        <w:rPr>
          <w:rStyle w:val="11"/>
          <w:rFonts w:hint="eastAsia" w:ascii="仿宋_GB2312" w:hAnsi="仿宋_GB2312" w:eastAsia="仿宋_GB2312" w:cs="仿宋_GB2312"/>
          <w:b w:val="0"/>
          <w:bCs/>
          <w:sz w:val="32"/>
          <w:szCs w:val="32"/>
          <w:highlight w:val="none"/>
        </w:rPr>
        <w:t>，建设面向中小企业的数智化服务平台，提供“软件即服务”“平台即服务”“智能体即服务”等云化</w:t>
      </w:r>
      <w:r>
        <w:rPr>
          <w:rStyle w:val="11"/>
          <w:rFonts w:hint="eastAsia" w:ascii="仿宋_GB2312" w:hAnsi="仿宋_GB2312" w:eastAsia="仿宋_GB2312" w:cs="仿宋_GB2312"/>
          <w:b w:val="0"/>
          <w:bCs/>
          <w:sz w:val="32"/>
          <w:szCs w:val="32"/>
          <w:highlight w:val="none"/>
          <w:lang w:eastAsia="zh-CN"/>
        </w:rPr>
        <w:t>服务</w:t>
      </w:r>
      <w:r>
        <w:rPr>
          <w:rStyle w:val="11"/>
          <w:rFonts w:hint="eastAsia" w:ascii="仿宋_GB2312" w:hAnsi="仿宋_GB2312" w:eastAsia="仿宋_GB2312" w:cs="仿宋_GB2312"/>
          <w:b w:val="0"/>
          <w:bCs/>
          <w:sz w:val="32"/>
          <w:szCs w:val="32"/>
          <w:highlight w:val="none"/>
        </w:rPr>
        <w:t>，降低企业应用门槛和成本。持续推动企业接入省制造业数字化转型综合服务平台，结合实际探索建设线下场景赋能中心</w:t>
      </w:r>
      <w:r>
        <w:rPr>
          <w:rStyle w:val="11"/>
          <w:rFonts w:hint="eastAsia" w:ascii="仿宋_GB2312" w:hAnsi="仿宋_GB2312" w:eastAsia="仿宋_GB2312" w:cs="仿宋_GB2312"/>
          <w:b w:val="0"/>
          <w:bCs/>
          <w:sz w:val="32"/>
          <w:szCs w:val="32"/>
          <w:highlight w:val="none"/>
          <w:lang w:eastAsia="zh-CN"/>
        </w:rPr>
        <w:t>、</w:t>
      </w:r>
      <w:r>
        <w:rPr>
          <w:rStyle w:val="11"/>
          <w:rFonts w:hint="eastAsia" w:ascii="仿宋_GB2312" w:hAnsi="仿宋_GB2312" w:eastAsia="仿宋_GB2312" w:cs="仿宋_GB2312"/>
          <w:b w:val="0"/>
          <w:bCs/>
          <w:sz w:val="32"/>
          <w:szCs w:val="32"/>
          <w:highlight w:val="none"/>
          <w:lang w:val="en-US" w:eastAsia="zh-CN"/>
        </w:rPr>
        <w:t>人工智能赋能平台</w:t>
      </w:r>
      <w:r>
        <w:rPr>
          <w:rStyle w:val="11"/>
          <w:rFonts w:hint="eastAsia" w:ascii="仿宋_GB2312" w:hAnsi="仿宋_GB2312" w:eastAsia="仿宋_GB2312" w:cs="仿宋_GB2312"/>
          <w:b w:val="0"/>
          <w:bCs/>
          <w:sz w:val="32"/>
          <w:szCs w:val="32"/>
          <w:highlight w:val="none"/>
        </w:rPr>
        <w:t>等载体。</w:t>
      </w:r>
    </w:p>
    <w:p w14:paraId="16E9D50B">
      <w:pPr>
        <w:pStyle w:val="5"/>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firstLine="643" w:firstLineChars="200"/>
        <w:textAlignment w:val="auto"/>
        <w:rPr>
          <w:rFonts w:hint="eastAsia" w:ascii="楷体_GB2312" w:hAnsi="楷体_GB2312" w:eastAsia="楷体_GB2312" w:cs="楷体_GB2312"/>
          <w:sz w:val="32"/>
          <w:szCs w:val="32"/>
          <w:highlight w:val="none"/>
        </w:rPr>
      </w:pPr>
      <w:r>
        <w:rPr>
          <w:rFonts w:hint="eastAsia" w:ascii="楷体_GB2312" w:hAnsi="楷体_GB2312" w:eastAsia="楷体_GB2312" w:cs="楷体_GB2312"/>
          <w:sz w:val="32"/>
          <w:szCs w:val="32"/>
          <w:highlight w:val="none"/>
        </w:rPr>
        <w:t>（六）实施基础支撑夯实行动</w:t>
      </w:r>
    </w:p>
    <w:p w14:paraId="5759C4EE">
      <w:pPr>
        <w:pStyle w:val="8"/>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firstLine="643" w:firstLineChars="200"/>
        <w:textAlignment w:val="auto"/>
        <w:rPr>
          <w:rStyle w:val="11"/>
          <w:rFonts w:hint="eastAsia" w:ascii="仿宋_GB2312" w:hAnsi="仿宋_GB2312" w:eastAsia="仿宋_GB2312" w:cs="仿宋_GB2312"/>
          <w:b w:val="0"/>
          <w:bCs/>
          <w:sz w:val="32"/>
          <w:szCs w:val="32"/>
          <w:highlight w:val="none"/>
        </w:rPr>
      </w:pPr>
      <w:r>
        <w:rPr>
          <w:rStyle w:val="11"/>
          <w:rFonts w:hint="eastAsia" w:ascii="仿宋_GB2312" w:hAnsi="仿宋_GB2312" w:eastAsia="仿宋_GB2312" w:cs="仿宋_GB2312"/>
          <w:sz w:val="32"/>
          <w:szCs w:val="32"/>
          <w:highlight w:val="none"/>
        </w:rPr>
        <w:t>1.推进软硬件协同研发应用。</w:t>
      </w:r>
      <w:r>
        <w:rPr>
          <w:rStyle w:val="11"/>
          <w:rFonts w:hint="eastAsia" w:ascii="仿宋_GB2312" w:hAnsi="仿宋_GB2312" w:eastAsia="仿宋_GB2312" w:cs="仿宋_GB2312"/>
          <w:b w:val="0"/>
          <w:bCs/>
          <w:sz w:val="32"/>
          <w:szCs w:val="32"/>
          <w:highlight w:val="none"/>
        </w:rPr>
        <w:t>加快关键零部件和重大技术装备研发产业化，开展行业软件技术攻关、产品研发和方案集成，打造一批示范性软件产品和行业解决方案，加快规模化应用。用好首台（套）等政策工具，推动创新产品融入重点产业链配套体系</w:t>
      </w:r>
      <w:r>
        <w:rPr>
          <w:rStyle w:val="11"/>
          <w:rFonts w:hint="eastAsia" w:ascii="仿宋_GB2312" w:hAnsi="仿宋_GB2312" w:eastAsia="仿宋_GB2312" w:cs="仿宋_GB2312"/>
          <w:b w:val="0"/>
          <w:bCs/>
          <w:sz w:val="32"/>
          <w:szCs w:val="32"/>
          <w:highlight w:val="none"/>
          <w:lang w:eastAsia="zh-CN"/>
        </w:rPr>
        <w:t>，</w:t>
      </w:r>
      <w:r>
        <w:rPr>
          <w:rStyle w:val="11"/>
          <w:rFonts w:hint="eastAsia" w:ascii="仿宋_GB2312" w:hAnsi="仿宋_GB2312" w:eastAsia="仿宋_GB2312" w:cs="仿宋_GB2312"/>
          <w:b w:val="0"/>
          <w:bCs/>
          <w:sz w:val="32"/>
          <w:szCs w:val="32"/>
          <w:highlight w:val="none"/>
        </w:rPr>
        <w:t>引导装备制造企业由单纯设备供给向系统解决方案供给延伸</w:t>
      </w:r>
      <w:r>
        <w:rPr>
          <w:rStyle w:val="11"/>
          <w:rFonts w:hint="eastAsia" w:ascii="仿宋_GB2312" w:hAnsi="仿宋_GB2312" w:eastAsia="仿宋_GB2312" w:cs="仿宋_GB2312"/>
          <w:b w:val="0"/>
          <w:bCs/>
          <w:sz w:val="32"/>
          <w:szCs w:val="32"/>
          <w:highlight w:val="none"/>
          <w:lang w:eastAsia="zh-CN"/>
        </w:rPr>
        <w:t>。</w:t>
      </w:r>
      <w:r>
        <w:rPr>
          <w:rStyle w:val="11"/>
          <w:rFonts w:hint="eastAsia" w:ascii="仿宋_GB2312" w:hAnsi="仿宋_GB2312" w:eastAsia="仿宋_GB2312" w:cs="仿宋_GB2312"/>
          <w:b w:val="0"/>
          <w:bCs/>
          <w:sz w:val="32"/>
          <w:szCs w:val="32"/>
          <w:highlight w:val="none"/>
        </w:rPr>
        <w:t>推动工业操作系统、控制系统等关键软件加快自主可控替代，加大行业软件及信息服务业招引培育力度，完善产业生态，以软硬件协同升级赋能制造业数智化转型。</w:t>
      </w:r>
    </w:p>
    <w:p w14:paraId="746FCDA1">
      <w:pPr>
        <w:pStyle w:val="8"/>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firstLine="643" w:firstLineChars="200"/>
        <w:textAlignment w:val="auto"/>
        <w:rPr>
          <w:rFonts w:hint="default"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bCs/>
          <w:sz w:val="32"/>
          <w:szCs w:val="32"/>
          <w:highlight w:val="none"/>
          <w:lang w:val="en-US" w:eastAsia="zh-CN"/>
        </w:rPr>
        <w:t>2.强化信息基础设施建设。</w:t>
      </w:r>
      <w:r>
        <w:rPr>
          <w:rFonts w:hint="eastAsia" w:ascii="仿宋_GB2312" w:hAnsi="仿宋_GB2312" w:eastAsia="仿宋_GB2312" w:cs="仿宋_GB2312"/>
          <w:b w:val="0"/>
          <w:bCs w:val="0"/>
          <w:sz w:val="32"/>
          <w:szCs w:val="32"/>
          <w:highlight w:val="none"/>
          <w:lang w:val="en-US" w:eastAsia="zh-CN"/>
        </w:rPr>
        <w:t>鼓励电信企业加大信息基础设施投入，持续推进工业园区等重点场景无线网络深度覆盖和万兆光网应用探索。加强传输线路及电力接入配套保障，推进各类公共设施向信息基础设施建设开放，强化网络接入设施保护。</w:t>
      </w:r>
    </w:p>
    <w:p w14:paraId="4F882916">
      <w:pPr>
        <w:pStyle w:val="8"/>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firstLine="643" w:firstLineChars="200"/>
        <w:textAlignment w:val="auto"/>
        <w:rPr>
          <w:rFonts w:hint="eastAsia" w:ascii="仿宋_GB2312" w:hAnsi="仿宋_GB2312" w:eastAsia="仿宋_GB2312" w:cs="仿宋_GB2312"/>
          <w:b w:val="0"/>
          <w:bCs/>
          <w:sz w:val="32"/>
          <w:szCs w:val="32"/>
          <w:highlight w:val="none"/>
        </w:rPr>
      </w:pPr>
      <w:r>
        <w:rPr>
          <w:rStyle w:val="11"/>
          <w:rFonts w:hint="eastAsia" w:ascii="仿宋_GB2312" w:hAnsi="仿宋_GB2312" w:eastAsia="仿宋_GB2312" w:cs="仿宋_GB2312"/>
          <w:sz w:val="32"/>
          <w:szCs w:val="32"/>
          <w:highlight w:val="none"/>
          <w:lang w:val="en-US" w:eastAsia="zh-CN"/>
        </w:rPr>
        <w:t>3.健全工业信息安全保障。</w:t>
      </w:r>
      <w:r>
        <w:rPr>
          <w:rStyle w:val="11"/>
          <w:rFonts w:hint="eastAsia" w:ascii="仿宋_GB2312" w:hAnsi="仿宋_GB2312" w:eastAsia="仿宋_GB2312" w:cs="仿宋_GB2312"/>
          <w:b w:val="0"/>
          <w:bCs/>
          <w:sz w:val="32"/>
          <w:szCs w:val="32"/>
          <w:highlight w:val="none"/>
          <w:lang w:val="en-US" w:eastAsia="zh-CN"/>
        </w:rPr>
        <w:t>加强工业信息安全监测预警和应急处置能力建设，压实企业网络和数据安全主体责任。积极参与网络安全保险试点、数安护航专项行动和护航新型工业化网络安全工作，持续提升企业网络安全、数据安全防护能力，不断增强全市工业信息安全保障水平和服务效能。</w:t>
      </w:r>
    </w:p>
    <w:p w14:paraId="46036BFB">
      <w:pPr>
        <w:pStyle w:val="4"/>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黑体" w:hAnsi="黑体" w:eastAsia="黑体" w:cs="黑体"/>
          <w:b w:val="0"/>
          <w:bCs w:val="0"/>
          <w:sz w:val="32"/>
          <w:szCs w:val="32"/>
          <w:highlight w:val="none"/>
        </w:rPr>
      </w:pPr>
      <w:r>
        <w:rPr>
          <w:rFonts w:hint="eastAsia" w:ascii="黑体" w:hAnsi="黑体" w:eastAsia="黑体" w:cs="黑体"/>
          <w:b w:val="0"/>
          <w:bCs w:val="0"/>
          <w:sz w:val="32"/>
          <w:szCs w:val="32"/>
          <w:highlight w:val="none"/>
        </w:rPr>
        <w:t>三、保障措施</w:t>
      </w:r>
    </w:p>
    <w:p w14:paraId="0BC92B50">
      <w:pPr>
        <w:keepNext w:val="0"/>
        <w:keepLines w:val="0"/>
        <w:pageBreakBefore w:val="0"/>
        <w:widowControl w:val="0"/>
        <w:kinsoku/>
        <w:wordWrap/>
        <w:overflowPunct/>
        <w:topLinePunct w:val="0"/>
        <w:autoSpaceDE/>
        <w:autoSpaceDN/>
        <w:bidi w:val="0"/>
        <w:adjustRightInd/>
        <w:snapToGrid/>
        <w:spacing w:afterAutospacing="0"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持续落实全市制造业数字化转型工作推进机制，加强统筹协调和工作调度，及时掌握进展、协调解决问题。</w:t>
      </w:r>
      <w:r>
        <w:rPr>
          <w:rFonts w:hint="eastAsia" w:ascii="仿宋_GB2312" w:hAnsi="仿宋_GB2312" w:eastAsia="仿宋_GB2312" w:cs="仿宋_GB2312"/>
          <w:sz w:val="32"/>
          <w:szCs w:val="32"/>
          <w:highlight w:val="none"/>
          <w:lang w:val="en-US" w:eastAsia="zh-CN"/>
        </w:rPr>
        <w:t>常态化开展企业数字化水平评价，动态掌握分地区、分产业链数字化转型成效。</w:t>
      </w:r>
      <w:r>
        <w:rPr>
          <w:rFonts w:hint="eastAsia" w:ascii="仿宋_GB2312" w:hAnsi="仿宋_GB2312" w:eastAsia="仿宋_GB2312" w:cs="仿宋_GB2312"/>
          <w:sz w:val="32"/>
          <w:szCs w:val="32"/>
          <w:highlight w:val="none"/>
        </w:rPr>
        <w:t>积极争取省工业发展专项资金，加大对制造业数智化转型支持力度。强化市县联动，鼓励各地对制造业数</w:t>
      </w:r>
      <w:r>
        <w:rPr>
          <w:rFonts w:hint="eastAsia" w:ascii="仿宋_GB2312" w:hAnsi="仿宋_GB2312" w:eastAsia="仿宋_GB2312" w:cs="仿宋_GB2312"/>
          <w:sz w:val="32"/>
          <w:szCs w:val="32"/>
          <w:highlight w:val="none"/>
          <w:lang w:val="en-US" w:eastAsia="zh-CN"/>
        </w:rPr>
        <w:t>字</w:t>
      </w:r>
      <w:r>
        <w:rPr>
          <w:rFonts w:hint="eastAsia" w:ascii="仿宋_GB2312" w:hAnsi="仿宋_GB2312" w:eastAsia="仿宋_GB2312" w:cs="仿宋_GB2312"/>
          <w:sz w:val="32"/>
          <w:szCs w:val="32"/>
          <w:highlight w:val="none"/>
        </w:rPr>
        <w:t>化转型有关贯标评价、改造实施、服务体系建设、场景应用推广等工作给予支持。鼓励金融机构创新服务和产品，加强对企业数</w:t>
      </w:r>
      <w:r>
        <w:rPr>
          <w:rFonts w:hint="eastAsia" w:ascii="仿宋_GB2312" w:hAnsi="仿宋_GB2312" w:eastAsia="仿宋_GB2312" w:cs="仿宋_GB2312"/>
          <w:sz w:val="32"/>
          <w:szCs w:val="32"/>
          <w:highlight w:val="none"/>
          <w:lang w:val="en-US" w:eastAsia="zh-CN"/>
        </w:rPr>
        <w:t>字</w:t>
      </w:r>
      <w:r>
        <w:rPr>
          <w:rFonts w:hint="eastAsia" w:ascii="仿宋_GB2312" w:hAnsi="仿宋_GB2312" w:eastAsia="仿宋_GB2312" w:cs="仿宋_GB2312"/>
          <w:sz w:val="32"/>
          <w:szCs w:val="32"/>
          <w:highlight w:val="none"/>
        </w:rPr>
        <w:t>化转型的支持，引导企业加大数字化转型投入。</w:t>
      </w:r>
      <w:r>
        <w:rPr>
          <w:rFonts w:hint="eastAsia" w:ascii="仿宋_GB2312" w:hAnsi="仿宋_GB2312" w:eastAsia="仿宋_GB2312" w:cs="仿宋_GB2312"/>
          <w:sz w:val="32"/>
          <w:szCs w:val="32"/>
          <w:highlight w:val="none"/>
          <w:lang w:val="en-US" w:eastAsia="zh-CN"/>
        </w:rPr>
        <w:t>加强</w:t>
      </w:r>
      <w:r>
        <w:rPr>
          <w:rFonts w:hint="eastAsia" w:ascii="仿宋_GB2312" w:hAnsi="仿宋_GB2312" w:eastAsia="仿宋_GB2312" w:cs="仿宋_GB2312"/>
          <w:sz w:val="32"/>
          <w:szCs w:val="32"/>
          <w:highlight w:val="none"/>
        </w:rPr>
        <w:t>制造业数字化转型人才培训，推进产教融合、校企合作。加强数智化转型经验模式总结和宣传推广，营造数智化转型社会氛围。</w:t>
      </w:r>
    </w:p>
    <w:p w14:paraId="06E6B605">
      <w:pPr>
        <w:keepNext w:val="0"/>
        <w:keepLines w:val="0"/>
        <w:pageBreakBefore w:val="0"/>
        <w:widowControl w:val="0"/>
        <w:kinsoku/>
        <w:wordWrap/>
        <w:overflowPunct/>
        <w:topLinePunct w:val="0"/>
        <w:autoSpaceDE/>
        <w:autoSpaceDN/>
        <w:bidi w:val="0"/>
        <w:adjustRightInd/>
        <w:snapToGrid/>
        <w:spacing w:afterAutospacing="0" w:line="560" w:lineRule="exact"/>
        <w:ind w:firstLine="640" w:firstLineChars="200"/>
        <w:textAlignment w:val="auto"/>
        <w:rPr>
          <w:rFonts w:hint="eastAsia" w:ascii="仿宋_GB2312" w:hAnsi="仿宋_GB2312" w:eastAsia="仿宋_GB2312" w:cs="仿宋_GB2312"/>
          <w:b w:val="0"/>
          <w:bCs w:val="0"/>
          <w:color w:val="000000" w:themeColor="text1"/>
          <w:kern w:val="2"/>
          <w:sz w:val="32"/>
          <w:szCs w:val="32"/>
          <w:highlight w:val="none"/>
          <w:lang w:val="en-US" w:eastAsia="zh-CN" w:bidi="ar-SA"/>
          <w14:textFill>
            <w14:solidFill>
              <w14:schemeClr w14:val="tx1"/>
            </w14:solidFill>
          </w14:textFill>
        </w:rPr>
      </w:pPr>
    </w:p>
    <w:p w14:paraId="463555D1">
      <w:pPr>
        <w:keepNext w:val="0"/>
        <w:keepLines w:val="0"/>
        <w:pageBreakBefore w:val="0"/>
        <w:widowControl w:val="0"/>
        <w:kinsoku/>
        <w:wordWrap/>
        <w:overflowPunct/>
        <w:topLinePunct w:val="0"/>
        <w:autoSpaceDE/>
        <w:autoSpaceDN/>
        <w:bidi w:val="0"/>
        <w:adjustRightInd/>
        <w:snapToGrid/>
        <w:spacing w:afterAutospacing="0" w:line="560" w:lineRule="exact"/>
        <w:ind w:firstLine="640" w:firstLineChars="200"/>
        <w:textAlignment w:val="auto"/>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sectPr>
          <w:footerReference r:id="rId3" w:type="default"/>
          <w:pgSz w:w="11906" w:h="16838"/>
          <w:pgMar w:top="1701" w:right="1417" w:bottom="1417" w:left="1417" w:header="851" w:footer="992" w:gutter="0"/>
          <w:cols w:space="425" w:num="1"/>
          <w:docGrid w:type="lines" w:linePitch="312" w:charSpace="0"/>
        </w:sectPr>
      </w:pP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附表：鹰潭市制造业数字化转型预期目标表（2026—2027年）</w:t>
      </w:r>
    </w:p>
    <w:p w14:paraId="0C6869E2">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黑体" w:hAnsi="黑体" w:eastAsia="黑体" w:cs="黑体"/>
          <w:color w:val="000000" w:themeColor="text1"/>
          <w:sz w:val="32"/>
          <w:szCs w:val="32"/>
          <w:highlight w:val="none"/>
          <w:lang w:val="en-US" w:eastAsia="zh-CN"/>
          <w14:textFill>
            <w14:solidFill>
              <w14:schemeClr w14:val="tx1"/>
            </w14:solidFill>
          </w14:textFill>
        </w:rPr>
      </w:pPr>
      <w:r>
        <w:rPr>
          <w:rFonts w:hint="eastAsia" w:ascii="黑体" w:hAnsi="黑体" w:eastAsia="黑体" w:cs="黑体"/>
          <w:color w:val="000000" w:themeColor="text1"/>
          <w:sz w:val="32"/>
          <w:szCs w:val="32"/>
          <w:highlight w:val="none"/>
          <w:lang w:val="en-US" w:eastAsia="zh-CN"/>
          <w14:textFill>
            <w14:solidFill>
              <w14:schemeClr w14:val="tx1"/>
            </w14:solidFill>
          </w14:textFill>
        </w:rPr>
        <w:t>附表</w:t>
      </w:r>
    </w:p>
    <w:p w14:paraId="1008FF55">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黑体" w:hAnsi="黑体" w:eastAsia="黑体" w:cs="黑体"/>
          <w:color w:val="000000" w:themeColor="text1"/>
          <w:sz w:val="32"/>
          <w:szCs w:val="32"/>
          <w:highlight w:val="none"/>
          <w:lang w:val="en-US" w:eastAsia="zh-CN"/>
          <w14:textFill>
            <w14:solidFill>
              <w14:schemeClr w14:val="tx1"/>
            </w14:solidFill>
          </w14:textFill>
        </w:rPr>
      </w:pPr>
    </w:p>
    <w:p w14:paraId="392BABB9">
      <w:pPr>
        <w:pStyle w:val="12"/>
        <w:keepNext w:val="0"/>
        <w:keepLines w:val="0"/>
        <w:pageBreakBefore w:val="0"/>
        <w:widowControl w:val="0"/>
        <w:kinsoku/>
        <w:wordWrap/>
        <w:overflowPunct/>
        <w:topLinePunct w:val="0"/>
        <w:autoSpaceDE/>
        <w:autoSpaceDN/>
        <w:bidi w:val="0"/>
        <w:adjustRightInd/>
        <w:snapToGrid/>
        <w:spacing w:after="63" w:afterLines="20" w:line="560" w:lineRule="exact"/>
        <w:jc w:val="center"/>
        <w:textAlignment w:val="auto"/>
        <w:rPr>
          <w:rFonts w:hint="eastAsia" w:ascii="方正小标宋简体" w:hAnsi="方正小标宋简体" w:eastAsia="方正小标宋简体"/>
          <w:color w:val="auto"/>
          <w:sz w:val="44"/>
          <w:szCs w:val="44"/>
          <w:highlight w:val="none"/>
          <w:lang w:eastAsia="zh-CN"/>
        </w:rPr>
      </w:pPr>
      <w:r>
        <w:rPr>
          <w:rFonts w:hint="eastAsia" w:ascii="方正小标宋简体" w:hAnsi="方正小标宋简体" w:eastAsia="方正小标宋简体"/>
          <w:color w:val="auto"/>
          <w:sz w:val="44"/>
          <w:szCs w:val="44"/>
          <w:highlight w:val="none"/>
          <w:lang w:eastAsia="zh-CN"/>
        </w:rPr>
        <w:t>鹰潭市制造业数字化转型预期目标表</w:t>
      </w:r>
    </w:p>
    <w:p w14:paraId="2ED43975">
      <w:pPr>
        <w:pStyle w:val="12"/>
        <w:keepNext w:val="0"/>
        <w:keepLines w:val="0"/>
        <w:pageBreakBefore w:val="0"/>
        <w:widowControl w:val="0"/>
        <w:kinsoku/>
        <w:wordWrap/>
        <w:overflowPunct/>
        <w:topLinePunct w:val="0"/>
        <w:autoSpaceDE/>
        <w:autoSpaceDN/>
        <w:bidi w:val="0"/>
        <w:adjustRightInd/>
        <w:snapToGrid/>
        <w:spacing w:after="63" w:afterLines="20" w:line="560" w:lineRule="exact"/>
        <w:jc w:val="center"/>
        <w:textAlignment w:val="auto"/>
        <w:rPr>
          <w:rFonts w:hint="eastAsia" w:ascii="楷体_GB2312" w:hAnsi="楷体_GB2312" w:eastAsia="楷体_GB2312" w:cs="楷体_GB2312"/>
          <w:color w:val="auto"/>
          <w:sz w:val="32"/>
          <w:szCs w:val="32"/>
          <w:highlight w:val="none"/>
          <w:lang w:eastAsia="zh-CN"/>
        </w:rPr>
      </w:pPr>
      <w:r>
        <w:rPr>
          <w:rFonts w:hint="eastAsia" w:ascii="楷体_GB2312" w:hAnsi="楷体_GB2312" w:eastAsia="楷体_GB2312" w:cs="楷体_GB2312"/>
          <w:color w:val="auto"/>
          <w:sz w:val="32"/>
          <w:szCs w:val="32"/>
          <w:highlight w:val="none"/>
          <w:lang w:eastAsia="zh-CN"/>
        </w:rPr>
        <w:t>（202</w:t>
      </w:r>
      <w:r>
        <w:rPr>
          <w:rFonts w:hint="eastAsia" w:ascii="楷体_GB2312" w:hAnsi="楷体_GB2312" w:eastAsia="楷体_GB2312" w:cs="楷体_GB2312"/>
          <w:color w:val="auto"/>
          <w:sz w:val="32"/>
          <w:szCs w:val="32"/>
          <w:highlight w:val="none"/>
          <w:lang w:val="en-US" w:eastAsia="zh-CN"/>
        </w:rPr>
        <w:t>6—2027</w:t>
      </w:r>
      <w:r>
        <w:rPr>
          <w:rFonts w:hint="eastAsia" w:ascii="楷体_GB2312" w:hAnsi="楷体_GB2312" w:eastAsia="楷体_GB2312" w:cs="楷体_GB2312"/>
          <w:color w:val="auto"/>
          <w:sz w:val="32"/>
          <w:szCs w:val="32"/>
          <w:highlight w:val="none"/>
          <w:lang w:eastAsia="zh-CN"/>
        </w:rPr>
        <w:t>年）</w:t>
      </w:r>
    </w:p>
    <w:tbl>
      <w:tblPr>
        <w:tblStyle w:val="9"/>
        <w:tblW w:w="5099" w:type="pct"/>
        <w:jc w:val="center"/>
        <w:tblLayout w:type="fixed"/>
        <w:tblCellMar>
          <w:top w:w="0" w:type="dxa"/>
          <w:left w:w="108" w:type="dxa"/>
          <w:bottom w:w="0" w:type="dxa"/>
          <w:right w:w="108" w:type="dxa"/>
        </w:tblCellMar>
      </w:tblPr>
      <w:tblGrid>
        <w:gridCol w:w="600"/>
        <w:gridCol w:w="3011"/>
        <w:gridCol w:w="576"/>
        <w:gridCol w:w="886"/>
        <w:gridCol w:w="887"/>
        <w:gridCol w:w="920"/>
        <w:gridCol w:w="886"/>
        <w:gridCol w:w="926"/>
      </w:tblGrid>
      <w:tr w14:paraId="2A184BA0">
        <w:tblPrEx>
          <w:tblCellMar>
            <w:top w:w="0" w:type="dxa"/>
            <w:left w:w="108" w:type="dxa"/>
            <w:bottom w:w="0" w:type="dxa"/>
            <w:right w:w="108" w:type="dxa"/>
          </w:tblCellMar>
        </w:tblPrEx>
        <w:trPr>
          <w:trHeight w:val="557" w:hRule="exact"/>
          <w:tblHeader/>
          <w:jc w:val="center"/>
        </w:trPr>
        <w:tc>
          <w:tcPr>
            <w:tcW w:w="345" w:type="pct"/>
            <w:vMerge w:val="restart"/>
            <w:tcBorders>
              <w:top w:val="single" w:color="000000" w:sz="4" w:space="0"/>
              <w:left w:val="single" w:color="000000" w:sz="4" w:space="0"/>
              <w:bottom w:val="single" w:color="000000" w:sz="4" w:space="0"/>
              <w:right w:val="single" w:color="000000" w:sz="4" w:space="0"/>
            </w:tcBorders>
            <w:noWrap/>
            <w:vAlign w:val="center"/>
          </w:tcPr>
          <w:p w14:paraId="04E9617A">
            <w:pPr>
              <w:jc w:val="center"/>
              <w:textAlignment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bidi="ar"/>
                <w14:textFill>
                  <w14:solidFill>
                    <w14:schemeClr w14:val="tx1"/>
                  </w14:solidFill>
                </w14:textFill>
              </w:rPr>
              <w:t>序号</w:t>
            </w:r>
          </w:p>
        </w:tc>
        <w:tc>
          <w:tcPr>
            <w:tcW w:w="1732" w:type="pct"/>
            <w:vMerge w:val="restart"/>
            <w:tcBorders>
              <w:top w:val="single" w:color="000000" w:sz="4" w:space="0"/>
              <w:left w:val="single" w:color="000000" w:sz="4" w:space="0"/>
              <w:bottom w:val="single" w:color="000000" w:sz="4" w:space="0"/>
              <w:right w:val="single" w:color="000000" w:sz="4" w:space="0"/>
            </w:tcBorders>
            <w:noWrap/>
            <w:vAlign w:val="center"/>
          </w:tcPr>
          <w:p w14:paraId="1829D0D3">
            <w:pPr>
              <w:jc w:val="center"/>
              <w:textAlignment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bidi="ar"/>
                <w14:textFill>
                  <w14:solidFill>
                    <w14:schemeClr w14:val="tx1"/>
                  </w14:solidFill>
                </w14:textFill>
              </w:rPr>
              <w:t>指标名称</w:t>
            </w:r>
          </w:p>
        </w:tc>
        <w:tc>
          <w:tcPr>
            <w:tcW w:w="331" w:type="pct"/>
            <w:vMerge w:val="restart"/>
            <w:tcBorders>
              <w:top w:val="single" w:color="000000" w:sz="4" w:space="0"/>
              <w:left w:val="single" w:color="000000" w:sz="4" w:space="0"/>
              <w:right w:val="single" w:color="000000" w:sz="4" w:space="0"/>
            </w:tcBorders>
            <w:noWrap/>
            <w:vAlign w:val="center"/>
          </w:tcPr>
          <w:p w14:paraId="5B947E39">
            <w:pPr>
              <w:jc w:val="center"/>
              <w:textAlignment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bidi="ar"/>
                <w14:textFill>
                  <w14:solidFill>
                    <w14:schemeClr w14:val="tx1"/>
                  </w14:solidFill>
                </w14:textFill>
              </w:rPr>
              <w:t>单位</w:t>
            </w:r>
          </w:p>
        </w:tc>
        <w:tc>
          <w:tcPr>
            <w:tcW w:w="2591" w:type="pct"/>
            <w:gridSpan w:val="5"/>
            <w:tcBorders>
              <w:top w:val="single" w:color="000000" w:sz="4" w:space="0"/>
              <w:left w:val="single" w:color="000000" w:sz="4" w:space="0"/>
              <w:bottom w:val="single" w:color="000000" w:sz="4" w:space="0"/>
              <w:right w:val="single" w:color="000000" w:sz="4" w:space="0"/>
            </w:tcBorders>
            <w:noWrap/>
            <w:vAlign w:val="center"/>
          </w:tcPr>
          <w:p w14:paraId="1752D15B">
            <w:pPr>
              <w:jc w:val="center"/>
              <w:textAlignment w:val="center"/>
              <w:rPr>
                <w:rFonts w:hint="eastAsia" w:ascii="宋体" w:hAnsi="宋体" w:eastAsia="宋体" w:cs="宋体"/>
                <w:b/>
                <w:bCs/>
                <w:color w:val="000000" w:themeColor="text1"/>
                <w:sz w:val="24"/>
                <w:szCs w:val="24"/>
                <w:highlight w:val="none"/>
                <w:lang w:bidi="ar"/>
                <w14:textFill>
                  <w14:solidFill>
                    <w14:schemeClr w14:val="tx1"/>
                  </w14:solidFill>
                </w14:textFill>
              </w:rPr>
            </w:pPr>
            <w:r>
              <w:rPr>
                <w:rFonts w:hint="eastAsia" w:ascii="宋体" w:hAnsi="宋体" w:eastAsia="宋体" w:cs="宋体"/>
                <w:b/>
                <w:bCs/>
                <w:color w:val="000000" w:themeColor="text1"/>
                <w:sz w:val="24"/>
                <w:szCs w:val="24"/>
                <w:highlight w:val="none"/>
                <w:lang w:bidi="ar"/>
                <w14:textFill>
                  <w14:solidFill>
                    <w14:schemeClr w14:val="tx1"/>
                  </w14:solidFill>
                </w14:textFill>
              </w:rPr>
              <w:t>预期目标</w:t>
            </w:r>
          </w:p>
        </w:tc>
      </w:tr>
      <w:tr w14:paraId="23291B86">
        <w:tblPrEx>
          <w:tblCellMar>
            <w:top w:w="0" w:type="dxa"/>
            <w:left w:w="108" w:type="dxa"/>
            <w:bottom w:w="0" w:type="dxa"/>
            <w:right w:w="108" w:type="dxa"/>
          </w:tblCellMar>
        </w:tblPrEx>
        <w:trPr>
          <w:trHeight w:val="556" w:hRule="exact"/>
          <w:tblHeader/>
          <w:jc w:val="center"/>
        </w:trPr>
        <w:tc>
          <w:tcPr>
            <w:tcW w:w="345" w:type="pct"/>
            <w:vMerge w:val="continue"/>
            <w:tcBorders>
              <w:top w:val="single" w:color="000000" w:sz="4" w:space="0"/>
              <w:left w:val="single" w:color="000000" w:sz="4" w:space="0"/>
              <w:bottom w:val="single" w:color="000000" w:sz="4" w:space="0"/>
              <w:right w:val="single" w:color="000000" w:sz="4" w:space="0"/>
            </w:tcBorders>
            <w:noWrap/>
            <w:vAlign w:val="center"/>
          </w:tcPr>
          <w:p w14:paraId="6C7817CB">
            <w:pPr>
              <w:jc w:val="center"/>
              <w:rPr>
                <w:rFonts w:hint="eastAsia" w:ascii="宋体" w:hAnsi="宋体" w:eastAsia="宋体" w:cs="宋体"/>
                <w:b/>
                <w:bCs/>
                <w:color w:val="000000" w:themeColor="text1"/>
                <w:sz w:val="24"/>
                <w:szCs w:val="24"/>
                <w:highlight w:val="none"/>
                <w14:textFill>
                  <w14:solidFill>
                    <w14:schemeClr w14:val="tx1"/>
                  </w14:solidFill>
                </w14:textFill>
              </w:rPr>
            </w:pPr>
          </w:p>
        </w:tc>
        <w:tc>
          <w:tcPr>
            <w:tcW w:w="1732" w:type="pct"/>
            <w:vMerge w:val="continue"/>
            <w:tcBorders>
              <w:top w:val="single" w:color="000000" w:sz="4" w:space="0"/>
              <w:left w:val="single" w:color="000000" w:sz="4" w:space="0"/>
              <w:bottom w:val="single" w:color="000000" w:sz="4" w:space="0"/>
              <w:right w:val="single" w:color="000000" w:sz="4" w:space="0"/>
            </w:tcBorders>
            <w:noWrap/>
            <w:vAlign w:val="center"/>
          </w:tcPr>
          <w:p w14:paraId="77B6219C">
            <w:pPr>
              <w:jc w:val="center"/>
              <w:rPr>
                <w:rFonts w:hint="eastAsia" w:ascii="宋体" w:hAnsi="宋体" w:eastAsia="宋体" w:cs="宋体"/>
                <w:b/>
                <w:bCs/>
                <w:color w:val="000000" w:themeColor="text1"/>
                <w:sz w:val="24"/>
                <w:szCs w:val="24"/>
                <w:highlight w:val="none"/>
                <w14:textFill>
                  <w14:solidFill>
                    <w14:schemeClr w14:val="tx1"/>
                  </w14:solidFill>
                </w14:textFill>
              </w:rPr>
            </w:pPr>
          </w:p>
        </w:tc>
        <w:tc>
          <w:tcPr>
            <w:tcW w:w="331" w:type="pct"/>
            <w:vMerge w:val="continue"/>
            <w:tcBorders>
              <w:left w:val="single" w:color="000000" w:sz="4" w:space="0"/>
              <w:bottom w:val="single" w:color="000000" w:sz="4" w:space="0"/>
              <w:right w:val="single" w:color="000000" w:sz="4" w:space="0"/>
            </w:tcBorders>
            <w:noWrap/>
            <w:vAlign w:val="center"/>
          </w:tcPr>
          <w:p w14:paraId="1CE7A8B2">
            <w:pPr>
              <w:jc w:val="center"/>
              <w:textAlignment w:val="center"/>
              <w:rPr>
                <w:rFonts w:hint="eastAsia" w:ascii="宋体" w:hAnsi="宋体" w:eastAsia="宋体" w:cs="宋体"/>
                <w:b/>
                <w:bCs/>
                <w:color w:val="000000" w:themeColor="text1"/>
                <w:sz w:val="24"/>
                <w:szCs w:val="24"/>
                <w:highlight w:val="none"/>
                <w14:textFill>
                  <w14:solidFill>
                    <w14:schemeClr w14:val="tx1"/>
                  </w14:solidFill>
                </w14:textFill>
              </w:rPr>
            </w:pPr>
          </w:p>
        </w:tc>
        <w:tc>
          <w:tcPr>
            <w:tcW w:w="509" w:type="pct"/>
            <w:tcBorders>
              <w:top w:val="single" w:color="000000" w:sz="4" w:space="0"/>
              <w:left w:val="single" w:color="000000" w:sz="4" w:space="0"/>
              <w:bottom w:val="single" w:color="000000" w:sz="4" w:space="0"/>
              <w:right w:val="single" w:color="000000" w:sz="4" w:space="0"/>
            </w:tcBorders>
            <w:noWrap/>
            <w:vAlign w:val="center"/>
          </w:tcPr>
          <w:p w14:paraId="406C24F1">
            <w:pPr>
              <w:jc w:val="center"/>
              <w:textAlignment w:val="center"/>
              <w:rPr>
                <w:rFonts w:hint="eastAsia" w:ascii="宋体" w:hAnsi="宋体" w:eastAsia="宋体" w:cs="宋体"/>
                <w:b/>
                <w:bCs/>
                <w:color w:val="000000" w:themeColor="text1"/>
                <w:spacing w:val="-6"/>
                <w:w w:val="95"/>
                <w:sz w:val="24"/>
                <w:szCs w:val="24"/>
                <w:highlight w:val="none"/>
                <w14:textFill>
                  <w14:solidFill>
                    <w14:schemeClr w14:val="tx1"/>
                  </w14:solidFill>
                </w14:textFill>
              </w:rPr>
            </w:pPr>
            <w:r>
              <w:rPr>
                <w:rFonts w:hint="eastAsia" w:ascii="宋体" w:hAnsi="宋体" w:eastAsia="宋体" w:cs="宋体"/>
                <w:b/>
                <w:bCs/>
                <w:color w:val="000000" w:themeColor="text1"/>
                <w:spacing w:val="-6"/>
                <w:w w:val="95"/>
                <w:sz w:val="24"/>
                <w:szCs w:val="24"/>
                <w:highlight w:val="none"/>
                <w:lang w:bidi="ar"/>
                <w14:textFill>
                  <w14:solidFill>
                    <w14:schemeClr w14:val="tx1"/>
                  </w14:solidFill>
                </w14:textFill>
              </w:rPr>
              <w:t>鹰潭市</w:t>
            </w:r>
          </w:p>
        </w:tc>
        <w:tc>
          <w:tcPr>
            <w:tcW w:w="510" w:type="pct"/>
            <w:tcBorders>
              <w:top w:val="single" w:color="000000" w:sz="4" w:space="0"/>
              <w:left w:val="single" w:color="000000" w:sz="4" w:space="0"/>
              <w:bottom w:val="single" w:color="000000" w:sz="4" w:space="0"/>
              <w:right w:val="single" w:color="000000" w:sz="4" w:space="0"/>
            </w:tcBorders>
            <w:noWrap/>
            <w:vAlign w:val="center"/>
          </w:tcPr>
          <w:p w14:paraId="0095ECAE">
            <w:pPr>
              <w:jc w:val="center"/>
              <w:textAlignment w:val="center"/>
              <w:rPr>
                <w:rFonts w:hint="eastAsia" w:ascii="宋体" w:hAnsi="宋体" w:eastAsia="宋体" w:cs="宋体"/>
                <w:b/>
                <w:bCs/>
                <w:color w:val="000000" w:themeColor="text1"/>
                <w:spacing w:val="-6"/>
                <w:w w:val="95"/>
                <w:sz w:val="24"/>
                <w:szCs w:val="24"/>
                <w:highlight w:val="none"/>
                <w14:textFill>
                  <w14:solidFill>
                    <w14:schemeClr w14:val="tx1"/>
                  </w14:solidFill>
                </w14:textFill>
              </w:rPr>
            </w:pPr>
            <w:r>
              <w:rPr>
                <w:rFonts w:hint="eastAsia" w:ascii="宋体" w:hAnsi="宋体" w:eastAsia="宋体" w:cs="宋体"/>
                <w:b/>
                <w:bCs/>
                <w:color w:val="000000" w:themeColor="text1"/>
                <w:spacing w:val="-6"/>
                <w:w w:val="95"/>
                <w:sz w:val="24"/>
                <w:szCs w:val="24"/>
                <w:highlight w:val="none"/>
                <w:lang w:bidi="ar"/>
                <w14:textFill>
                  <w14:solidFill>
                    <w14:schemeClr w14:val="tx1"/>
                  </w14:solidFill>
                </w14:textFill>
              </w:rPr>
              <w:t>贵溪市</w:t>
            </w:r>
          </w:p>
        </w:tc>
        <w:tc>
          <w:tcPr>
            <w:tcW w:w="529" w:type="pct"/>
            <w:tcBorders>
              <w:top w:val="single" w:color="000000" w:sz="4" w:space="0"/>
              <w:left w:val="single" w:color="000000" w:sz="4" w:space="0"/>
              <w:bottom w:val="single" w:color="000000" w:sz="4" w:space="0"/>
              <w:right w:val="single" w:color="000000" w:sz="4" w:space="0"/>
            </w:tcBorders>
            <w:noWrap/>
            <w:vAlign w:val="center"/>
          </w:tcPr>
          <w:p w14:paraId="337AD18F">
            <w:pPr>
              <w:jc w:val="center"/>
              <w:textAlignment w:val="center"/>
              <w:rPr>
                <w:rFonts w:hint="eastAsia" w:ascii="宋体" w:hAnsi="宋体" w:eastAsia="宋体" w:cs="宋体"/>
                <w:b/>
                <w:bCs/>
                <w:color w:val="000000" w:themeColor="text1"/>
                <w:spacing w:val="-6"/>
                <w:w w:val="95"/>
                <w:sz w:val="24"/>
                <w:szCs w:val="24"/>
                <w:highlight w:val="none"/>
                <w14:textFill>
                  <w14:solidFill>
                    <w14:schemeClr w14:val="tx1"/>
                  </w14:solidFill>
                </w14:textFill>
              </w:rPr>
            </w:pPr>
            <w:r>
              <w:rPr>
                <w:rFonts w:hint="eastAsia" w:ascii="宋体" w:hAnsi="宋体" w:eastAsia="宋体" w:cs="宋体"/>
                <w:b/>
                <w:bCs/>
                <w:color w:val="000000" w:themeColor="text1"/>
                <w:spacing w:val="-6"/>
                <w:w w:val="95"/>
                <w:sz w:val="24"/>
                <w:szCs w:val="24"/>
                <w:highlight w:val="none"/>
                <w:lang w:bidi="ar"/>
                <w14:textFill>
                  <w14:solidFill>
                    <w14:schemeClr w14:val="tx1"/>
                  </w14:solidFill>
                </w14:textFill>
              </w:rPr>
              <w:t>余江区</w:t>
            </w:r>
          </w:p>
        </w:tc>
        <w:tc>
          <w:tcPr>
            <w:tcW w:w="509" w:type="pct"/>
            <w:tcBorders>
              <w:top w:val="single" w:color="000000" w:sz="4" w:space="0"/>
              <w:left w:val="single" w:color="000000" w:sz="4" w:space="0"/>
              <w:bottom w:val="single" w:color="000000" w:sz="4" w:space="0"/>
              <w:right w:val="single" w:color="000000" w:sz="4" w:space="0"/>
            </w:tcBorders>
            <w:noWrap/>
            <w:vAlign w:val="center"/>
          </w:tcPr>
          <w:p w14:paraId="19EC9783">
            <w:pPr>
              <w:jc w:val="center"/>
              <w:textAlignment w:val="center"/>
              <w:rPr>
                <w:rFonts w:hint="eastAsia" w:ascii="宋体" w:hAnsi="宋体" w:eastAsia="宋体" w:cs="宋体"/>
                <w:b/>
                <w:bCs/>
                <w:color w:val="000000" w:themeColor="text1"/>
                <w:spacing w:val="-6"/>
                <w:w w:val="95"/>
                <w:sz w:val="24"/>
                <w:szCs w:val="24"/>
                <w:highlight w:val="none"/>
                <w14:textFill>
                  <w14:solidFill>
                    <w14:schemeClr w14:val="tx1"/>
                  </w14:solidFill>
                </w14:textFill>
              </w:rPr>
            </w:pPr>
            <w:r>
              <w:rPr>
                <w:rFonts w:hint="eastAsia" w:ascii="宋体" w:hAnsi="宋体" w:eastAsia="宋体" w:cs="宋体"/>
                <w:b/>
                <w:bCs/>
                <w:color w:val="000000" w:themeColor="text1"/>
                <w:spacing w:val="-6"/>
                <w:w w:val="95"/>
                <w:sz w:val="24"/>
                <w:szCs w:val="24"/>
                <w:highlight w:val="none"/>
                <w:lang w:bidi="ar"/>
                <w14:textFill>
                  <w14:solidFill>
                    <w14:schemeClr w14:val="tx1"/>
                  </w14:solidFill>
                </w14:textFill>
              </w:rPr>
              <w:t>高新区</w:t>
            </w:r>
          </w:p>
        </w:tc>
        <w:tc>
          <w:tcPr>
            <w:tcW w:w="532" w:type="pct"/>
            <w:tcBorders>
              <w:top w:val="single" w:color="000000" w:sz="4" w:space="0"/>
              <w:left w:val="single" w:color="000000" w:sz="4" w:space="0"/>
              <w:bottom w:val="single" w:color="000000" w:sz="4" w:space="0"/>
              <w:right w:val="single" w:color="000000" w:sz="4" w:space="0"/>
            </w:tcBorders>
            <w:noWrap/>
            <w:vAlign w:val="center"/>
          </w:tcPr>
          <w:p w14:paraId="238A9D89">
            <w:pPr>
              <w:jc w:val="center"/>
              <w:textAlignment w:val="center"/>
              <w:rPr>
                <w:rFonts w:hint="eastAsia" w:ascii="宋体" w:hAnsi="宋体" w:eastAsia="宋体" w:cs="宋体"/>
                <w:b/>
                <w:bCs/>
                <w:color w:val="000000" w:themeColor="text1"/>
                <w:spacing w:val="-6"/>
                <w:w w:val="95"/>
                <w:sz w:val="24"/>
                <w:szCs w:val="24"/>
                <w:highlight w:val="none"/>
                <w14:textFill>
                  <w14:solidFill>
                    <w14:schemeClr w14:val="tx1"/>
                  </w14:solidFill>
                </w14:textFill>
              </w:rPr>
            </w:pPr>
            <w:r>
              <w:rPr>
                <w:rFonts w:hint="eastAsia" w:ascii="宋体" w:hAnsi="宋体" w:eastAsia="宋体" w:cs="宋体"/>
                <w:b/>
                <w:bCs/>
                <w:color w:val="000000" w:themeColor="text1"/>
                <w:spacing w:val="-6"/>
                <w:w w:val="95"/>
                <w:sz w:val="24"/>
                <w:szCs w:val="24"/>
                <w:highlight w:val="none"/>
                <w:lang w:bidi="ar"/>
                <w14:textFill>
                  <w14:solidFill>
                    <w14:schemeClr w14:val="tx1"/>
                  </w14:solidFill>
                </w14:textFill>
              </w:rPr>
              <w:t>月湖区</w:t>
            </w:r>
          </w:p>
        </w:tc>
      </w:tr>
      <w:tr w14:paraId="52D06468">
        <w:tblPrEx>
          <w:tblCellMar>
            <w:top w:w="0" w:type="dxa"/>
            <w:left w:w="108" w:type="dxa"/>
            <w:bottom w:w="0" w:type="dxa"/>
            <w:right w:w="108" w:type="dxa"/>
          </w:tblCellMar>
        </w:tblPrEx>
        <w:trPr>
          <w:trHeight w:val="629" w:hRule="atLeast"/>
          <w:jc w:val="center"/>
        </w:trPr>
        <w:tc>
          <w:tcPr>
            <w:tcW w:w="345" w:type="pct"/>
            <w:vMerge w:val="restart"/>
            <w:tcBorders>
              <w:top w:val="single" w:color="000000" w:sz="4" w:space="0"/>
              <w:left w:val="single" w:color="000000" w:sz="4" w:space="0"/>
              <w:right w:val="single" w:color="000000" w:sz="4" w:space="0"/>
            </w:tcBorders>
            <w:noWrap/>
            <w:vAlign w:val="center"/>
          </w:tcPr>
          <w:p w14:paraId="3E8184EA">
            <w:pPr>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1</w:t>
            </w:r>
          </w:p>
        </w:tc>
        <w:tc>
          <w:tcPr>
            <w:tcW w:w="1732" w:type="pct"/>
            <w:tcBorders>
              <w:top w:val="single" w:color="000000" w:sz="4" w:space="0"/>
              <w:left w:val="single" w:color="000000" w:sz="4" w:space="0"/>
              <w:bottom w:val="single" w:color="000000" w:sz="4" w:space="0"/>
              <w:right w:val="single" w:color="000000" w:sz="4" w:space="0"/>
            </w:tcBorders>
            <w:noWrap/>
            <w:vAlign w:val="center"/>
          </w:tcPr>
          <w:p w14:paraId="27852AAE">
            <w:pPr>
              <w:jc w:val="center"/>
              <w:textAlignment w:val="cente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t>深度利用工业互联网生态提升企业</w:t>
            </w:r>
          </w:p>
        </w:tc>
        <w:tc>
          <w:tcPr>
            <w:tcW w:w="331" w:type="pct"/>
            <w:vMerge w:val="restart"/>
            <w:tcBorders>
              <w:top w:val="single" w:color="000000" w:sz="4" w:space="0"/>
              <w:left w:val="single" w:color="000000" w:sz="4" w:space="0"/>
              <w:right w:val="single" w:color="000000" w:sz="4" w:space="0"/>
            </w:tcBorders>
            <w:noWrap/>
            <w:vAlign w:val="center"/>
          </w:tcPr>
          <w:p w14:paraId="4F56B3C0">
            <w:pPr>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家</w:t>
            </w:r>
          </w:p>
        </w:tc>
        <w:tc>
          <w:tcPr>
            <w:tcW w:w="509" w:type="pct"/>
            <w:tcBorders>
              <w:top w:val="single" w:color="000000" w:sz="4" w:space="0"/>
              <w:left w:val="single" w:color="000000" w:sz="4" w:space="0"/>
              <w:bottom w:val="single" w:color="000000" w:sz="4" w:space="0"/>
              <w:right w:val="single" w:color="000000" w:sz="4" w:space="0"/>
            </w:tcBorders>
            <w:noWrap/>
            <w:vAlign w:val="center"/>
          </w:tcPr>
          <w:p w14:paraId="7A2D0B1E">
            <w:pPr>
              <w:jc w:val="center"/>
              <w:textAlignment w:val="center"/>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600</w:t>
            </w:r>
          </w:p>
        </w:tc>
        <w:tc>
          <w:tcPr>
            <w:tcW w:w="510" w:type="pct"/>
            <w:tcBorders>
              <w:top w:val="single" w:color="000000" w:sz="4" w:space="0"/>
              <w:left w:val="single" w:color="000000" w:sz="4" w:space="0"/>
              <w:bottom w:val="single" w:color="000000" w:sz="4" w:space="0"/>
              <w:right w:val="single" w:color="000000" w:sz="4" w:space="0"/>
            </w:tcBorders>
            <w:noWrap/>
            <w:vAlign w:val="center"/>
          </w:tcPr>
          <w:p w14:paraId="61170EF1">
            <w:pPr>
              <w:jc w:val="center"/>
              <w:textAlignment w:val="center"/>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230</w:t>
            </w:r>
          </w:p>
        </w:tc>
        <w:tc>
          <w:tcPr>
            <w:tcW w:w="529" w:type="pct"/>
            <w:tcBorders>
              <w:top w:val="single" w:color="000000" w:sz="4" w:space="0"/>
              <w:left w:val="single" w:color="000000" w:sz="4" w:space="0"/>
              <w:bottom w:val="single" w:color="000000" w:sz="4" w:space="0"/>
              <w:right w:val="single" w:color="000000" w:sz="4" w:space="0"/>
            </w:tcBorders>
            <w:noWrap/>
            <w:vAlign w:val="center"/>
          </w:tcPr>
          <w:p w14:paraId="2B889B79">
            <w:pPr>
              <w:jc w:val="center"/>
              <w:textAlignment w:val="center"/>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160</w:t>
            </w:r>
          </w:p>
        </w:tc>
        <w:tc>
          <w:tcPr>
            <w:tcW w:w="509" w:type="pct"/>
            <w:tcBorders>
              <w:top w:val="single" w:color="000000" w:sz="4" w:space="0"/>
              <w:left w:val="single" w:color="000000" w:sz="4" w:space="0"/>
              <w:bottom w:val="single" w:color="000000" w:sz="4" w:space="0"/>
              <w:right w:val="single" w:color="000000" w:sz="4" w:space="0"/>
            </w:tcBorders>
            <w:noWrap/>
            <w:vAlign w:val="center"/>
          </w:tcPr>
          <w:p w14:paraId="00B589ED">
            <w:pPr>
              <w:jc w:val="center"/>
              <w:textAlignment w:val="center"/>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195</w:t>
            </w:r>
          </w:p>
        </w:tc>
        <w:tc>
          <w:tcPr>
            <w:tcW w:w="532" w:type="pct"/>
            <w:tcBorders>
              <w:top w:val="single" w:color="000000" w:sz="4" w:space="0"/>
              <w:left w:val="single" w:color="000000" w:sz="4" w:space="0"/>
              <w:bottom w:val="single" w:color="000000" w:sz="4" w:space="0"/>
              <w:right w:val="single" w:color="000000" w:sz="4" w:space="0"/>
            </w:tcBorders>
            <w:noWrap/>
            <w:vAlign w:val="center"/>
          </w:tcPr>
          <w:p w14:paraId="71499505">
            <w:pPr>
              <w:jc w:val="center"/>
              <w:textAlignment w:val="center"/>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15</w:t>
            </w:r>
          </w:p>
        </w:tc>
      </w:tr>
      <w:tr w14:paraId="60D4BE6F">
        <w:tblPrEx>
          <w:tblCellMar>
            <w:top w:w="0" w:type="dxa"/>
            <w:left w:w="108" w:type="dxa"/>
            <w:bottom w:w="0" w:type="dxa"/>
            <w:right w:w="108" w:type="dxa"/>
          </w:tblCellMar>
        </w:tblPrEx>
        <w:trPr>
          <w:trHeight w:val="629" w:hRule="atLeast"/>
          <w:jc w:val="center"/>
        </w:trPr>
        <w:tc>
          <w:tcPr>
            <w:tcW w:w="345" w:type="pct"/>
            <w:vMerge w:val="continue"/>
            <w:tcBorders>
              <w:top w:val="single" w:color="000000" w:sz="4" w:space="0"/>
              <w:left w:val="single" w:color="000000" w:sz="4" w:space="0"/>
              <w:right w:val="single" w:color="000000" w:sz="4" w:space="0"/>
            </w:tcBorders>
            <w:noWrap/>
            <w:vAlign w:val="center"/>
          </w:tcPr>
          <w:p w14:paraId="23818885">
            <w:pPr>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p>
        </w:tc>
        <w:tc>
          <w:tcPr>
            <w:tcW w:w="1732" w:type="pct"/>
            <w:tcBorders>
              <w:top w:val="single" w:color="000000" w:sz="4" w:space="0"/>
              <w:left w:val="single" w:color="000000" w:sz="4" w:space="0"/>
              <w:bottom w:val="single" w:color="000000" w:sz="4" w:space="0"/>
              <w:right w:val="single" w:color="000000" w:sz="4" w:space="0"/>
            </w:tcBorders>
            <w:noWrap/>
            <w:vAlign w:val="center"/>
          </w:tcPr>
          <w:p w14:paraId="55A3A840">
            <w:pPr>
              <w:jc w:val="right"/>
              <w:textAlignment w:val="cente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
                <w14:textFill>
                  <w14:solidFill>
                    <w14:schemeClr w14:val="tx1"/>
                  </w14:solidFill>
                </w14:textFill>
              </w:rPr>
              <w:t>其中：2026年</w:t>
            </w:r>
          </w:p>
        </w:tc>
        <w:tc>
          <w:tcPr>
            <w:tcW w:w="331" w:type="pct"/>
            <w:vMerge w:val="continue"/>
            <w:tcBorders>
              <w:left w:val="single" w:color="000000" w:sz="4" w:space="0"/>
              <w:right w:val="single" w:color="000000" w:sz="4" w:space="0"/>
            </w:tcBorders>
            <w:noWrap/>
            <w:vAlign w:val="center"/>
          </w:tcPr>
          <w:p w14:paraId="2269EBC7">
            <w:pPr>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p>
        </w:tc>
        <w:tc>
          <w:tcPr>
            <w:tcW w:w="509" w:type="pct"/>
            <w:tcBorders>
              <w:top w:val="single" w:color="000000" w:sz="4" w:space="0"/>
              <w:left w:val="single" w:color="000000" w:sz="4" w:space="0"/>
              <w:bottom w:val="single" w:color="000000" w:sz="4" w:space="0"/>
              <w:right w:val="single" w:color="000000" w:sz="4" w:space="0"/>
            </w:tcBorders>
            <w:noWrap/>
            <w:vAlign w:val="center"/>
          </w:tcPr>
          <w:p w14:paraId="54C0CC0F">
            <w:pPr>
              <w:jc w:val="center"/>
              <w:textAlignment w:val="center"/>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350</w:t>
            </w:r>
          </w:p>
        </w:tc>
        <w:tc>
          <w:tcPr>
            <w:tcW w:w="510" w:type="pct"/>
            <w:tcBorders>
              <w:top w:val="single" w:color="000000" w:sz="4" w:space="0"/>
              <w:left w:val="single" w:color="000000" w:sz="4" w:space="0"/>
              <w:bottom w:val="single" w:color="000000" w:sz="4" w:space="0"/>
              <w:right w:val="single" w:color="000000" w:sz="4" w:space="0"/>
            </w:tcBorders>
            <w:noWrap/>
            <w:vAlign w:val="center"/>
          </w:tcPr>
          <w:p w14:paraId="49ACA8F6">
            <w:pPr>
              <w:jc w:val="center"/>
              <w:textAlignment w:val="center"/>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135</w:t>
            </w:r>
          </w:p>
        </w:tc>
        <w:tc>
          <w:tcPr>
            <w:tcW w:w="529" w:type="pct"/>
            <w:tcBorders>
              <w:top w:val="single" w:color="000000" w:sz="4" w:space="0"/>
              <w:left w:val="single" w:color="000000" w:sz="4" w:space="0"/>
              <w:bottom w:val="single" w:color="000000" w:sz="4" w:space="0"/>
              <w:right w:val="single" w:color="000000" w:sz="4" w:space="0"/>
            </w:tcBorders>
            <w:noWrap/>
            <w:vAlign w:val="center"/>
          </w:tcPr>
          <w:p w14:paraId="25CA368E">
            <w:pPr>
              <w:jc w:val="center"/>
              <w:textAlignment w:val="center"/>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98</w:t>
            </w:r>
          </w:p>
        </w:tc>
        <w:tc>
          <w:tcPr>
            <w:tcW w:w="509" w:type="pct"/>
            <w:tcBorders>
              <w:top w:val="single" w:color="000000" w:sz="4" w:space="0"/>
              <w:left w:val="single" w:color="000000" w:sz="4" w:space="0"/>
              <w:bottom w:val="single" w:color="000000" w:sz="4" w:space="0"/>
              <w:right w:val="single" w:color="000000" w:sz="4" w:space="0"/>
            </w:tcBorders>
            <w:noWrap/>
            <w:vAlign w:val="center"/>
          </w:tcPr>
          <w:p w14:paraId="6C50E30B">
            <w:pPr>
              <w:jc w:val="center"/>
              <w:textAlignment w:val="center"/>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107</w:t>
            </w:r>
          </w:p>
        </w:tc>
        <w:tc>
          <w:tcPr>
            <w:tcW w:w="532" w:type="pct"/>
            <w:tcBorders>
              <w:top w:val="single" w:color="000000" w:sz="4" w:space="0"/>
              <w:left w:val="single" w:color="000000" w:sz="4" w:space="0"/>
              <w:bottom w:val="single" w:color="000000" w:sz="4" w:space="0"/>
              <w:right w:val="single" w:color="000000" w:sz="4" w:space="0"/>
            </w:tcBorders>
            <w:noWrap/>
            <w:vAlign w:val="center"/>
          </w:tcPr>
          <w:p w14:paraId="1DF5B0FE">
            <w:pPr>
              <w:jc w:val="center"/>
              <w:textAlignment w:val="center"/>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10</w:t>
            </w:r>
          </w:p>
        </w:tc>
      </w:tr>
      <w:tr w14:paraId="5ADF0685">
        <w:tblPrEx>
          <w:tblCellMar>
            <w:top w:w="0" w:type="dxa"/>
            <w:left w:w="108" w:type="dxa"/>
            <w:bottom w:w="0" w:type="dxa"/>
            <w:right w:w="108" w:type="dxa"/>
          </w:tblCellMar>
        </w:tblPrEx>
        <w:trPr>
          <w:trHeight w:val="629" w:hRule="atLeast"/>
          <w:jc w:val="center"/>
        </w:trPr>
        <w:tc>
          <w:tcPr>
            <w:tcW w:w="345" w:type="pct"/>
            <w:vMerge w:val="restart"/>
            <w:tcBorders>
              <w:top w:val="single" w:color="000000" w:sz="4" w:space="0"/>
              <w:left w:val="single" w:color="000000" w:sz="4" w:space="0"/>
              <w:right w:val="single" w:color="000000" w:sz="4" w:space="0"/>
            </w:tcBorders>
            <w:shd w:val="clear" w:color="auto" w:fill="auto"/>
            <w:noWrap/>
            <w:vAlign w:val="center"/>
          </w:tcPr>
          <w:p w14:paraId="687AF956">
            <w:pPr>
              <w:jc w:val="center"/>
              <w:textAlignment w:val="center"/>
              <w:rPr>
                <w:rFonts w:hint="default"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2</w:t>
            </w:r>
          </w:p>
        </w:tc>
        <w:tc>
          <w:tcPr>
            <w:tcW w:w="1732" w:type="pct"/>
            <w:tcBorders>
              <w:top w:val="single" w:color="000000" w:sz="4" w:space="0"/>
              <w:left w:val="single" w:color="000000" w:sz="4" w:space="0"/>
              <w:bottom w:val="single" w:color="000000" w:sz="4" w:space="0"/>
              <w:right w:val="single" w:color="000000" w:sz="4" w:space="0"/>
            </w:tcBorders>
            <w:noWrap/>
            <w:vAlign w:val="center"/>
          </w:tcPr>
          <w:p w14:paraId="5ACF64AC">
            <w:pPr>
              <w:keepNext w:val="0"/>
              <w:keepLines w:val="0"/>
              <w:pageBreakBefore w:val="0"/>
              <w:widowControl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t>企业提档升级至L7级及以上</w:t>
            </w:r>
          </w:p>
        </w:tc>
        <w:tc>
          <w:tcPr>
            <w:tcW w:w="331" w:type="pct"/>
            <w:vMerge w:val="restart"/>
            <w:tcBorders>
              <w:top w:val="single" w:color="000000" w:sz="4" w:space="0"/>
              <w:left w:val="single" w:color="000000" w:sz="4" w:space="0"/>
              <w:right w:val="single" w:color="000000" w:sz="4" w:space="0"/>
            </w:tcBorders>
            <w:noWrap/>
            <w:vAlign w:val="center"/>
          </w:tcPr>
          <w:p w14:paraId="233675B6">
            <w:pPr>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家</w:t>
            </w:r>
          </w:p>
        </w:tc>
        <w:tc>
          <w:tcPr>
            <w:tcW w:w="509" w:type="pct"/>
            <w:tcBorders>
              <w:top w:val="single" w:color="000000" w:sz="4" w:space="0"/>
              <w:left w:val="single" w:color="000000" w:sz="4" w:space="0"/>
              <w:bottom w:val="single" w:color="000000" w:sz="4" w:space="0"/>
              <w:right w:val="single" w:color="000000" w:sz="4" w:space="0"/>
            </w:tcBorders>
            <w:noWrap/>
            <w:vAlign w:val="center"/>
          </w:tcPr>
          <w:p w14:paraId="6864D38F">
            <w:pPr>
              <w:jc w:val="center"/>
              <w:textAlignment w:val="center"/>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80</w:t>
            </w:r>
          </w:p>
        </w:tc>
        <w:tc>
          <w:tcPr>
            <w:tcW w:w="510" w:type="pct"/>
            <w:tcBorders>
              <w:top w:val="single" w:color="000000" w:sz="4" w:space="0"/>
              <w:left w:val="single" w:color="000000" w:sz="4" w:space="0"/>
              <w:bottom w:val="single" w:color="000000" w:sz="4" w:space="0"/>
              <w:right w:val="single" w:color="000000" w:sz="4" w:space="0"/>
            </w:tcBorders>
            <w:noWrap/>
            <w:vAlign w:val="center"/>
          </w:tcPr>
          <w:p w14:paraId="3FB353A5">
            <w:pPr>
              <w:jc w:val="center"/>
              <w:textAlignment w:val="center"/>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32</w:t>
            </w:r>
          </w:p>
        </w:tc>
        <w:tc>
          <w:tcPr>
            <w:tcW w:w="529" w:type="pct"/>
            <w:tcBorders>
              <w:top w:val="single" w:color="000000" w:sz="4" w:space="0"/>
              <w:left w:val="single" w:color="000000" w:sz="4" w:space="0"/>
              <w:bottom w:val="single" w:color="000000" w:sz="4" w:space="0"/>
              <w:right w:val="single" w:color="000000" w:sz="4" w:space="0"/>
            </w:tcBorders>
            <w:noWrap/>
            <w:vAlign w:val="center"/>
          </w:tcPr>
          <w:p w14:paraId="0C35627B">
            <w:pPr>
              <w:jc w:val="center"/>
              <w:textAlignment w:val="center"/>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20</w:t>
            </w:r>
          </w:p>
        </w:tc>
        <w:tc>
          <w:tcPr>
            <w:tcW w:w="509" w:type="pct"/>
            <w:tcBorders>
              <w:top w:val="single" w:color="000000" w:sz="4" w:space="0"/>
              <w:left w:val="single" w:color="000000" w:sz="4" w:space="0"/>
              <w:bottom w:val="single" w:color="000000" w:sz="4" w:space="0"/>
              <w:right w:val="single" w:color="000000" w:sz="4" w:space="0"/>
            </w:tcBorders>
            <w:noWrap/>
            <w:vAlign w:val="center"/>
          </w:tcPr>
          <w:p w14:paraId="2B387FEB">
            <w:pPr>
              <w:jc w:val="center"/>
              <w:textAlignment w:val="center"/>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27</w:t>
            </w:r>
          </w:p>
        </w:tc>
        <w:tc>
          <w:tcPr>
            <w:tcW w:w="532" w:type="pct"/>
            <w:tcBorders>
              <w:top w:val="single" w:color="000000" w:sz="4" w:space="0"/>
              <w:left w:val="single" w:color="000000" w:sz="4" w:space="0"/>
              <w:bottom w:val="single" w:color="000000" w:sz="4" w:space="0"/>
              <w:right w:val="single" w:color="000000" w:sz="4" w:space="0"/>
            </w:tcBorders>
            <w:noWrap/>
            <w:vAlign w:val="center"/>
          </w:tcPr>
          <w:p w14:paraId="4B897AAC">
            <w:pPr>
              <w:jc w:val="center"/>
              <w:textAlignment w:val="center"/>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w:t>
            </w:r>
          </w:p>
        </w:tc>
      </w:tr>
      <w:tr w14:paraId="36686302">
        <w:tblPrEx>
          <w:tblCellMar>
            <w:top w:w="0" w:type="dxa"/>
            <w:left w:w="108" w:type="dxa"/>
            <w:bottom w:w="0" w:type="dxa"/>
            <w:right w:w="108" w:type="dxa"/>
          </w:tblCellMar>
        </w:tblPrEx>
        <w:trPr>
          <w:trHeight w:val="629" w:hRule="atLeast"/>
          <w:jc w:val="center"/>
        </w:trPr>
        <w:tc>
          <w:tcPr>
            <w:tcW w:w="345" w:type="pct"/>
            <w:vMerge w:val="continue"/>
            <w:tcBorders>
              <w:left w:val="single" w:color="000000" w:sz="4" w:space="0"/>
              <w:bottom w:val="single" w:color="000000" w:sz="4" w:space="0"/>
              <w:right w:val="single" w:color="000000" w:sz="4" w:space="0"/>
            </w:tcBorders>
            <w:shd w:val="clear" w:color="auto" w:fill="auto"/>
            <w:noWrap/>
            <w:vAlign w:val="center"/>
          </w:tcPr>
          <w:p w14:paraId="6208ACD1">
            <w:pPr>
              <w:jc w:val="center"/>
              <w:textAlignment w:val="center"/>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p>
        </w:tc>
        <w:tc>
          <w:tcPr>
            <w:tcW w:w="1732" w:type="pct"/>
            <w:tcBorders>
              <w:top w:val="single" w:color="000000" w:sz="4" w:space="0"/>
              <w:left w:val="single" w:color="000000" w:sz="4" w:space="0"/>
              <w:bottom w:val="single" w:color="000000" w:sz="4" w:space="0"/>
              <w:right w:val="single" w:color="000000" w:sz="4" w:space="0"/>
            </w:tcBorders>
            <w:noWrap/>
            <w:vAlign w:val="center"/>
          </w:tcPr>
          <w:p w14:paraId="35428350">
            <w:pPr>
              <w:keepNext w:val="0"/>
              <w:keepLines w:val="0"/>
              <w:pageBreakBefore w:val="0"/>
              <w:widowControl w:val="0"/>
              <w:kinsoku/>
              <w:wordWrap/>
              <w:overflowPunct/>
              <w:topLinePunct w:val="0"/>
              <w:autoSpaceDE/>
              <w:autoSpaceDN/>
              <w:bidi w:val="0"/>
              <w:adjustRightInd/>
              <w:snapToGrid/>
              <w:spacing w:line="280" w:lineRule="exact"/>
              <w:jc w:val="right"/>
              <w:textAlignment w:val="cente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
                <w14:textFill>
                  <w14:solidFill>
                    <w14:schemeClr w14:val="tx1"/>
                  </w14:solidFill>
                </w14:textFill>
              </w:rPr>
              <w:t>其中：2026年</w:t>
            </w:r>
          </w:p>
        </w:tc>
        <w:tc>
          <w:tcPr>
            <w:tcW w:w="331" w:type="pct"/>
            <w:vMerge w:val="continue"/>
            <w:tcBorders>
              <w:left w:val="single" w:color="000000" w:sz="4" w:space="0"/>
              <w:bottom w:val="single" w:color="000000" w:sz="4" w:space="0"/>
              <w:right w:val="single" w:color="000000" w:sz="4" w:space="0"/>
            </w:tcBorders>
            <w:noWrap/>
            <w:vAlign w:val="center"/>
          </w:tcPr>
          <w:p w14:paraId="659D2501">
            <w:pPr>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p>
        </w:tc>
        <w:tc>
          <w:tcPr>
            <w:tcW w:w="5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E43623">
            <w:pPr>
              <w:jc w:val="center"/>
              <w:textAlignment w:val="center"/>
              <w:rPr>
                <w:rFonts w:hint="default" w:ascii="宋体" w:hAnsi="宋体" w:eastAsia="宋体" w:cs="宋体"/>
                <w:b w:val="0"/>
                <w:bCs w:val="0"/>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4"/>
                <w:szCs w:val="24"/>
                <w:highlight w:val="none"/>
                <w:lang w:val="en-US" w:eastAsia="zh-CN" w:bidi="ar-SA"/>
                <w14:textFill>
                  <w14:solidFill>
                    <w14:schemeClr w14:val="tx1"/>
                  </w14:solidFill>
                </w14:textFill>
              </w:rPr>
              <w:t>30</w:t>
            </w:r>
          </w:p>
        </w:tc>
        <w:tc>
          <w:tcPr>
            <w:tcW w:w="5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1A0DB">
            <w:pPr>
              <w:jc w:val="center"/>
              <w:textAlignment w:val="center"/>
              <w:rPr>
                <w:rFonts w:hint="default" w:ascii="宋体" w:hAnsi="宋体" w:eastAsia="宋体" w:cs="宋体"/>
                <w:b w:val="0"/>
                <w:bCs w:val="0"/>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4"/>
                <w:szCs w:val="24"/>
                <w:highlight w:val="none"/>
                <w:lang w:val="en-US" w:eastAsia="zh-CN" w:bidi="ar-SA"/>
                <w14:textFill>
                  <w14:solidFill>
                    <w14:schemeClr w14:val="tx1"/>
                  </w14:solidFill>
                </w14:textFill>
              </w:rPr>
              <w:t>12</w:t>
            </w:r>
          </w:p>
        </w:tc>
        <w:tc>
          <w:tcPr>
            <w:tcW w:w="5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D7ACA">
            <w:pPr>
              <w:jc w:val="center"/>
              <w:textAlignment w:val="center"/>
              <w:rPr>
                <w:rFonts w:hint="default" w:ascii="宋体" w:hAnsi="宋体" w:eastAsia="宋体" w:cs="宋体"/>
                <w:b w:val="0"/>
                <w:bCs w:val="0"/>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4"/>
                <w:szCs w:val="24"/>
                <w:highlight w:val="none"/>
                <w:lang w:val="en-US" w:eastAsia="zh-CN" w:bidi="ar-SA"/>
                <w14:textFill>
                  <w14:solidFill>
                    <w14:schemeClr w14:val="tx1"/>
                  </w14:solidFill>
                </w14:textFill>
              </w:rPr>
              <w:t>8</w:t>
            </w:r>
          </w:p>
        </w:tc>
        <w:tc>
          <w:tcPr>
            <w:tcW w:w="5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ADB0A">
            <w:pPr>
              <w:jc w:val="center"/>
              <w:textAlignment w:val="center"/>
              <w:rPr>
                <w:rFonts w:hint="default" w:ascii="宋体" w:hAnsi="宋体" w:eastAsia="宋体" w:cs="宋体"/>
                <w:b w:val="0"/>
                <w:bCs w:val="0"/>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4"/>
                <w:szCs w:val="24"/>
                <w:highlight w:val="none"/>
                <w:lang w:val="en-US" w:eastAsia="zh-CN" w:bidi="ar-SA"/>
                <w14:textFill>
                  <w14:solidFill>
                    <w14:schemeClr w14:val="tx1"/>
                  </w14:solidFill>
                </w14:textFill>
              </w:rPr>
              <w:t>10</w:t>
            </w:r>
          </w:p>
        </w:tc>
        <w:tc>
          <w:tcPr>
            <w:tcW w:w="5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2661A">
            <w:pPr>
              <w:jc w:val="center"/>
              <w:textAlignment w:val="center"/>
              <w:rPr>
                <w:rFonts w:hint="default" w:ascii="宋体" w:hAnsi="宋体" w:eastAsia="宋体" w:cs="宋体"/>
                <w:b w:val="0"/>
                <w:bCs w:val="0"/>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4"/>
                <w:szCs w:val="24"/>
                <w:highlight w:val="none"/>
                <w:lang w:val="en-US" w:eastAsia="zh-CN" w:bidi="ar-SA"/>
                <w14:textFill>
                  <w14:solidFill>
                    <w14:schemeClr w14:val="tx1"/>
                  </w14:solidFill>
                </w14:textFill>
              </w:rPr>
              <w:t>0</w:t>
            </w:r>
          </w:p>
        </w:tc>
      </w:tr>
      <w:tr w14:paraId="5765DEB8">
        <w:tblPrEx>
          <w:tblCellMar>
            <w:top w:w="0" w:type="dxa"/>
            <w:left w:w="108" w:type="dxa"/>
            <w:bottom w:w="0" w:type="dxa"/>
            <w:right w:w="108" w:type="dxa"/>
          </w:tblCellMar>
        </w:tblPrEx>
        <w:trPr>
          <w:trHeight w:val="629" w:hRule="atLeast"/>
          <w:jc w:val="center"/>
        </w:trPr>
        <w:tc>
          <w:tcPr>
            <w:tcW w:w="3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58CC3">
            <w:pPr>
              <w:jc w:val="center"/>
              <w:textAlignment w:val="center"/>
              <w:rPr>
                <w:rFonts w:hint="default"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3</w:t>
            </w:r>
          </w:p>
        </w:tc>
        <w:tc>
          <w:tcPr>
            <w:tcW w:w="1732" w:type="pct"/>
            <w:tcBorders>
              <w:top w:val="single" w:color="000000" w:sz="4" w:space="0"/>
              <w:left w:val="single" w:color="000000" w:sz="4" w:space="0"/>
              <w:bottom w:val="single" w:color="000000" w:sz="4" w:space="0"/>
              <w:right w:val="single" w:color="000000" w:sz="4" w:space="0"/>
            </w:tcBorders>
            <w:noWrap/>
            <w:vAlign w:val="center"/>
          </w:tcPr>
          <w:p w14:paraId="46EBB30B">
            <w:pPr>
              <w:jc w:val="center"/>
              <w:textAlignment w:val="cente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t>省级</w:t>
            </w:r>
            <w:r>
              <w:rPr>
                <w:rFonts w:hint="eastAsia" w:ascii="宋体" w:hAnsi="宋体" w:eastAsia="宋体" w:cs="宋体"/>
                <w:b/>
                <w:bCs/>
                <w:color w:val="000000" w:themeColor="text1"/>
                <w:sz w:val="24"/>
                <w:szCs w:val="24"/>
                <w:highlight w:val="none"/>
                <w:lang w:eastAsia="zh-CN" w:bidi="ar"/>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t>数智标杆</w:t>
            </w:r>
            <w:r>
              <w:rPr>
                <w:rFonts w:hint="eastAsia" w:ascii="宋体" w:hAnsi="宋体" w:eastAsia="宋体" w:cs="宋体"/>
                <w:b/>
                <w:bCs/>
                <w:color w:val="000000" w:themeColor="text1"/>
                <w:sz w:val="24"/>
                <w:szCs w:val="24"/>
                <w:highlight w:val="none"/>
                <w:lang w:eastAsia="zh-CN" w:bidi="ar"/>
                <w14:textFill>
                  <w14:solidFill>
                    <w14:schemeClr w14:val="tx1"/>
                  </w14:solidFill>
                </w14:textFill>
              </w:rPr>
              <w:t>”</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7934AA0">
            <w:pPr>
              <w:jc w:val="center"/>
              <w:textAlignment w:val="center"/>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家</w:t>
            </w:r>
          </w:p>
        </w:tc>
        <w:tc>
          <w:tcPr>
            <w:tcW w:w="509" w:type="pct"/>
            <w:tcBorders>
              <w:top w:val="single" w:color="000000" w:sz="4" w:space="0"/>
              <w:left w:val="single" w:color="000000" w:sz="4" w:space="0"/>
              <w:bottom w:val="single" w:color="000000" w:sz="4" w:space="0"/>
              <w:right w:val="single" w:color="000000" w:sz="4" w:space="0"/>
            </w:tcBorders>
            <w:noWrap/>
            <w:vAlign w:val="center"/>
          </w:tcPr>
          <w:p w14:paraId="0BB7D004">
            <w:pPr>
              <w:jc w:val="center"/>
              <w:textAlignment w:val="center"/>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16</w:t>
            </w:r>
          </w:p>
        </w:tc>
        <w:tc>
          <w:tcPr>
            <w:tcW w:w="510" w:type="pct"/>
            <w:tcBorders>
              <w:top w:val="single" w:color="000000" w:sz="4" w:space="0"/>
              <w:left w:val="single" w:color="000000" w:sz="4" w:space="0"/>
              <w:bottom w:val="single" w:color="000000" w:sz="4" w:space="0"/>
              <w:right w:val="single" w:color="000000" w:sz="4" w:space="0"/>
            </w:tcBorders>
            <w:noWrap/>
            <w:vAlign w:val="center"/>
          </w:tcPr>
          <w:p w14:paraId="519BBC7E">
            <w:pPr>
              <w:jc w:val="center"/>
              <w:textAlignment w:val="center"/>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6</w:t>
            </w:r>
          </w:p>
        </w:tc>
        <w:tc>
          <w:tcPr>
            <w:tcW w:w="529" w:type="pct"/>
            <w:tcBorders>
              <w:top w:val="single" w:color="000000" w:sz="4" w:space="0"/>
              <w:left w:val="single" w:color="000000" w:sz="4" w:space="0"/>
              <w:bottom w:val="single" w:color="000000" w:sz="4" w:space="0"/>
              <w:right w:val="single" w:color="000000" w:sz="4" w:space="0"/>
            </w:tcBorders>
            <w:noWrap/>
            <w:vAlign w:val="center"/>
          </w:tcPr>
          <w:p w14:paraId="28946A5B">
            <w:pPr>
              <w:jc w:val="center"/>
              <w:textAlignment w:val="center"/>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4</w:t>
            </w:r>
          </w:p>
        </w:tc>
        <w:tc>
          <w:tcPr>
            <w:tcW w:w="509" w:type="pct"/>
            <w:tcBorders>
              <w:top w:val="single" w:color="000000" w:sz="4" w:space="0"/>
              <w:left w:val="single" w:color="000000" w:sz="4" w:space="0"/>
              <w:bottom w:val="single" w:color="000000" w:sz="4" w:space="0"/>
              <w:right w:val="single" w:color="000000" w:sz="4" w:space="0"/>
            </w:tcBorders>
            <w:noWrap/>
            <w:vAlign w:val="center"/>
          </w:tcPr>
          <w:p w14:paraId="2E11D3AB">
            <w:pPr>
              <w:jc w:val="center"/>
              <w:textAlignment w:val="center"/>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6</w:t>
            </w:r>
          </w:p>
        </w:tc>
        <w:tc>
          <w:tcPr>
            <w:tcW w:w="532" w:type="pct"/>
            <w:tcBorders>
              <w:top w:val="single" w:color="000000" w:sz="4" w:space="0"/>
              <w:left w:val="single" w:color="000000" w:sz="4" w:space="0"/>
              <w:bottom w:val="single" w:color="000000" w:sz="4" w:space="0"/>
              <w:right w:val="single" w:color="000000" w:sz="4" w:space="0"/>
            </w:tcBorders>
            <w:noWrap/>
            <w:vAlign w:val="center"/>
          </w:tcPr>
          <w:p w14:paraId="022E0679">
            <w:pPr>
              <w:jc w:val="center"/>
              <w:textAlignment w:val="cente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0</w:t>
            </w:r>
          </w:p>
        </w:tc>
      </w:tr>
      <w:tr w14:paraId="5D162212">
        <w:tblPrEx>
          <w:tblCellMar>
            <w:top w:w="0" w:type="dxa"/>
            <w:left w:w="108" w:type="dxa"/>
            <w:bottom w:w="0" w:type="dxa"/>
            <w:right w:w="108" w:type="dxa"/>
          </w:tblCellMar>
        </w:tblPrEx>
        <w:trPr>
          <w:trHeight w:val="629" w:hRule="atLeast"/>
          <w:jc w:val="center"/>
        </w:trPr>
        <w:tc>
          <w:tcPr>
            <w:tcW w:w="3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227BF">
            <w:pPr>
              <w:jc w:val="center"/>
              <w:textAlignment w:val="center"/>
              <w:rPr>
                <w:rFonts w:hint="default"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4</w:t>
            </w:r>
          </w:p>
        </w:tc>
        <w:tc>
          <w:tcPr>
            <w:tcW w:w="1732" w:type="pct"/>
            <w:tcBorders>
              <w:top w:val="single" w:color="000000" w:sz="4" w:space="0"/>
              <w:left w:val="single" w:color="000000" w:sz="4" w:space="0"/>
              <w:bottom w:val="single" w:color="000000" w:sz="4" w:space="0"/>
              <w:right w:val="single" w:color="000000" w:sz="4" w:space="0"/>
            </w:tcBorders>
            <w:noWrap/>
            <w:vAlign w:val="center"/>
          </w:tcPr>
          <w:p w14:paraId="143E5671">
            <w:pPr>
              <w:jc w:val="center"/>
              <w:textAlignment w:val="center"/>
              <w:rPr>
                <w:rFonts w:hint="default" w:ascii="宋体" w:hAnsi="宋体" w:eastAsia="宋体" w:cs="宋体"/>
                <w:b/>
                <w:bCs/>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t>先进级智能制造工厂</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E002CC1">
            <w:pPr>
              <w:jc w:val="center"/>
              <w:textAlignment w:val="center"/>
              <w:rPr>
                <w:rFonts w:hint="default"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家</w:t>
            </w:r>
          </w:p>
        </w:tc>
        <w:tc>
          <w:tcPr>
            <w:tcW w:w="509" w:type="pct"/>
            <w:tcBorders>
              <w:top w:val="single" w:color="000000" w:sz="4" w:space="0"/>
              <w:left w:val="single" w:color="000000" w:sz="4" w:space="0"/>
              <w:bottom w:val="single" w:color="000000" w:sz="4" w:space="0"/>
              <w:right w:val="single" w:color="000000" w:sz="4" w:space="0"/>
            </w:tcBorders>
            <w:noWrap/>
            <w:vAlign w:val="center"/>
          </w:tcPr>
          <w:p w14:paraId="796BDF8C">
            <w:pPr>
              <w:jc w:val="center"/>
              <w:textAlignment w:val="center"/>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16</w:t>
            </w:r>
          </w:p>
        </w:tc>
        <w:tc>
          <w:tcPr>
            <w:tcW w:w="510" w:type="pct"/>
            <w:tcBorders>
              <w:top w:val="single" w:color="000000" w:sz="4" w:space="0"/>
              <w:left w:val="single" w:color="000000" w:sz="4" w:space="0"/>
              <w:bottom w:val="single" w:color="000000" w:sz="4" w:space="0"/>
              <w:right w:val="single" w:color="000000" w:sz="4" w:space="0"/>
            </w:tcBorders>
            <w:noWrap/>
            <w:vAlign w:val="center"/>
          </w:tcPr>
          <w:p w14:paraId="584BC39E">
            <w:pPr>
              <w:jc w:val="center"/>
              <w:textAlignment w:val="center"/>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6</w:t>
            </w:r>
          </w:p>
        </w:tc>
        <w:tc>
          <w:tcPr>
            <w:tcW w:w="529" w:type="pct"/>
            <w:tcBorders>
              <w:top w:val="single" w:color="000000" w:sz="4" w:space="0"/>
              <w:left w:val="single" w:color="000000" w:sz="4" w:space="0"/>
              <w:bottom w:val="single" w:color="000000" w:sz="4" w:space="0"/>
              <w:right w:val="single" w:color="000000" w:sz="4" w:space="0"/>
            </w:tcBorders>
            <w:noWrap/>
            <w:vAlign w:val="center"/>
          </w:tcPr>
          <w:p w14:paraId="0707ED56">
            <w:pPr>
              <w:jc w:val="center"/>
              <w:textAlignment w:val="center"/>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4</w:t>
            </w:r>
          </w:p>
        </w:tc>
        <w:tc>
          <w:tcPr>
            <w:tcW w:w="509" w:type="pct"/>
            <w:tcBorders>
              <w:top w:val="single" w:color="000000" w:sz="4" w:space="0"/>
              <w:left w:val="single" w:color="000000" w:sz="4" w:space="0"/>
              <w:bottom w:val="single" w:color="000000" w:sz="4" w:space="0"/>
              <w:right w:val="single" w:color="000000" w:sz="4" w:space="0"/>
            </w:tcBorders>
            <w:noWrap/>
            <w:vAlign w:val="center"/>
          </w:tcPr>
          <w:p w14:paraId="1D0485BC">
            <w:pPr>
              <w:jc w:val="center"/>
              <w:textAlignment w:val="center"/>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6</w:t>
            </w:r>
          </w:p>
        </w:tc>
        <w:tc>
          <w:tcPr>
            <w:tcW w:w="532" w:type="pct"/>
            <w:tcBorders>
              <w:top w:val="single" w:color="000000" w:sz="4" w:space="0"/>
              <w:left w:val="single" w:color="000000" w:sz="4" w:space="0"/>
              <w:bottom w:val="single" w:color="000000" w:sz="4" w:space="0"/>
              <w:right w:val="single" w:color="000000" w:sz="4" w:space="0"/>
            </w:tcBorders>
            <w:noWrap/>
            <w:vAlign w:val="center"/>
          </w:tcPr>
          <w:p w14:paraId="11E09E54">
            <w:pPr>
              <w:jc w:val="center"/>
              <w:textAlignment w:val="center"/>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0</w:t>
            </w:r>
          </w:p>
        </w:tc>
      </w:tr>
      <w:tr w14:paraId="088D5B92">
        <w:tblPrEx>
          <w:tblCellMar>
            <w:top w:w="0" w:type="dxa"/>
            <w:left w:w="108" w:type="dxa"/>
            <w:bottom w:w="0" w:type="dxa"/>
            <w:right w:w="108" w:type="dxa"/>
          </w:tblCellMar>
        </w:tblPrEx>
        <w:trPr>
          <w:trHeight w:val="629" w:hRule="atLeast"/>
          <w:jc w:val="center"/>
        </w:trPr>
        <w:tc>
          <w:tcPr>
            <w:tcW w:w="3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65E21">
            <w:pPr>
              <w:jc w:val="center"/>
              <w:textAlignment w:val="center"/>
              <w:rPr>
                <w:rFonts w:hint="default"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5</w:t>
            </w:r>
          </w:p>
        </w:tc>
        <w:tc>
          <w:tcPr>
            <w:tcW w:w="1732" w:type="pct"/>
            <w:tcBorders>
              <w:top w:val="single" w:color="000000" w:sz="4" w:space="0"/>
              <w:left w:val="single" w:color="000000" w:sz="4" w:space="0"/>
              <w:bottom w:val="single" w:color="000000" w:sz="4" w:space="0"/>
              <w:right w:val="single" w:color="000000" w:sz="4" w:space="0"/>
            </w:tcBorders>
            <w:noWrap/>
            <w:vAlign w:val="center"/>
          </w:tcPr>
          <w:p w14:paraId="457A3AC3">
            <w:pPr>
              <w:jc w:val="center"/>
              <w:textAlignment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bidi="ar"/>
                <w14:textFill>
                  <w14:solidFill>
                    <w14:schemeClr w14:val="tx1"/>
                  </w14:solidFill>
                </w14:textFill>
              </w:rPr>
              <w:t>国家级数字化转型标杆</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F3B1A04">
            <w:pPr>
              <w:jc w:val="center"/>
              <w:textAlignment w:val="center"/>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个</w:t>
            </w:r>
          </w:p>
        </w:tc>
        <w:tc>
          <w:tcPr>
            <w:tcW w:w="509" w:type="pct"/>
            <w:tcBorders>
              <w:top w:val="single" w:color="000000" w:sz="4" w:space="0"/>
              <w:left w:val="single" w:color="000000" w:sz="4" w:space="0"/>
              <w:bottom w:val="single" w:color="000000" w:sz="4" w:space="0"/>
              <w:right w:val="single" w:color="000000" w:sz="4" w:space="0"/>
            </w:tcBorders>
            <w:noWrap/>
            <w:vAlign w:val="center"/>
          </w:tcPr>
          <w:p w14:paraId="2455611B">
            <w:pPr>
              <w:jc w:val="center"/>
              <w:textAlignment w:val="center"/>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10</w:t>
            </w:r>
          </w:p>
        </w:tc>
        <w:tc>
          <w:tcPr>
            <w:tcW w:w="510" w:type="pct"/>
            <w:tcBorders>
              <w:top w:val="single" w:color="000000" w:sz="4" w:space="0"/>
              <w:left w:val="single" w:color="000000" w:sz="4" w:space="0"/>
              <w:bottom w:val="single" w:color="000000" w:sz="4" w:space="0"/>
              <w:right w:val="single" w:color="000000" w:sz="4" w:space="0"/>
            </w:tcBorders>
            <w:noWrap/>
            <w:vAlign w:val="center"/>
          </w:tcPr>
          <w:p w14:paraId="549450A4">
            <w:pPr>
              <w:jc w:val="center"/>
              <w:textAlignment w:val="cente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4</w:t>
            </w:r>
          </w:p>
        </w:tc>
        <w:tc>
          <w:tcPr>
            <w:tcW w:w="529" w:type="pct"/>
            <w:tcBorders>
              <w:top w:val="single" w:color="000000" w:sz="4" w:space="0"/>
              <w:left w:val="single" w:color="000000" w:sz="4" w:space="0"/>
              <w:bottom w:val="single" w:color="000000" w:sz="4" w:space="0"/>
              <w:right w:val="single" w:color="000000" w:sz="4" w:space="0"/>
            </w:tcBorders>
            <w:noWrap/>
            <w:vAlign w:val="center"/>
          </w:tcPr>
          <w:p w14:paraId="6A05B9F0">
            <w:pPr>
              <w:jc w:val="center"/>
              <w:textAlignment w:val="cente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2</w:t>
            </w:r>
          </w:p>
        </w:tc>
        <w:tc>
          <w:tcPr>
            <w:tcW w:w="509" w:type="pct"/>
            <w:tcBorders>
              <w:top w:val="single" w:color="000000" w:sz="4" w:space="0"/>
              <w:left w:val="single" w:color="000000" w:sz="4" w:space="0"/>
              <w:bottom w:val="single" w:color="000000" w:sz="4" w:space="0"/>
              <w:right w:val="single" w:color="000000" w:sz="4" w:space="0"/>
            </w:tcBorders>
            <w:noWrap/>
            <w:vAlign w:val="center"/>
          </w:tcPr>
          <w:p w14:paraId="65F81E7C">
            <w:pPr>
              <w:jc w:val="center"/>
              <w:textAlignment w:val="cente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4</w:t>
            </w:r>
          </w:p>
        </w:tc>
        <w:tc>
          <w:tcPr>
            <w:tcW w:w="532" w:type="pct"/>
            <w:tcBorders>
              <w:top w:val="single" w:color="000000" w:sz="4" w:space="0"/>
              <w:left w:val="single" w:color="000000" w:sz="4" w:space="0"/>
              <w:bottom w:val="single" w:color="000000" w:sz="4" w:space="0"/>
              <w:right w:val="single" w:color="000000" w:sz="4" w:space="0"/>
            </w:tcBorders>
            <w:noWrap/>
            <w:vAlign w:val="center"/>
          </w:tcPr>
          <w:p w14:paraId="56BD9921">
            <w:pPr>
              <w:jc w:val="center"/>
              <w:textAlignment w:val="cente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0</w:t>
            </w:r>
          </w:p>
        </w:tc>
      </w:tr>
      <w:tr w14:paraId="4046EA73">
        <w:tblPrEx>
          <w:tblCellMar>
            <w:top w:w="0" w:type="dxa"/>
            <w:left w:w="108" w:type="dxa"/>
            <w:bottom w:w="0" w:type="dxa"/>
            <w:right w:w="108" w:type="dxa"/>
          </w:tblCellMar>
        </w:tblPrEx>
        <w:trPr>
          <w:trHeight w:val="640" w:hRule="atLeast"/>
          <w:jc w:val="center"/>
        </w:trPr>
        <w:tc>
          <w:tcPr>
            <w:tcW w:w="345" w:type="pct"/>
            <w:tcBorders>
              <w:top w:val="single" w:color="000000" w:sz="4" w:space="0"/>
              <w:left w:val="single" w:color="000000" w:sz="4" w:space="0"/>
              <w:bottom w:val="single" w:color="000000" w:sz="4" w:space="0"/>
              <w:right w:val="single" w:color="000000" w:sz="4" w:space="0"/>
            </w:tcBorders>
            <w:noWrap/>
            <w:vAlign w:val="center"/>
          </w:tcPr>
          <w:p w14:paraId="5476C07B">
            <w:pPr>
              <w:jc w:val="center"/>
              <w:textAlignment w:val="center"/>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p>
        </w:tc>
        <w:tc>
          <w:tcPr>
            <w:tcW w:w="1732" w:type="pct"/>
            <w:tcBorders>
              <w:top w:val="single" w:color="000000" w:sz="4" w:space="0"/>
              <w:left w:val="single" w:color="000000" w:sz="4" w:space="0"/>
              <w:bottom w:val="single" w:color="000000" w:sz="4" w:space="0"/>
              <w:right w:val="single" w:color="000000" w:sz="4" w:space="0"/>
            </w:tcBorders>
            <w:noWrap/>
            <w:vAlign w:val="center"/>
          </w:tcPr>
          <w:p w14:paraId="6D324410">
            <w:pPr>
              <w:jc w:val="center"/>
              <w:textAlignment w:val="center"/>
              <w:rPr>
                <w:rFonts w:hint="default" w:ascii="宋体" w:hAnsi="宋体" w:eastAsia="宋体" w:cs="宋体"/>
                <w:b/>
                <w:bCs/>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t>人工智能典型应用场景</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E576BFC">
            <w:pPr>
              <w:jc w:val="center"/>
              <w:textAlignment w:val="center"/>
              <w:rPr>
                <w:rFonts w:hint="default"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个</w:t>
            </w:r>
          </w:p>
        </w:tc>
        <w:tc>
          <w:tcPr>
            <w:tcW w:w="5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90F37">
            <w:pPr>
              <w:jc w:val="center"/>
              <w:textAlignment w:val="center"/>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8</w:t>
            </w:r>
          </w:p>
        </w:tc>
        <w:tc>
          <w:tcPr>
            <w:tcW w:w="5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C69B7">
            <w:pPr>
              <w:jc w:val="center"/>
              <w:textAlignment w:val="center"/>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3</w:t>
            </w:r>
          </w:p>
        </w:tc>
        <w:tc>
          <w:tcPr>
            <w:tcW w:w="5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DBD5C">
            <w:pPr>
              <w:jc w:val="center"/>
              <w:textAlignment w:val="center"/>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2</w:t>
            </w:r>
          </w:p>
        </w:tc>
        <w:tc>
          <w:tcPr>
            <w:tcW w:w="5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042D9">
            <w:pPr>
              <w:jc w:val="center"/>
              <w:textAlignment w:val="center"/>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3</w:t>
            </w:r>
          </w:p>
        </w:tc>
        <w:tc>
          <w:tcPr>
            <w:tcW w:w="5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AE09A">
            <w:pPr>
              <w:jc w:val="center"/>
              <w:textAlignment w:val="center"/>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0</w:t>
            </w:r>
          </w:p>
        </w:tc>
      </w:tr>
    </w:tbl>
    <w:p w14:paraId="7ABA25E8">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sz w:val="32"/>
          <w:szCs w:val="32"/>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swiss"/>
    <w:pitch w:val="default"/>
    <w:sig w:usb0="00007A87" w:usb1="80000000" w:usb2="00000008"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华康简标题宋"/>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华康简标题宋"/>
    <w:panose1 w:val="05050102010706020507"/>
    <w:charset w:val="02"/>
    <w:family w:val="roman"/>
    <w:pitch w:val="default"/>
    <w:sig w:usb0="00000000" w:usb1="00000000" w:usb2="00000000" w:usb3="00000000" w:csb0="80000000" w:csb1="00000000"/>
  </w:font>
  <w:font w:name="Calibri">
    <w:altName w:val="微软雅黑"/>
    <w:panose1 w:val="020F0502020204030204"/>
    <w:charset w:val="00"/>
    <w:family w:val="swiss"/>
    <w:pitch w:val="default"/>
    <w:sig w:usb0="00000000" w:usb1="00000000" w:usb2="00000001" w:usb3="00000000" w:csb0="0000019F" w:csb1="00000000"/>
  </w:font>
  <w:font w:name="微软雅黑">
    <w:panose1 w:val="020B0503020204020204"/>
    <w:charset w:val="86"/>
    <w:family w:val="auto"/>
    <w:pitch w:val="default"/>
    <w:sig w:usb0="80000287" w:usb1="280F3C52" w:usb2="00000016" w:usb3="00000000" w:csb0="0004001F" w:csb1="00000000"/>
  </w:font>
  <w:font w:name="方正书宋_GBK">
    <w:panose1 w:val="02000000000000000000"/>
    <w:charset w:val="86"/>
    <w:family w:val="auto"/>
    <w:pitch w:val="default"/>
    <w:sig w:usb0="00000001" w:usb1="08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31BFFB">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B12798">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4B12798">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5616662"/>
    <w:rsid w:val="00292BAB"/>
    <w:rsid w:val="003550AC"/>
    <w:rsid w:val="003F417C"/>
    <w:rsid w:val="005A0FB6"/>
    <w:rsid w:val="006D5921"/>
    <w:rsid w:val="008B73C2"/>
    <w:rsid w:val="00D074CA"/>
    <w:rsid w:val="00D91EDB"/>
    <w:rsid w:val="00E54D24"/>
    <w:rsid w:val="01042CD0"/>
    <w:rsid w:val="013730A5"/>
    <w:rsid w:val="01987FE8"/>
    <w:rsid w:val="019E3125"/>
    <w:rsid w:val="01B85F94"/>
    <w:rsid w:val="01C0753F"/>
    <w:rsid w:val="020B6A0C"/>
    <w:rsid w:val="021D229B"/>
    <w:rsid w:val="02331ABF"/>
    <w:rsid w:val="0233386D"/>
    <w:rsid w:val="0264611C"/>
    <w:rsid w:val="0281237B"/>
    <w:rsid w:val="028E3199"/>
    <w:rsid w:val="02B80216"/>
    <w:rsid w:val="02C01F99"/>
    <w:rsid w:val="02C44E0D"/>
    <w:rsid w:val="02E4100B"/>
    <w:rsid w:val="02E42DB9"/>
    <w:rsid w:val="03062D2F"/>
    <w:rsid w:val="03547431"/>
    <w:rsid w:val="037800D1"/>
    <w:rsid w:val="037B371D"/>
    <w:rsid w:val="037C7496"/>
    <w:rsid w:val="038D72DF"/>
    <w:rsid w:val="03B7227C"/>
    <w:rsid w:val="04883C34"/>
    <w:rsid w:val="05184F9C"/>
    <w:rsid w:val="052102F4"/>
    <w:rsid w:val="0557783E"/>
    <w:rsid w:val="05A36F5B"/>
    <w:rsid w:val="05B13426"/>
    <w:rsid w:val="05B66C8F"/>
    <w:rsid w:val="05B9677F"/>
    <w:rsid w:val="05F652DD"/>
    <w:rsid w:val="06277B8D"/>
    <w:rsid w:val="06632FCA"/>
    <w:rsid w:val="066466EB"/>
    <w:rsid w:val="06EE14BD"/>
    <w:rsid w:val="07097292"/>
    <w:rsid w:val="070B125C"/>
    <w:rsid w:val="071E0F8F"/>
    <w:rsid w:val="072A7934"/>
    <w:rsid w:val="07897288"/>
    <w:rsid w:val="07B54D24"/>
    <w:rsid w:val="07C80EFB"/>
    <w:rsid w:val="07DB29DD"/>
    <w:rsid w:val="07F41CF0"/>
    <w:rsid w:val="080261BB"/>
    <w:rsid w:val="080737D2"/>
    <w:rsid w:val="08163A15"/>
    <w:rsid w:val="08861257"/>
    <w:rsid w:val="08C94F2B"/>
    <w:rsid w:val="08E21B49"/>
    <w:rsid w:val="08EE04EE"/>
    <w:rsid w:val="09273A00"/>
    <w:rsid w:val="0935436E"/>
    <w:rsid w:val="09371E95"/>
    <w:rsid w:val="09DE4A06"/>
    <w:rsid w:val="0A3E54A5"/>
    <w:rsid w:val="0A516F86"/>
    <w:rsid w:val="0A652A31"/>
    <w:rsid w:val="0A73514E"/>
    <w:rsid w:val="0ABD461B"/>
    <w:rsid w:val="0AC4744F"/>
    <w:rsid w:val="0B0E30C9"/>
    <w:rsid w:val="0B2428ED"/>
    <w:rsid w:val="0B2B77D7"/>
    <w:rsid w:val="0B3C4FE5"/>
    <w:rsid w:val="0B4D728E"/>
    <w:rsid w:val="0BC04208"/>
    <w:rsid w:val="0BCA3494"/>
    <w:rsid w:val="0BDC202D"/>
    <w:rsid w:val="0BF00A21"/>
    <w:rsid w:val="0BF17A23"/>
    <w:rsid w:val="0C4D5E73"/>
    <w:rsid w:val="0CC872A8"/>
    <w:rsid w:val="0CC954FA"/>
    <w:rsid w:val="0D15073F"/>
    <w:rsid w:val="0D35493D"/>
    <w:rsid w:val="0D570D57"/>
    <w:rsid w:val="0D9A50E8"/>
    <w:rsid w:val="0DD423A8"/>
    <w:rsid w:val="0DD53D1D"/>
    <w:rsid w:val="0DED346A"/>
    <w:rsid w:val="0E35096D"/>
    <w:rsid w:val="0E590AFF"/>
    <w:rsid w:val="0EC56195"/>
    <w:rsid w:val="0EC71F0D"/>
    <w:rsid w:val="0ECF3E96"/>
    <w:rsid w:val="0EE505E5"/>
    <w:rsid w:val="0F360E40"/>
    <w:rsid w:val="0F3D17DE"/>
    <w:rsid w:val="0F482A36"/>
    <w:rsid w:val="0F713C26"/>
    <w:rsid w:val="0F8676D2"/>
    <w:rsid w:val="0FB26719"/>
    <w:rsid w:val="0FF7412C"/>
    <w:rsid w:val="10090303"/>
    <w:rsid w:val="10152804"/>
    <w:rsid w:val="10284C2D"/>
    <w:rsid w:val="10433815"/>
    <w:rsid w:val="10563548"/>
    <w:rsid w:val="107C0AD5"/>
    <w:rsid w:val="107E65FB"/>
    <w:rsid w:val="10C5247C"/>
    <w:rsid w:val="10D206F5"/>
    <w:rsid w:val="111F7DDE"/>
    <w:rsid w:val="112E0E09"/>
    <w:rsid w:val="117341F3"/>
    <w:rsid w:val="11851C0B"/>
    <w:rsid w:val="119A3921"/>
    <w:rsid w:val="11B7338D"/>
    <w:rsid w:val="11C42733"/>
    <w:rsid w:val="11D64215"/>
    <w:rsid w:val="11E00D8B"/>
    <w:rsid w:val="11E06E41"/>
    <w:rsid w:val="12266F4A"/>
    <w:rsid w:val="12A3059B"/>
    <w:rsid w:val="12A367ED"/>
    <w:rsid w:val="12DA65F4"/>
    <w:rsid w:val="13141499"/>
    <w:rsid w:val="13207E3D"/>
    <w:rsid w:val="132759B1"/>
    <w:rsid w:val="134E6759"/>
    <w:rsid w:val="13A7230D"/>
    <w:rsid w:val="13BB1914"/>
    <w:rsid w:val="13CB2CD1"/>
    <w:rsid w:val="13E0137B"/>
    <w:rsid w:val="14186D67"/>
    <w:rsid w:val="14213E6D"/>
    <w:rsid w:val="14292D22"/>
    <w:rsid w:val="14593607"/>
    <w:rsid w:val="14691370"/>
    <w:rsid w:val="14885C9A"/>
    <w:rsid w:val="14887A48"/>
    <w:rsid w:val="15655FDB"/>
    <w:rsid w:val="15925F44"/>
    <w:rsid w:val="15D95068"/>
    <w:rsid w:val="16247C45"/>
    <w:rsid w:val="167A6668"/>
    <w:rsid w:val="169A1CB5"/>
    <w:rsid w:val="16AB2114"/>
    <w:rsid w:val="16E41182"/>
    <w:rsid w:val="16FB6BF7"/>
    <w:rsid w:val="171C091C"/>
    <w:rsid w:val="171E28E6"/>
    <w:rsid w:val="172A128B"/>
    <w:rsid w:val="17516817"/>
    <w:rsid w:val="17B423BF"/>
    <w:rsid w:val="17D411F6"/>
    <w:rsid w:val="17DB07D7"/>
    <w:rsid w:val="17E7717C"/>
    <w:rsid w:val="17FA6EAF"/>
    <w:rsid w:val="17FD699F"/>
    <w:rsid w:val="18351C95"/>
    <w:rsid w:val="18495740"/>
    <w:rsid w:val="185B5474"/>
    <w:rsid w:val="18903946"/>
    <w:rsid w:val="18910E95"/>
    <w:rsid w:val="18A137CE"/>
    <w:rsid w:val="18A673D2"/>
    <w:rsid w:val="18DD40DB"/>
    <w:rsid w:val="18EA21F0"/>
    <w:rsid w:val="190873AA"/>
    <w:rsid w:val="191B6861"/>
    <w:rsid w:val="19297320"/>
    <w:rsid w:val="193261D5"/>
    <w:rsid w:val="194B570C"/>
    <w:rsid w:val="19632832"/>
    <w:rsid w:val="19AC04B4"/>
    <w:rsid w:val="19C92FDD"/>
    <w:rsid w:val="19F37D19"/>
    <w:rsid w:val="1A6B4094"/>
    <w:rsid w:val="1A7840BB"/>
    <w:rsid w:val="1A7B1DFD"/>
    <w:rsid w:val="1A9C249F"/>
    <w:rsid w:val="1AA66E7A"/>
    <w:rsid w:val="1AB07CF9"/>
    <w:rsid w:val="1AFD2E6B"/>
    <w:rsid w:val="1B6F1962"/>
    <w:rsid w:val="1B783BB0"/>
    <w:rsid w:val="1B8D3B96"/>
    <w:rsid w:val="1B9969DF"/>
    <w:rsid w:val="1BEA74D5"/>
    <w:rsid w:val="1BF81957"/>
    <w:rsid w:val="1C5268FF"/>
    <w:rsid w:val="1C6E047C"/>
    <w:rsid w:val="1C874A89"/>
    <w:rsid w:val="1C931680"/>
    <w:rsid w:val="1CEC0FC1"/>
    <w:rsid w:val="1CEC2B3E"/>
    <w:rsid w:val="1D1C78C7"/>
    <w:rsid w:val="1D491D3F"/>
    <w:rsid w:val="1D642111"/>
    <w:rsid w:val="1DAB29F9"/>
    <w:rsid w:val="1DF919B7"/>
    <w:rsid w:val="1E171E3D"/>
    <w:rsid w:val="1E285DF8"/>
    <w:rsid w:val="1E674B72"/>
    <w:rsid w:val="1EBB00DF"/>
    <w:rsid w:val="1F1A2F5E"/>
    <w:rsid w:val="1F330EF8"/>
    <w:rsid w:val="1F58270D"/>
    <w:rsid w:val="1F792DAF"/>
    <w:rsid w:val="1F8E612F"/>
    <w:rsid w:val="1F974FE3"/>
    <w:rsid w:val="1F980D5B"/>
    <w:rsid w:val="1FC57DA2"/>
    <w:rsid w:val="1FE04BDC"/>
    <w:rsid w:val="1FEB532F"/>
    <w:rsid w:val="20020FF7"/>
    <w:rsid w:val="203C5B8B"/>
    <w:rsid w:val="20857532"/>
    <w:rsid w:val="20887022"/>
    <w:rsid w:val="209854B7"/>
    <w:rsid w:val="211B39F2"/>
    <w:rsid w:val="21221225"/>
    <w:rsid w:val="21262AC3"/>
    <w:rsid w:val="21350F58"/>
    <w:rsid w:val="214F7C38"/>
    <w:rsid w:val="21555156"/>
    <w:rsid w:val="22032E04"/>
    <w:rsid w:val="22525B39"/>
    <w:rsid w:val="22547C7D"/>
    <w:rsid w:val="22A7378F"/>
    <w:rsid w:val="22E91FFA"/>
    <w:rsid w:val="23244DE0"/>
    <w:rsid w:val="23825FAA"/>
    <w:rsid w:val="23AA0954"/>
    <w:rsid w:val="23AE0B4E"/>
    <w:rsid w:val="23C245F9"/>
    <w:rsid w:val="23DE7685"/>
    <w:rsid w:val="23E40A13"/>
    <w:rsid w:val="241906BD"/>
    <w:rsid w:val="247E2C16"/>
    <w:rsid w:val="24A0493A"/>
    <w:rsid w:val="25EC3BAF"/>
    <w:rsid w:val="260158AC"/>
    <w:rsid w:val="260E7FC9"/>
    <w:rsid w:val="261C6242"/>
    <w:rsid w:val="261D1FBA"/>
    <w:rsid w:val="261F5D33"/>
    <w:rsid w:val="268D5392"/>
    <w:rsid w:val="26A30712"/>
    <w:rsid w:val="26AB5818"/>
    <w:rsid w:val="26C61EA7"/>
    <w:rsid w:val="26CA2142"/>
    <w:rsid w:val="26EE4AE7"/>
    <w:rsid w:val="26F62F37"/>
    <w:rsid w:val="26F96584"/>
    <w:rsid w:val="272571C7"/>
    <w:rsid w:val="27273C76"/>
    <w:rsid w:val="273121C1"/>
    <w:rsid w:val="273677D8"/>
    <w:rsid w:val="27554102"/>
    <w:rsid w:val="27C445CF"/>
    <w:rsid w:val="27E15995"/>
    <w:rsid w:val="285A12A4"/>
    <w:rsid w:val="286345FC"/>
    <w:rsid w:val="28795BCE"/>
    <w:rsid w:val="2879797C"/>
    <w:rsid w:val="287B7B98"/>
    <w:rsid w:val="289C0922"/>
    <w:rsid w:val="28D040CB"/>
    <w:rsid w:val="28DE3C83"/>
    <w:rsid w:val="28EC45F2"/>
    <w:rsid w:val="295B1778"/>
    <w:rsid w:val="29A273A6"/>
    <w:rsid w:val="29BA46F0"/>
    <w:rsid w:val="29C015DB"/>
    <w:rsid w:val="29EE2BC6"/>
    <w:rsid w:val="29F97F36"/>
    <w:rsid w:val="2A2E29E8"/>
    <w:rsid w:val="2A3E6A30"/>
    <w:rsid w:val="2A465F84"/>
    <w:rsid w:val="2A554419"/>
    <w:rsid w:val="2A6C52BE"/>
    <w:rsid w:val="2ABC1DA2"/>
    <w:rsid w:val="2B2838DB"/>
    <w:rsid w:val="2B3109E2"/>
    <w:rsid w:val="2B5B5A5F"/>
    <w:rsid w:val="2BA94A1C"/>
    <w:rsid w:val="2C8E59C0"/>
    <w:rsid w:val="2CA46F92"/>
    <w:rsid w:val="2CD930DF"/>
    <w:rsid w:val="2CD94E8D"/>
    <w:rsid w:val="2CDE6947"/>
    <w:rsid w:val="2CE555E6"/>
    <w:rsid w:val="2D320A41"/>
    <w:rsid w:val="2D446253"/>
    <w:rsid w:val="2D990AC0"/>
    <w:rsid w:val="2DA336ED"/>
    <w:rsid w:val="2DFF6B75"/>
    <w:rsid w:val="2EA1527B"/>
    <w:rsid w:val="2F0C4F37"/>
    <w:rsid w:val="2F432A92"/>
    <w:rsid w:val="2F560A17"/>
    <w:rsid w:val="2F6E0781"/>
    <w:rsid w:val="2F754C15"/>
    <w:rsid w:val="2F996B56"/>
    <w:rsid w:val="2FAC4ADB"/>
    <w:rsid w:val="2FB219C5"/>
    <w:rsid w:val="2FBE480E"/>
    <w:rsid w:val="2FE06533"/>
    <w:rsid w:val="3022366B"/>
    <w:rsid w:val="303C7E4E"/>
    <w:rsid w:val="304271ED"/>
    <w:rsid w:val="306C426A"/>
    <w:rsid w:val="307750E9"/>
    <w:rsid w:val="30850E88"/>
    <w:rsid w:val="308B0B94"/>
    <w:rsid w:val="308E2433"/>
    <w:rsid w:val="30A532D8"/>
    <w:rsid w:val="30B023A9"/>
    <w:rsid w:val="30D50061"/>
    <w:rsid w:val="30FC739C"/>
    <w:rsid w:val="311F752F"/>
    <w:rsid w:val="316F5DC0"/>
    <w:rsid w:val="31C0486E"/>
    <w:rsid w:val="31EA3699"/>
    <w:rsid w:val="320B5AF3"/>
    <w:rsid w:val="32472899"/>
    <w:rsid w:val="325356E2"/>
    <w:rsid w:val="32A95302"/>
    <w:rsid w:val="3321133C"/>
    <w:rsid w:val="33354DE7"/>
    <w:rsid w:val="334119DE"/>
    <w:rsid w:val="33432F2A"/>
    <w:rsid w:val="337F6063"/>
    <w:rsid w:val="3381002D"/>
    <w:rsid w:val="33B757FC"/>
    <w:rsid w:val="33E52369"/>
    <w:rsid w:val="33F20F2A"/>
    <w:rsid w:val="33F94067"/>
    <w:rsid w:val="3437152B"/>
    <w:rsid w:val="344A2B14"/>
    <w:rsid w:val="34637732"/>
    <w:rsid w:val="349124F1"/>
    <w:rsid w:val="34B306BA"/>
    <w:rsid w:val="34C3098E"/>
    <w:rsid w:val="34E12BE5"/>
    <w:rsid w:val="34EC7728"/>
    <w:rsid w:val="3511718E"/>
    <w:rsid w:val="35441312"/>
    <w:rsid w:val="355B43B6"/>
    <w:rsid w:val="35896B03"/>
    <w:rsid w:val="35AA386B"/>
    <w:rsid w:val="35DA1C76"/>
    <w:rsid w:val="35DA3A24"/>
    <w:rsid w:val="35EF5721"/>
    <w:rsid w:val="36010FB1"/>
    <w:rsid w:val="363475D8"/>
    <w:rsid w:val="364D2448"/>
    <w:rsid w:val="365732C7"/>
    <w:rsid w:val="36E20DE2"/>
    <w:rsid w:val="370945C1"/>
    <w:rsid w:val="37166CDE"/>
    <w:rsid w:val="373F6235"/>
    <w:rsid w:val="374970B3"/>
    <w:rsid w:val="37904CE2"/>
    <w:rsid w:val="37CA01F4"/>
    <w:rsid w:val="37E56502"/>
    <w:rsid w:val="37F52D97"/>
    <w:rsid w:val="38172D0E"/>
    <w:rsid w:val="382A2A41"/>
    <w:rsid w:val="38784167"/>
    <w:rsid w:val="388365F5"/>
    <w:rsid w:val="38871C41"/>
    <w:rsid w:val="389E6F8B"/>
    <w:rsid w:val="38A636C3"/>
    <w:rsid w:val="38AA3B82"/>
    <w:rsid w:val="38BC1BB2"/>
    <w:rsid w:val="38CA4224"/>
    <w:rsid w:val="38CC00D5"/>
    <w:rsid w:val="38E30E42"/>
    <w:rsid w:val="39177D24"/>
    <w:rsid w:val="39382F3B"/>
    <w:rsid w:val="395F671A"/>
    <w:rsid w:val="396E4BAF"/>
    <w:rsid w:val="399F2FBB"/>
    <w:rsid w:val="39C80763"/>
    <w:rsid w:val="39DA0497"/>
    <w:rsid w:val="39F41558"/>
    <w:rsid w:val="3A047DA9"/>
    <w:rsid w:val="3A176FF5"/>
    <w:rsid w:val="3AD66EB0"/>
    <w:rsid w:val="3ADD023E"/>
    <w:rsid w:val="3AFE01B5"/>
    <w:rsid w:val="3B35549B"/>
    <w:rsid w:val="3B443E1A"/>
    <w:rsid w:val="3B530501"/>
    <w:rsid w:val="3B9D50C0"/>
    <w:rsid w:val="3BC9431F"/>
    <w:rsid w:val="3BF55114"/>
    <w:rsid w:val="3C0E4427"/>
    <w:rsid w:val="3C1E28BD"/>
    <w:rsid w:val="3C5A766D"/>
    <w:rsid w:val="3C664263"/>
    <w:rsid w:val="3C7544A7"/>
    <w:rsid w:val="3C97266F"/>
    <w:rsid w:val="3C9D1E44"/>
    <w:rsid w:val="3CD94A35"/>
    <w:rsid w:val="3D1B504E"/>
    <w:rsid w:val="3D2008B6"/>
    <w:rsid w:val="3D70539A"/>
    <w:rsid w:val="3D8A3F82"/>
    <w:rsid w:val="3DF53AF1"/>
    <w:rsid w:val="3E483C21"/>
    <w:rsid w:val="3E7A3FF6"/>
    <w:rsid w:val="3EA03A5D"/>
    <w:rsid w:val="3ED2087A"/>
    <w:rsid w:val="3EE55913"/>
    <w:rsid w:val="3F283A52"/>
    <w:rsid w:val="3F4A7E6C"/>
    <w:rsid w:val="3F5E1222"/>
    <w:rsid w:val="3F836EDA"/>
    <w:rsid w:val="403C77B5"/>
    <w:rsid w:val="40477F08"/>
    <w:rsid w:val="405F16F6"/>
    <w:rsid w:val="407056B1"/>
    <w:rsid w:val="409C0254"/>
    <w:rsid w:val="40A23390"/>
    <w:rsid w:val="40B7508E"/>
    <w:rsid w:val="40CC61A7"/>
    <w:rsid w:val="41173D7E"/>
    <w:rsid w:val="41210759"/>
    <w:rsid w:val="414C1C7A"/>
    <w:rsid w:val="41656898"/>
    <w:rsid w:val="420F2CA7"/>
    <w:rsid w:val="42276243"/>
    <w:rsid w:val="425132C0"/>
    <w:rsid w:val="425828A0"/>
    <w:rsid w:val="425D3A13"/>
    <w:rsid w:val="42642FF3"/>
    <w:rsid w:val="42660B19"/>
    <w:rsid w:val="42686225"/>
    <w:rsid w:val="428C60A6"/>
    <w:rsid w:val="429338D8"/>
    <w:rsid w:val="42F8373B"/>
    <w:rsid w:val="42FE6FA4"/>
    <w:rsid w:val="430F2F5F"/>
    <w:rsid w:val="43853221"/>
    <w:rsid w:val="43C37AAF"/>
    <w:rsid w:val="43C755E8"/>
    <w:rsid w:val="43CC2BFE"/>
    <w:rsid w:val="43D23F8D"/>
    <w:rsid w:val="43DC7AE7"/>
    <w:rsid w:val="441E71D2"/>
    <w:rsid w:val="44EE264F"/>
    <w:rsid w:val="44F06DC0"/>
    <w:rsid w:val="4504461A"/>
    <w:rsid w:val="454B09F9"/>
    <w:rsid w:val="45616662"/>
    <w:rsid w:val="45BE2A1A"/>
    <w:rsid w:val="45D93CF8"/>
    <w:rsid w:val="45DE30BD"/>
    <w:rsid w:val="45EC57D9"/>
    <w:rsid w:val="45EF0E26"/>
    <w:rsid w:val="46326F64"/>
    <w:rsid w:val="464256BB"/>
    <w:rsid w:val="465636B0"/>
    <w:rsid w:val="46BD2CD2"/>
    <w:rsid w:val="46C329DE"/>
    <w:rsid w:val="46C40504"/>
    <w:rsid w:val="46D06EA9"/>
    <w:rsid w:val="471A6376"/>
    <w:rsid w:val="475F3D89"/>
    <w:rsid w:val="478C7274"/>
    <w:rsid w:val="4799373F"/>
    <w:rsid w:val="47B42327"/>
    <w:rsid w:val="47D460C1"/>
    <w:rsid w:val="47D77DC3"/>
    <w:rsid w:val="481D611E"/>
    <w:rsid w:val="482B324B"/>
    <w:rsid w:val="48580F04"/>
    <w:rsid w:val="48594C7C"/>
    <w:rsid w:val="486F44A0"/>
    <w:rsid w:val="48DB1B35"/>
    <w:rsid w:val="492434DC"/>
    <w:rsid w:val="4941408E"/>
    <w:rsid w:val="49417BEA"/>
    <w:rsid w:val="498A77E3"/>
    <w:rsid w:val="498E6BA8"/>
    <w:rsid w:val="49AE0F5B"/>
    <w:rsid w:val="49B91E77"/>
    <w:rsid w:val="49C8030C"/>
    <w:rsid w:val="49CA7BE0"/>
    <w:rsid w:val="49DC4C0F"/>
    <w:rsid w:val="49E65ECE"/>
    <w:rsid w:val="49EA2030"/>
    <w:rsid w:val="4A07515F"/>
    <w:rsid w:val="4A471230"/>
    <w:rsid w:val="4A6F2535"/>
    <w:rsid w:val="4A7D10F6"/>
    <w:rsid w:val="4A8E6E5F"/>
    <w:rsid w:val="4ABB6E1F"/>
    <w:rsid w:val="4B025AC8"/>
    <w:rsid w:val="4BD74836"/>
    <w:rsid w:val="4C455C43"/>
    <w:rsid w:val="4C940979"/>
    <w:rsid w:val="4CA94424"/>
    <w:rsid w:val="4CAA1F4A"/>
    <w:rsid w:val="4CCA439B"/>
    <w:rsid w:val="4CCF550D"/>
    <w:rsid w:val="4CEF795D"/>
    <w:rsid w:val="4D20220D"/>
    <w:rsid w:val="4D41465D"/>
    <w:rsid w:val="4D7367E0"/>
    <w:rsid w:val="4DD76D6F"/>
    <w:rsid w:val="4E51022E"/>
    <w:rsid w:val="4E683E6B"/>
    <w:rsid w:val="4E8504EE"/>
    <w:rsid w:val="4E9C3B15"/>
    <w:rsid w:val="4EEC684A"/>
    <w:rsid w:val="4F363F69"/>
    <w:rsid w:val="4F440434"/>
    <w:rsid w:val="4F495A4B"/>
    <w:rsid w:val="4F512B51"/>
    <w:rsid w:val="4F6E54B1"/>
    <w:rsid w:val="4FFC2ABD"/>
    <w:rsid w:val="50151DD1"/>
    <w:rsid w:val="50391BBB"/>
    <w:rsid w:val="503F53AB"/>
    <w:rsid w:val="50414974"/>
    <w:rsid w:val="50C07F8E"/>
    <w:rsid w:val="50C57353"/>
    <w:rsid w:val="50CD2AD7"/>
    <w:rsid w:val="50EA6DB9"/>
    <w:rsid w:val="50FC089B"/>
    <w:rsid w:val="51097E25"/>
    <w:rsid w:val="511931FB"/>
    <w:rsid w:val="51452242"/>
    <w:rsid w:val="51736DAF"/>
    <w:rsid w:val="51823496"/>
    <w:rsid w:val="5196484B"/>
    <w:rsid w:val="519A433C"/>
    <w:rsid w:val="51B00003"/>
    <w:rsid w:val="51CE66DB"/>
    <w:rsid w:val="52043EAB"/>
    <w:rsid w:val="52100AA2"/>
    <w:rsid w:val="52495D62"/>
    <w:rsid w:val="524F15CA"/>
    <w:rsid w:val="52505342"/>
    <w:rsid w:val="5254652D"/>
    <w:rsid w:val="525A3ACB"/>
    <w:rsid w:val="526606C2"/>
    <w:rsid w:val="52CD6993"/>
    <w:rsid w:val="534C3D5B"/>
    <w:rsid w:val="537312E8"/>
    <w:rsid w:val="537A08C9"/>
    <w:rsid w:val="53963229"/>
    <w:rsid w:val="53982AFD"/>
    <w:rsid w:val="53D53D51"/>
    <w:rsid w:val="53E0671D"/>
    <w:rsid w:val="54C94F38"/>
    <w:rsid w:val="54D51B2F"/>
    <w:rsid w:val="54D758A7"/>
    <w:rsid w:val="54F40207"/>
    <w:rsid w:val="55287EB0"/>
    <w:rsid w:val="552D54C7"/>
    <w:rsid w:val="55384597"/>
    <w:rsid w:val="554A7E27"/>
    <w:rsid w:val="556F788D"/>
    <w:rsid w:val="55AC7F16"/>
    <w:rsid w:val="55C7032F"/>
    <w:rsid w:val="55E262B1"/>
    <w:rsid w:val="55F85AD5"/>
    <w:rsid w:val="55FF50B5"/>
    <w:rsid w:val="563565ED"/>
    <w:rsid w:val="5697353F"/>
    <w:rsid w:val="56A80848"/>
    <w:rsid w:val="56B51C18"/>
    <w:rsid w:val="56D24578"/>
    <w:rsid w:val="574F5BC8"/>
    <w:rsid w:val="57790E97"/>
    <w:rsid w:val="57B1418D"/>
    <w:rsid w:val="58156E12"/>
    <w:rsid w:val="583F5C3D"/>
    <w:rsid w:val="58405511"/>
    <w:rsid w:val="585A4825"/>
    <w:rsid w:val="589D2963"/>
    <w:rsid w:val="58B71C77"/>
    <w:rsid w:val="59153C0D"/>
    <w:rsid w:val="59254131"/>
    <w:rsid w:val="592A069B"/>
    <w:rsid w:val="593B3B45"/>
    <w:rsid w:val="59545718"/>
    <w:rsid w:val="59835FFD"/>
    <w:rsid w:val="598C4EB2"/>
    <w:rsid w:val="59A246D5"/>
    <w:rsid w:val="59BD1702"/>
    <w:rsid w:val="59C4289D"/>
    <w:rsid w:val="5A07278A"/>
    <w:rsid w:val="5A0C1B4F"/>
    <w:rsid w:val="5A751DEA"/>
    <w:rsid w:val="5A8408A5"/>
    <w:rsid w:val="5A9B2ED2"/>
    <w:rsid w:val="5ADA75AA"/>
    <w:rsid w:val="5AE623A0"/>
    <w:rsid w:val="5B1E2672"/>
    <w:rsid w:val="5B1E5FDD"/>
    <w:rsid w:val="5B372BFB"/>
    <w:rsid w:val="5B397E38"/>
    <w:rsid w:val="5B6C459D"/>
    <w:rsid w:val="5B8878FB"/>
    <w:rsid w:val="5B8A71CF"/>
    <w:rsid w:val="5C130449"/>
    <w:rsid w:val="5C2062E3"/>
    <w:rsid w:val="5CC901CB"/>
    <w:rsid w:val="5CD01559"/>
    <w:rsid w:val="5D121B72"/>
    <w:rsid w:val="5D123920"/>
    <w:rsid w:val="5D296EBB"/>
    <w:rsid w:val="5D301FF8"/>
    <w:rsid w:val="5D437F7D"/>
    <w:rsid w:val="5D504448"/>
    <w:rsid w:val="5D6677C8"/>
    <w:rsid w:val="5D752101"/>
    <w:rsid w:val="5D7C49E0"/>
    <w:rsid w:val="5DBC7D30"/>
    <w:rsid w:val="5DC32E6C"/>
    <w:rsid w:val="5DF11787"/>
    <w:rsid w:val="5E0F7E5F"/>
    <w:rsid w:val="5E337FF2"/>
    <w:rsid w:val="5E3C677A"/>
    <w:rsid w:val="5E4C10B3"/>
    <w:rsid w:val="5E587A58"/>
    <w:rsid w:val="5E954808"/>
    <w:rsid w:val="5E993BCD"/>
    <w:rsid w:val="5ED35331"/>
    <w:rsid w:val="5F047298"/>
    <w:rsid w:val="5F4973A1"/>
    <w:rsid w:val="5F7300CE"/>
    <w:rsid w:val="5F92061E"/>
    <w:rsid w:val="5F926F9A"/>
    <w:rsid w:val="5FD21144"/>
    <w:rsid w:val="5FD72BFF"/>
    <w:rsid w:val="60163727"/>
    <w:rsid w:val="60210924"/>
    <w:rsid w:val="60285208"/>
    <w:rsid w:val="60365B77"/>
    <w:rsid w:val="60934D78"/>
    <w:rsid w:val="609A6C8B"/>
    <w:rsid w:val="60A96349"/>
    <w:rsid w:val="60B116A2"/>
    <w:rsid w:val="60F8107F"/>
    <w:rsid w:val="6142679E"/>
    <w:rsid w:val="614A5E10"/>
    <w:rsid w:val="61831C50"/>
    <w:rsid w:val="618A4B00"/>
    <w:rsid w:val="61AE5BE1"/>
    <w:rsid w:val="61C3113E"/>
    <w:rsid w:val="61F515AC"/>
    <w:rsid w:val="61FB0E26"/>
    <w:rsid w:val="620B6B90"/>
    <w:rsid w:val="6223212B"/>
    <w:rsid w:val="6232236E"/>
    <w:rsid w:val="623F6839"/>
    <w:rsid w:val="6260512D"/>
    <w:rsid w:val="627E3805"/>
    <w:rsid w:val="62C942ED"/>
    <w:rsid w:val="63097573"/>
    <w:rsid w:val="631511FB"/>
    <w:rsid w:val="6347009B"/>
    <w:rsid w:val="637349EC"/>
    <w:rsid w:val="63892462"/>
    <w:rsid w:val="638D1F52"/>
    <w:rsid w:val="638D5CF8"/>
    <w:rsid w:val="63F35B2D"/>
    <w:rsid w:val="63FA510E"/>
    <w:rsid w:val="64061D04"/>
    <w:rsid w:val="64216B3E"/>
    <w:rsid w:val="64281C7B"/>
    <w:rsid w:val="642D103F"/>
    <w:rsid w:val="64460353"/>
    <w:rsid w:val="644B5969"/>
    <w:rsid w:val="648F1CFA"/>
    <w:rsid w:val="649030B3"/>
    <w:rsid w:val="64A31301"/>
    <w:rsid w:val="64EB6E07"/>
    <w:rsid w:val="653667CA"/>
    <w:rsid w:val="6538251C"/>
    <w:rsid w:val="65746D8A"/>
    <w:rsid w:val="659155FE"/>
    <w:rsid w:val="65A26E54"/>
    <w:rsid w:val="65AE4402"/>
    <w:rsid w:val="65F91B21"/>
    <w:rsid w:val="66DC6D4D"/>
    <w:rsid w:val="66EF082E"/>
    <w:rsid w:val="670E33AA"/>
    <w:rsid w:val="671E7365"/>
    <w:rsid w:val="676B07FC"/>
    <w:rsid w:val="67717495"/>
    <w:rsid w:val="67C1666E"/>
    <w:rsid w:val="67E73D93"/>
    <w:rsid w:val="67F87BB6"/>
    <w:rsid w:val="68120C78"/>
    <w:rsid w:val="683926A8"/>
    <w:rsid w:val="68725BBA"/>
    <w:rsid w:val="68F93BE6"/>
    <w:rsid w:val="69417CA8"/>
    <w:rsid w:val="6994390F"/>
    <w:rsid w:val="69A578CA"/>
    <w:rsid w:val="69B61064"/>
    <w:rsid w:val="69E51C4B"/>
    <w:rsid w:val="69F543AD"/>
    <w:rsid w:val="6A033B49"/>
    <w:rsid w:val="6A3D5D54"/>
    <w:rsid w:val="6A525D6E"/>
    <w:rsid w:val="6A5A6906"/>
    <w:rsid w:val="6A815C41"/>
    <w:rsid w:val="6AC00E5F"/>
    <w:rsid w:val="6B0B7C00"/>
    <w:rsid w:val="6B5E41D4"/>
    <w:rsid w:val="6B8974A3"/>
    <w:rsid w:val="6B9E0A74"/>
    <w:rsid w:val="6BA20565"/>
    <w:rsid w:val="6BBE4C73"/>
    <w:rsid w:val="6C5A2BED"/>
    <w:rsid w:val="6C643A6C"/>
    <w:rsid w:val="6C8465EB"/>
    <w:rsid w:val="6C891725"/>
    <w:rsid w:val="6C9003BD"/>
    <w:rsid w:val="6CB467A2"/>
    <w:rsid w:val="6D0F1C2A"/>
    <w:rsid w:val="6D2D0302"/>
    <w:rsid w:val="6D5533B5"/>
    <w:rsid w:val="6DB602F7"/>
    <w:rsid w:val="6DBB76BC"/>
    <w:rsid w:val="6DD644F6"/>
    <w:rsid w:val="6DD662A4"/>
    <w:rsid w:val="6DDD5884"/>
    <w:rsid w:val="6E0635B0"/>
    <w:rsid w:val="6E3A2CD6"/>
    <w:rsid w:val="6ED547AD"/>
    <w:rsid w:val="6ED722D3"/>
    <w:rsid w:val="6F59718C"/>
    <w:rsid w:val="6F6A3147"/>
    <w:rsid w:val="6FB7977A"/>
    <w:rsid w:val="6FC82564"/>
    <w:rsid w:val="6FD21582"/>
    <w:rsid w:val="6FE77488"/>
    <w:rsid w:val="701B2694"/>
    <w:rsid w:val="70253512"/>
    <w:rsid w:val="7041392E"/>
    <w:rsid w:val="704240C4"/>
    <w:rsid w:val="709F5073"/>
    <w:rsid w:val="70B2124A"/>
    <w:rsid w:val="70BC3E77"/>
    <w:rsid w:val="70CB3294"/>
    <w:rsid w:val="714479C8"/>
    <w:rsid w:val="714E7FB6"/>
    <w:rsid w:val="717C2C3C"/>
    <w:rsid w:val="719A3A8C"/>
    <w:rsid w:val="71A62431"/>
    <w:rsid w:val="71D15700"/>
    <w:rsid w:val="71DB4DD5"/>
    <w:rsid w:val="71F907B3"/>
    <w:rsid w:val="71FD4747"/>
    <w:rsid w:val="72157685"/>
    <w:rsid w:val="725F0F5E"/>
    <w:rsid w:val="72677E12"/>
    <w:rsid w:val="7270316B"/>
    <w:rsid w:val="728564EA"/>
    <w:rsid w:val="72BA6194"/>
    <w:rsid w:val="72FF629D"/>
    <w:rsid w:val="73055AEC"/>
    <w:rsid w:val="7349576A"/>
    <w:rsid w:val="738F7621"/>
    <w:rsid w:val="73AA26AC"/>
    <w:rsid w:val="73EA0CFB"/>
    <w:rsid w:val="73FC0A2E"/>
    <w:rsid w:val="740B2A1F"/>
    <w:rsid w:val="7416389E"/>
    <w:rsid w:val="746E36DA"/>
    <w:rsid w:val="746F2FAE"/>
    <w:rsid w:val="749067C4"/>
    <w:rsid w:val="74B03CF2"/>
    <w:rsid w:val="74F57957"/>
    <w:rsid w:val="75151DA7"/>
    <w:rsid w:val="75614FED"/>
    <w:rsid w:val="756B7C19"/>
    <w:rsid w:val="75BF3AC1"/>
    <w:rsid w:val="75EF084A"/>
    <w:rsid w:val="75EF25F8"/>
    <w:rsid w:val="75F220E9"/>
    <w:rsid w:val="76171B4F"/>
    <w:rsid w:val="763C15B6"/>
    <w:rsid w:val="76764AC8"/>
    <w:rsid w:val="768F5B89"/>
    <w:rsid w:val="7693567A"/>
    <w:rsid w:val="76A72ED3"/>
    <w:rsid w:val="76AA4771"/>
    <w:rsid w:val="76C515AB"/>
    <w:rsid w:val="76EC08E6"/>
    <w:rsid w:val="76EC6B38"/>
    <w:rsid w:val="770E5AE1"/>
    <w:rsid w:val="77183DD1"/>
    <w:rsid w:val="776668EA"/>
    <w:rsid w:val="77756B2D"/>
    <w:rsid w:val="778B45A3"/>
    <w:rsid w:val="77CB2BF1"/>
    <w:rsid w:val="77D0645A"/>
    <w:rsid w:val="78104AA8"/>
    <w:rsid w:val="7869031C"/>
    <w:rsid w:val="78A10ADB"/>
    <w:rsid w:val="78E7761E"/>
    <w:rsid w:val="790C1713"/>
    <w:rsid w:val="790E548B"/>
    <w:rsid w:val="791B54B2"/>
    <w:rsid w:val="793D18CD"/>
    <w:rsid w:val="79554E68"/>
    <w:rsid w:val="79690914"/>
    <w:rsid w:val="79773031"/>
    <w:rsid w:val="79AB6836"/>
    <w:rsid w:val="79FC7092"/>
    <w:rsid w:val="7A5275FA"/>
    <w:rsid w:val="7A8B1FF9"/>
    <w:rsid w:val="7AB32989"/>
    <w:rsid w:val="7ADE2C3C"/>
    <w:rsid w:val="7B30793B"/>
    <w:rsid w:val="7B3960C4"/>
    <w:rsid w:val="7B396E35"/>
    <w:rsid w:val="7B41739F"/>
    <w:rsid w:val="7B8D130D"/>
    <w:rsid w:val="7BDC0414"/>
    <w:rsid w:val="7C480CB4"/>
    <w:rsid w:val="7C75312C"/>
    <w:rsid w:val="7C896BD7"/>
    <w:rsid w:val="7C945CA8"/>
    <w:rsid w:val="7C991510"/>
    <w:rsid w:val="7D052701"/>
    <w:rsid w:val="7D11554A"/>
    <w:rsid w:val="7D3D633F"/>
    <w:rsid w:val="7D456FA2"/>
    <w:rsid w:val="7D5F62B6"/>
    <w:rsid w:val="7D8A0E59"/>
    <w:rsid w:val="7DB67EA0"/>
    <w:rsid w:val="7DD87E16"/>
    <w:rsid w:val="7DE40569"/>
    <w:rsid w:val="7DF84014"/>
    <w:rsid w:val="7DFF1847"/>
    <w:rsid w:val="7E1F3A98"/>
    <w:rsid w:val="7E4C610E"/>
    <w:rsid w:val="7EA85A3A"/>
    <w:rsid w:val="7EAF6DC9"/>
    <w:rsid w:val="7EB443DF"/>
    <w:rsid w:val="7EB85D3F"/>
    <w:rsid w:val="7EC64112"/>
    <w:rsid w:val="7EDF13B3"/>
    <w:rsid w:val="7F361298"/>
    <w:rsid w:val="7F6E0A32"/>
    <w:rsid w:val="7F7E49ED"/>
    <w:rsid w:val="7F9D4E73"/>
    <w:rsid w:val="7FF52F01"/>
    <w:rsid w:val="7FF54D09"/>
    <w:rsid w:val="ECF246AE"/>
    <w:rsid w:val="FF7C92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5">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1">
    <w:name w:val="Strong"/>
    <w:basedOn w:val="10"/>
    <w:qFormat/>
    <w:uiPriority w:val="0"/>
    <w:rPr>
      <w:b/>
    </w:rPr>
  </w:style>
  <w:style w:type="paragraph" w:customStyle="1" w:styleId="12">
    <w:name w:val="正文文本1"/>
    <w:basedOn w:val="1"/>
    <w:semiHidden/>
    <w:qFormat/>
    <w:uiPriority w:val="0"/>
    <w:rPr>
      <w:rFonts w:ascii="仿宋" w:hAnsi="仿宋" w:eastAsia="仿宋"/>
      <w:sz w:val="35"/>
      <w:szCs w:val="35"/>
      <w:lang w:eastAsia="en-U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xmlns="http://schemas.wps.cn/vas-ai-hub/contract-review">
    <reviewItem xmlns="http://schemas.wps.cn/vas-ai-hub/contract-review">
      <errorID xmlns="http://schemas.wps.cn/vas-ai-hub/contract-review">b81d0ad3-703d-4a0c-b9a6-88af75ff7817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77982B8E</paraID>
      <start xmlns="http://schemas.wps.cn/vas-ai-hub/contract-review">22</start>
      <end xmlns="http://schemas.wps.cn/vas-ai-hub/contract-review">23</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d7f8aeff-e542-4561-9dc9-f58b4ac580f6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77982B8E</paraID>
      <start xmlns="http://schemas.wps.cn/vas-ai-hub/contract-review">33</start>
      <end xmlns="http://schemas.wps.cn/vas-ai-hub/contract-review">35</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d02e4f05-5e41-4dde-89e9-0cd7c525256a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77982B8E</paraID>
      <start xmlns="http://schemas.wps.cn/vas-ai-hub/contract-review">40</start>
      <end xmlns="http://schemas.wps.cn/vas-ai-hub/contract-review">41</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1327292a-8f2e-4262-888e-b53464f0be75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6A62B3F4</paraID>
      <start xmlns="http://schemas.wps.cn/vas-ai-hub/contract-review">24</start>
      <end xmlns="http://schemas.wps.cn/vas-ai-hub/contract-review">25</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af86655f-1b7c-4414-97e5-68397fce83c9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5C98D9EF</paraID>
      <start xmlns="http://schemas.wps.cn/vas-ai-hub/contract-review">124</start>
      <end xmlns="http://schemas.wps.cn/vas-ai-hub/contract-review">125</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ffa8b2e3-81d5-4a78-8ad5-834469fa83fa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5C98D9EF</paraID>
      <start xmlns="http://schemas.wps.cn/vas-ai-hub/contract-review">135</start>
      <end xmlns="http://schemas.wps.cn/vas-ai-hub/contract-review">137</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7d08f555-4324-40d5-a681-f02455d77f09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5C98D9EF</paraID>
      <start xmlns="http://schemas.wps.cn/vas-ai-hub/contract-review">142</start>
      <end xmlns="http://schemas.wps.cn/vas-ai-hub/contract-review">143</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6a036fba-1eda-464f-9744-f24ad8e0ea69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5C98D9EF</paraID>
      <start xmlns="http://schemas.wps.cn/vas-ai-hub/contract-review">160</start>
      <end xmlns="http://schemas.wps.cn/vas-ai-hub/contract-review">161</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ffd3efe9-5981-42ae-a6db-6b29c1bf67d9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5C98D9EF</paraID>
      <start xmlns="http://schemas.wps.cn/vas-ai-hub/contract-review">164</start>
      <end xmlns="http://schemas.wps.cn/vas-ai-hub/contract-review">165</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ea34621b-407f-4650-8abd-58c3ebfb963c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45DFD2CE</paraID>
      <start xmlns="http://schemas.wps.cn/vas-ai-hub/contract-review">3</start>
      <end xmlns="http://schemas.wps.cn/vas-ai-hub/contract-review">4</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96a783d2-1177-45ce-98b9-77f7386fd5a7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12B5F269</paraID>
      <start xmlns="http://schemas.wps.cn/vas-ai-hub/contract-review">4</start>
      <end xmlns="http://schemas.wps.cn/vas-ai-hub/contract-review">5</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5a04e860-5d11-4d8d-9296-e1456c720dcf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257C7229</paraID>
      <start xmlns="http://schemas.wps.cn/vas-ai-hub/contract-review">4</start>
      <end xmlns="http://schemas.wps.cn/vas-ai-hub/contract-review">5</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b3a96aa2-7e56-4e59-a35e-87bd48012614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6A600C19</paraID>
      <start xmlns="http://schemas.wps.cn/vas-ai-hub/contract-review">2</start>
      <end xmlns="http://schemas.wps.cn/vas-ai-hub/contract-review">3</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00a146d8-7e22-4438-869f-317169888b7c</errorID>
      <errorWord xmlns="http://schemas.wps.cn/vas-ai-hub/contract-review">增强</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提升</item>
      </candidateList>
      <explain xmlns="http://schemas.wps.cn/vas-ai-hub/contract-review">“增强～水平”搭配不当，建议修改为“提升～水平”。</explain>
      <paraID xmlns="http://schemas.wps.cn/vas-ai-hub/contract-review">4F882916</paraID>
      <start xmlns="http://schemas.wps.cn/vas-ai-hub/contract-review">109</start>
      <end xmlns="http://schemas.wps.cn/vas-ai-hub/contract-review">111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b4a3cab7-71f9-4d3b-8790-f83b20125ec3</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463555D1</paraID>
      <start xmlns="http://schemas.wps.cn/vas-ai-hub/contract-review">24</start>
      <end xmlns="http://schemas.wps.cn/vas-ai-hub/contract-review">25</end>
      <status xmlns="http://schemas.wps.cn/vas-ai-hub/contract-review">modified</status>
      <modifiedWord xmlns="http://schemas.wps.cn/vas-ai-hub/contract-review">—</modifiedWord>
      <trackRevisions xmlns="http://schemas.wps.cn/vas-ai-hub/contract-review">false</trackRevisions>
    </reviewItem>
  </reviewItems>
  <config xmlns="http://schemas.wps.cn/vas-ai-hub/contract-review"/>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e2a08e6-8b36-44c9-a32c-9e1cc51dba4a}">
  <ds:schemaRefs/>
</ds:datastoreItem>
</file>

<file path=docProps/app.xml><?xml version="1.0" encoding="utf-8"?>
<Properties xmlns="http://schemas.openxmlformats.org/officeDocument/2006/extended-properties" xmlns:vt="http://schemas.openxmlformats.org/officeDocument/2006/docPropsVTypes">
  <Template>Normal.dotm</Template>
  <Pages>8</Pages>
  <Words>4161</Words>
  <Characters>4311</Characters>
  <Lines>0</Lines>
  <Paragraphs>0</Paragraphs>
  <TotalTime>1</TotalTime>
  <ScaleCrop>false</ScaleCrop>
  <LinksUpToDate>false</LinksUpToDate>
  <CharactersWithSpaces>4311</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2026-01-15T03:22:00Z</dcterms:created>
  <dc:creator>DYY</dc:creator>
  <cp:lastModifiedBy>gxj420</cp:lastModifiedBy>
  <cp:lastPrinted>2026-03-13T02:53:00Z</cp:lastPrinted>
  <dcterms:modified xsi:type="dcterms:W3CDTF">2026-07-13T14:56:43Z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05A288598D4C46A78ABB33BA40C5929F_13</vt:lpwstr>
  </property>
  <property fmtid="{D5CDD505-2E9C-101B-9397-08002B2CF9AE}" pid="4" name="KSOTemplateDocerSaveRecord">
    <vt:lpwstr>eyJoZGlkIjoiZTNlZDk3ODlkNGE1Y2RlYTBiMWY5ZjAxOWE0NzE1ZjgiLCJ1c2VySWQiOiIyNTQ5MDk1MTAifQ==</vt:lpwstr>
  </property>
</Properties>
</file>