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Times New Roman" w:hAnsi="Times New Roman" w:eastAsia="黑体" w:cs="Times New Roman"/>
          <w:color w:val="000000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color w:val="000000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lang w:eastAsia="zh-CN"/>
        </w:rPr>
        <w:t>广州市专精特新中小企业培育赋能中心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080" w:firstLineChars="700"/>
        <w:jc w:val="both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lang w:eastAsia="zh-CN"/>
        </w:rPr>
        <w:t>建设方案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880" w:firstLineChars="900"/>
        <w:jc w:val="left"/>
        <w:textAlignment w:val="auto"/>
        <w:rPr>
          <w:lang w:eastAsia="zh-CN"/>
        </w:rPr>
      </w:pPr>
      <w:r>
        <w:rPr>
          <w:rFonts w:ascii="Times New Roman" w:hAnsi="Times New Roman" w:eastAsia="楷体_GB2312"/>
          <w:color w:val="000000"/>
          <w:szCs w:val="32"/>
          <w:lang w:eastAsia="zh-CN"/>
        </w:rPr>
        <w:t>（核心内容</w:t>
      </w:r>
      <w:r>
        <w:rPr>
          <w:rFonts w:hint="eastAsia" w:ascii="Times New Roman" w:hAnsi="Times New Roman" w:eastAsia="楷体_GB2312"/>
          <w:color w:val="000000"/>
          <w:szCs w:val="32"/>
          <w:lang w:eastAsia="zh-CN"/>
        </w:rPr>
        <w:t>参考</w:t>
      </w:r>
      <w:r>
        <w:rPr>
          <w:rFonts w:ascii="Times New Roman" w:hAnsi="Times New Roman" w:eastAsia="楷体_GB2312"/>
          <w:color w:val="000000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本模板依据《广州市专精特新中小企业培育赋能中心建设项目申报指南》编制，供申报单位编制项目建设方案时参照使用。方案标题统一为“×××（申报单位名称）广州市专精特新中小企业培育赋能中心建设方案”；正文按下列八个方面分章编写，一级标题不得删减，二级及以下标题可结合申报单位实际调整，正文总篇幅一般不少于</w:t>
      </w:r>
      <w:r>
        <w:rPr>
          <w:rFonts w:hint="eastAsia" w:ascii="Times New Roman" w:hAnsi="Times New Roman" w:cs="仿宋_GB2312"/>
          <w:color w:val="000000"/>
          <w:lang w:eastAsia="zh-CN"/>
        </w:rPr>
        <w:t>20</w:t>
      </w:r>
      <w:r>
        <w:rPr>
          <w:rFonts w:hint="eastAsia" w:cs="仿宋_GB2312"/>
          <w:color w:val="000000"/>
          <w:lang w:eastAsia="zh-CN"/>
        </w:rPr>
        <w:t>页、不超过</w:t>
      </w:r>
      <w:r>
        <w:rPr>
          <w:rFonts w:hint="eastAsia" w:ascii="Times New Roman" w:hAnsi="Times New Roman" w:cs="仿宋_GB2312"/>
          <w:color w:val="000000"/>
          <w:lang w:eastAsia="zh-CN"/>
        </w:rPr>
        <w:t>30</w:t>
      </w:r>
      <w:r>
        <w:rPr>
          <w:rFonts w:hint="eastAsia" w:cs="仿宋_GB2312"/>
          <w:color w:val="000000"/>
          <w:lang w:eastAsia="zh-CN"/>
        </w:rPr>
        <w:t>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建设方案按</w:t>
      </w:r>
      <w:r>
        <w:rPr>
          <w:rFonts w:hint="eastAsia" w:ascii="Times New Roman" w:hAnsi="Times New Roman" w:cs="仿宋_GB2312"/>
          <w:color w:val="000000"/>
          <w:lang w:eastAsia="zh-CN"/>
        </w:rPr>
        <w:t>A4</w:t>
      </w:r>
      <w:r>
        <w:rPr>
          <w:rFonts w:hint="eastAsia" w:cs="仿宋_GB2312"/>
          <w:color w:val="000000"/>
          <w:lang w:eastAsia="zh-CN"/>
        </w:rPr>
        <w:t>纸排版，正文采用仿宋_</w:t>
      </w:r>
      <w:r>
        <w:rPr>
          <w:rFonts w:hint="eastAsia" w:ascii="Times New Roman" w:hAnsi="Times New Roman" w:cs="仿宋_GB2312"/>
          <w:color w:val="000000"/>
          <w:lang w:eastAsia="zh-CN"/>
        </w:rPr>
        <w:t>GB2312</w:t>
      </w:r>
      <w:r>
        <w:rPr>
          <w:rFonts w:hint="eastAsia" w:cs="仿宋_GB2312"/>
          <w:color w:val="000000"/>
          <w:lang w:eastAsia="zh-CN"/>
        </w:rPr>
        <w:t>三号，一级标题采用黑体三号，二级标题采用楷体_</w:t>
      </w:r>
      <w:r>
        <w:rPr>
          <w:rFonts w:hint="eastAsia" w:ascii="Times New Roman" w:hAnsi="Times New Roman" w:cs="仿宋_GB2312"/>
          <w:color w:val="000000"/>
          <w:lang w:eastAsia="zh-CN"/>
        </w:rPr>
        <w:t>GB2312</w:t>
      </w:r>
      <w:r>
        <w:rPr>
          <w:rFonts w:hint="eastAsia" w:cs="仿宋_GB2312"/>
          <w:color w:val="000000"/>
          <w:lang w:eastAsia="zh-CN"/>
        </w:rPr>
        <w:t>三号加粗，三级标题采用仿宋_</w:t>
      </w:r>
      <w:r>
        <w:rPr>
          <w:rFonts w:hint="eastAsia" w:ascii="Times New Roman" w:hAnsi="Times New Roman" w:cs="仿宋_GB2312"/>
          <w:color w:val="000000"/>
          <w:lang w:eastAsia="zh-CN"/>
        </w:rPr>
        <w:t>GB2312</w:t>
      </w:r>
      <w:r>
        <w:rPr>
          <w:rFonts w:hint="eastAsia" w:cs="仿宋_GB2312"/>
          <w:color w:val="000000"/>
          <w:lang w:eastAsia="zh-CN"/>
        </w:rPr>
        <w:t>三号加粗；行距采用固定值</w:t>
      </w:r>
      <w:r>
        <w:rPr>
          <w:rFonts w:hint="eastAsia" w:ascii="Times New Roman" w:hAnsi="Times New Roman" w:cs="仿宋_GB2312"/>
          <w:color w:val="000000"/>
          <w:lang w:eastAsia="zh-CN"/>
        </w:rPr>
        <w:t>28</w:t>
      </w:r>
      <w:r>
        <w:rPr>
          <w:rFonts w:hint="eastAsia" w:cs="仿宋_GB2312"/>
          <w:color w:val="000000"/>
          <w:lang w:eastAsia="zh-CN"/>
        </w:rPr>
        <w:t>磅，首行缩进</w:t>
      </w:r>
      <w:r>
        <w:rPr>
          <w:rFonts w:hint="eastAsia" w:ascii="Times New Roman" w:hAnsi="Times New Roman" w:cs="仿宋_GB2312"/>
          <w:color w:val="000000"/>
          <w:lang w:eastAsia="zh-CN"/>
        </w:rPr>
        <w:t>2</w:t>
      </w:r>
      <w:r>
        <w:rPr>
          <w:rFonts w:hint="eastAsia" w:cs="仿宋_GB2312"/>
          <w:color w:val="000000"/>
          <w:lang w:eastAsia="zh-CN"/>
        </w:rPr>
        <w:t>字符，页边距为上</w:t>
      </w:r>
      <w:r>
        <w:rPr>
          <w:rFonts w:hint="eastAsia" w:ascii="Times New Roman" w:hAnsi="Times New Roman" w:cs="仿宋_GB2312"/>
          <w:color w:val="000000"/>
          <w:lang w:eastAsia="zh-CN"/>
        </w:rPr>
        <w:t>3</w:t>
      </w:r>
      <w:r>
        <w:rPr>
          <w:rFonts w:hint="eastAsia" w:cs="仿宋_GB2312"/>
          <w:color w:val="000000"/>
          <w:lang w:eastAsia="zh-CN"/>
        </w:rPr>
        <w:t>.</w:t>
      </w:r>
      <w:r>
        <w:rPr>
          <w:rFonts w:hint="eastAsia" w:ascii="Times New Roman" w:hAnsi="Times New Roman" w:cs="仿宋_GB2312"/>
          <w:color w:val="000000"/>
          <w:lang w:eastAsia="zh-CN"/>
        </w:rPr>
        <w:t>7</w:t>
      </w:r>
      <w:r>
        <w:rPr>
          <w:rFonts w:hint="eastAsia" w:cs="仿宋_GB2312"/>
          <w:color w:val="000000"/>
          <w:lang w:eastAsia="zh-CN"/>
        </w:rPr>
        <w:t>厘米、下</w:t>
      </w:r>
      <w:r>
        <w:rPr>
          <w:rFonts w:hint="eastAsia" w:ascii="Times New Roman" w:hAnsi="Times New Roman" w:cs="仿宋_GB2312"/>
          <w:color w:val="000000"/>
          <w:lang w:eastAsia="zh-CN"/>
        </w:rPr>
        <w:t>3</w:t>
      </w:r>
      <w:r>
        <w:rPr>
          <w:rFonts w:hint="eastAsia" w:cs="仿宋_GB2312"/>
          <w:color w:val="000000"/>
          <w:lang w:eastAsia="zh-CN"/>
        </w:rPr>
        <w:t>.</w:t>
      </w:r>
      <w:r>
        <w:rPr>
          <w:rFonts w:hint="eastAsia" w:ascii="Times New Roman" w:hAnsi="Times New Roman" w:cs="仿宋_GB2312"/>
          <w:color w:val="000000"/>
          <w:lang w:eastAsia="zh-CN"/>
        </w:rPr>
        <w:t>5</w:t>
      </w:r>
      <w:r>
        <w:rPr>
          <w:rFonts w:hint="eastAsia" w:cs="仿宋_GB2312"/>
          <w:color w:val="000000"/>
          <w:lang w:eastAsia="zh-CN"/>
        </w:rPr>
        <w:t>厘米、左</w:t>
      </w:r>
      <w:r>
        <w:rPr>
          <w:rFonts w:hint="eastAsia" w:ascii="Times New Roman" w:hAnsi="Times New Roman" w:cs="仿宋_GB2312"/>
          <w:color w:val="000000"/>
          <w:lang w:eastAsia="zh-CN"/>
        </w:rPr>
        <w:t>2</w:t>
      </w:r>
      <w:r>
        <w:rPr>
          <w:rFonts w:hint="eastAsia" w:cs="仿宋_GB2312"/>
          <w:color w:val="000000"/>
          <w:lang w:eastAsia="zh-CN"/>
        </w:rPr>
        <w:t>.</w:t>
      </w:r>
      <w:r>
        <w:rPr>
          <w:rFonts w:hint="eastAsia" w:ascii="Times New Roman" w:hAnsi="Times New Roman" w:cs="仿宋_GB2312"/>
          <w:color w:val="000000"/>
          <w:lang w:eastAsia="zh-CN"/>
        </w:rPr>
        <w:t>8</w:t>
      </w:r>
      <w:r>
        <w:rPr>
          <w:rFonts w:hint="eastAsia" w:cs="仿宋_GB2312"/>
          <w:color w:val="000000"/>
          <w:lang w:eastAsia="zh-CN"/>
        </w:rPr>
        <w:t>厘米、右</w:t>
      </w:r>
      <w:r>
        <w:rPr>
          <w:rFonts w:hint="eastAsia" w:ascii="Times New Roman" w:hAnsi="Times New Roman" w:cs="仿宋_GB2312"/>
          <w:color w:val="000000"/>
          <w:lang w:eastAsia="zh-CN"/>
        </w:rPr>
        <w:t>2</w:t>
      </w:r>
      <w:r>
        <w:rPr>
          <w:rFonts w:hint="eastAsia" w:cs="仿宋_GB2312"/>
          <w:color w:val="000000"/>
          <w:lang w:eastAsia="zh-CN"/>
        </w:rPr>
        <w:t>.</w:t>
      </w:r>
      <w:r>
        <w:rPr>
          <w:rFonts w:hint="eastAsia" w:ascii="Times New Roman" w:hAnsi="Times New Roman" w:cs="仿宋_GB2312"/>
          <w:color w:val="000000"/>
          <w:lang w:eastAsia="zh-CN"/>
        </w:rPr>
        <w:t>6</w:t>
      </w:r>
      <w:r>
        <w:rPr>
          <w:rFonts w:hint="eastAsia" w:cs="仿宋_GB2312"/>
          <w:color w:val="000000"/>
          <w:lang w:eastAsia="zh-CN"/>
        </w:rPr>
        <w:t>厘米，页码居中标注。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表题置于表上方居中并采用黑体四号，表头与表体同为仿宋_</w:t>
      </w:r>
      <w:r>
        <w:rPr>
          <w:rFonts w:hint="eastAsia" w:ascii="Times New Roman" w:hAnsi="Times New Roman" w:cs="仿宋_GB2312"/>
          <w:color w:val="000000"/>
          <w:lang w:eastAsia="zh-CN"/>
        </w:rPr>
        <w:t>GB2312</w:t>
      </w:r>
      <w:r>
        <w:rPr>
          <w:rFonts w:hint="eastAsia" w:cs="仿宋_GB2312"/>
          <w:color w:val="000000"/>
          <w:lang w:eastAsia="zh-CN"/>
        </w:rPr>
        <w:t>小四，表格居中排版、宽度与版心保持一致。方案正文之外随文提交的附表、附图，编号与名称应与正文表述一致。方案连同各附表、附图合并装订成册，加盖申报单位公章，同时报送</w:t>
      </w:r>
      <w:r>
        <w:rPr>
          <w:rFonts w:hint="eastAsia" w:ascii="Times New Roman" w:hAnsi="Times New Roman" w:cs="仿宋_GB2312"/>
          <w:color w:val="000000"/>
          <w:lang w:eastAsia="zh-CN"/>
        </w:rPr>
        <w:t>Word</w:t>
      </w:r>
      <w:r>
        <w:rPr>
          <w:rFonts w:hint="eastAsia" w:cs="仿宋_GB2312"/>
          <w:color w:val="000000"/>
          <w:lang w:eastAsia="zh-CN"/>
        </w:rPr>
        <w:t>格式电子文档。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一、方案背景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阐述国家、省、市关于优质中小企业梯度培育的部署要求，分析广州市专精特新培育现状与企业现实需求，说明项目建设的必要性与紧迫性。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二、中心定位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rFonts w:hint="eastAsia" w:cs="仿宋_GB2312"/>
          <w:color w:val="000000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lang w:eastAsia="zh-CN"/>
        </w:rPr>
        <w:t>（一）培育服务功能建设。</w:t>
      </w:r>
      <w:r>
        <w:rPr>
          <w:rFonts w:hint="eastAsia" w:cs="仿宋_GB2312"/>
          <w:color w:val="000000"/>
          <w:lang w:eastAsia="zh-CN"/>
        </w:rPr>
        <w:t>支持培育赋能中心按照精心“选苗”、用心“育苗”、悉心“壮苗”、倾心“护苗”四阶段递进式培育路径，汇聚创新、数智、政策、人才、金融、生态六大培育功能，构建覆盖企业成长全周期的系统化培育能力底座。（</w:t>
      </w:r>
      <w:r>
        <w:rPr>
          <w:rFonts w:hint="eastAsia" w:cs="仿宋_GB2312"/>
          <w:color w:val="000000"/>
          <w:lang w:val="en-US" w:eastAsia="zh-CN"/>
        </w:rPr>
        <w:t>如：</w:t>
      </w:r>
      <w:r>
        <w:rPr>
          <w:rFonts w:hint="eastAsia" w:cs="仿宋_GB2312"/>
          <w:color w:val="000000"/>
          <w:lang w:eastAsia="zh-CN"/>
        </w:rPr>
        <w:t>创新培育聚焦产学研需求与科技成果双向对接、关键核心技术攻关、中试平台开放共享；数智培育聚焦数字化转型产品与场景供需对接、人工智能场景创新应用、智能制造标杆培育；政策培育聚焦优质企业主动发现、智能诊断评估、政策精准推送和申报辅导；人才培育聚焦高层次人才引进、人才能力提升培训、职称衔接与卓越工程师评价；金融培育聚焦投融资路演、产业定制型信贷产品和上市培育；生态培育聚焦展会对接、大中小企业融通、出海服务保障和域外优企招引。同时，面向创新型中小企业和科技型中小企业、专精特新中小企业、专精特新“小巨人”企业三个层次，分别设置差异化服务形式和服务内容，提供诊断评估、“一企一策”提升路线图、申报预审辅导等分层分类培育服务，并为全体专精特新企业提供生态护航与品牌营造服务，健全优质中小企业梯度培育体系，打造“广州专精特新”区域公共品牌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rFonts w:cs="仿宋_GB2312"/>
          <w:color w:val="000000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lang w:eastAsia="zh-CN"/>
        </w:rPr>
        <w:t>（二）实体化建设与资源整合。</w:t>
      </w:r>
      <w:r>
        <w:rPr>
          <w:rFonts w:hint="eastAsia" w:cs="仿宋_GB2312"/>
          <w:color w:val="000000"/>
          <w:lang w:eastAsia="zh-CN"/>
        </w:rPr>
        <w:t>支持建设“广州专精特新企业之家”线下服务阵地，配备独立服务场地与专职运营团队；支持搭建以培育赋能中心为核心、与全市</w:t>
      </w:r>
      <w:r>
        <w:rPr>
          <w:rFonts w:hint="eastAsia" w:cs="仿宋_GB2312"/>
          <w:color w:val="000000"/>
          <w:lang w:val="en-US" w:eastAsia="zh-CN"/>
        </w:rPr>
        <w:t>各</w:t>
      </w:r>
      <w:r>
        <w:rPr>
          <w:rFonts w:hint="eastAsia" w:cs="仿宋_GB2312"/>
          <w:color w:val="000000"/>
          <w:lang w:eastAsia="zh-CN"/>
        </w:rPr>
        <w:t>区建立联动工作机制。同步配套建设线上公共服务系统，开发“优质中小企业主动发现”功能模块，提供政策速递、智能匹配、梯度画像、进度跟踪等服务，推动惠企服务从“企业找政策”向“政策找企业”转变，形成“线上+线下”一体的实体化运作格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rFonts w:hint="eastAsia" w:cs="仿宋_GB2312"/>
          <w:color w:val="000000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lang w:eastAsia="zh-CN"/>
        </w:rPr>
        <w:t>（三）企业发展要素资源整合与协同服务供给。</w:t>
      </w:r>
      <w:r>
        <w:rPr>
          <w:rFonts w:hint="eastAsia" w:cs="仿宋_GB2312"/>
          <w:color w:val="000000"/>
          <w:lang w:eastAsia="zh-CN"/>
        </w:rPr>
        <w:t>支持培育赋能中心归集整合各类企业发展要素，建立统一的服务资源库，实行统一汇聚、按需调用。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rFonts w:cs="仿宋_GB2312"/>
          <w:color w:val="000000"/>
          <w:lang w:eastAsia="zh-CN"/>
        </w:rPr>
      </w:pPr>
      <w:r>
        <w:rPr>
          <w:rFonts w:hint="eastAsia" w:ascii="楷体_GB2312" w:hAnsi="楷体_GB2312" w:eastAsia="楷体_GB2312" w:cs="楷体_GB2312"/>
          <w:color w:val="000000"/>
          <w:lang w:eastAsia="zh-CN"/>
        </w:rPr>
        <w:t>（四）专精特新培育智库建设。</w:t>
      </w:r>
      <w:r>
        <w:rPr>
          <w:rFonts w:hint="eastAsia" w:cs="仿宋_GB2312"/>
          <w:color w:val="000000"/>
          <w:lang w:eastAsia="zh-CN"/>
        </w:rPr>
        <w:t>支持组建专精特新培育智库，汇聚产业研究、政策研究、技术创新、金融资本、人才引育等领域专家力量，面向政府部门和企业提供专精特新培育决策咨询与智力支撑。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三、培育服务思路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说明与全市</w:t>
      </w:r>
      <w:r>
        <w:rPr>
          <w:rFonts w:hint="eastAsia" w:ascii="Times New Roman" w:hAnsi="Times New Roman" w:cs="仿宋_GB2312"/>
          <w:color w:val="000000"/>
          <w:lang w:eastAsia="zh-CN"/>
        </w:rPr>
        <w:t>11</w:t>
      </w:r>
      <w:r>
        <w:rPr>
          <w:rFonts w:hint="eastAsia" w:cs="仿宋_GB2312"/>
          <w:color w:val="000000"/>
          <w:lang w:eastAsia="zh-CN"/>
        </w:rPr>
        <w:t>个区建立联动工作机制、依托重点产业园区和产业集群设立服务触点的协同服务网络；说明四阶段递进培育主线与创新、数智、政策、人才、金融、生态六大培育功能的对应关系。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四、培育服务内容</w:t>
      </w:r>
      <w:r>
        <w:rPr>
          <w:rFonts w:hint="eastAsia" w:ascii="黑体" w:hAnsi="黑体" w:eastAsia="黑体" w:cs="黑体"/>
          <w:color w:val="000000"/>
          <w:lang w:val="en-US" w:eastAsia="zh-CN"/>
        </w:rPr>
        <w:t>及目标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对照</w:t>
      </w:r>
      <w:r>
        <w:rPr>
          <w:rFonts w:ascii="仿宋_GB2312" w:hAnsi="Times New Roman" w:eastAsia="仿宋_GB2312"/>
          <w:sz w:val="32"/>
          <w:szCs w:val="32"/>
        </w:rPr>
        <w:t>全市专精特新梯度培育目标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自行</w:t>
      </w:r>
      <w:r>
        <w:rPr>
          <w:rFonts w:ascii="仿宋_GB2312" w:hAnsi="Times New Roman" w:eastAsia="仿宋_GB2312"/>
          <w:sz w:val="32"/>
          <w:szCs w:val="32"/>
        </w:rPr>
        <w:t>设置可量化的服务指标</w:t>
      </w:r>
      <w:r>
        <w:rPr>
          <w:rFonts w:hint="eastAsia" w:cs="仿宋_GB2312"/>
          <w:color w:val="000000"/>
          <w:lang w:eastAsia="zh-CN"/>
        </w:rPr>
        <w:t>，包括服务企业数量、培育活动场次、入库服务机构数量、供需撮合项目数、公共服务系统服务能力等，并与全市专精特新梯度培育目标相衔接；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按创新型中小企业和科技型中小企业、专精特新中小企业、专精特新“小巨人”企业三个层级，逐层说明各层级需补强的要素、服务形式与服务内容，并说明面向全体专精特新企业的“护苗”生态护航与品牌营造服务；逐项说明六大培育功能的具体服务举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五、组织架构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说明“分级表决、主管单位同意”的议事规则，明确市工业和信息化局对重大事项的一票否决权；说明筹备委员会（建设期）的人员构成与职责，管理委员会（运营期）由筹备委员会整体转设及其职责，以及六大专项培育工作组的组长单位与成员单位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六、建设计划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围绕基础条件建设、培育体系构建、服务资源汇聚、培育服务实施、品牌营造与成果固化五个方面列示建设任务；按阶段列明建设时序，并与广州市创新型中小企业、专精特新中小企业、专精特新“小巨人”企业三类申报窗口相衔接；按本项目</w:t>
      </w:r>
      <w:r>
        <w:rPr>
          <w:rFonts w:hint="eastAsia" w:ascii="Times New Roman" w:hAnsi="Times New Roman" w:cs="仿宋_GB2312"/>
          <w:color w:val="000000"/>
          <w:lang w:eastAsia="zh-CN"/>
        </w:rPr>
        <w:t>500</w:t>
      </w:r>
      <w:r>
        <w:rPr>
          <w:rFonts w:hint="eastAsia" w:cs="仿宋_GB2312"/>
          <w:color w:val="000000"/>
          <w:lang w:eastAsia="zh-CN"/>
        </w:rPr>
        <w:t>万元编制经费安排；按五大类设置可量化考核指标，逐项列明设置依据与建设期目标值。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七、保障措施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从加强组织领导、强化资金保障、完善政策支撑、营造良好氛围等方面提出具体措施。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ascii="黑体" w:hAnsi="黑体" w:eastAsia="黑体" w:cs="黑体"/>
          <w:color w:val="000000"/>
          <w:lang w:eastAsia="zh-CN"/>
        </w:rPr>
        <w:t>八、建设亮点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归纳提炼</w:t>
      </w:r>
      <w:r>
        <w:rPr>
          <w:rFonts w:hint="eastAsia" w:ascii="Times New Roman" w:hAnsi="Times New Roman" w:cs="仿宋_GB2312"/>
          <w:color w:val="000000"/>
          <w:lang w:eastAsia="zh-CN"/>
        </w:rPr>
        <w:t>3</w:t>
      </w:r>
      <w:r>
        <w:rPr>
          <w:rFonts w:hint="eastAsia" w:cs="仿宋_GB2312"/>
          <w:color w:val="000000"/>
          <w:lang w:eastAsia="zh-CN"/>
        </w:rPr>
        <w:t>—</w:t>
      </w:r>
      <w:r>
        <w:rPr>
          <w:rFonts w:hint="eastAsia" w:ascii="Times New Roman" w:hAnsi="Times New Roman" w:cs="仿宋_GB2312"/>
          <w:color w:val="000000"/>
          <w:lang w:eastAsia="zh-CN"/>
        </w:rPr>
        <w:t>5</w:t>
      </w:r>
      <w:r>
        <w:rPr>
          <w:rFonts w:hint="eastAsia" w:cs="仿宋_GB2312"/>
          <w:color w:val="000000"/>
          <w:lang w:eastAsia="zh-CN"/>
        </w:rPr>
        <w:t>项体现申报单位资源禀赋与服务特色的建设亮点。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jc w:val="both"/>
        <w:textAlignment w:val="auto"/>
        <w:rPr>
          <w:lang w:eastAsia="zh-CN"/>
        </w:rPr>
      </w:pPr>
      <w:r>
        <w:rPr>
          <w:rFonts w:hint="eastAsia" w:cs="仿宋_GB2312"/>
          <w:color w:val="000000"/>
          <w:lang w:eastAsia="zh-CN"/>
        </w:rPr>
        <w:t>方案末尾写明申报单位对所提交材料真实性的承诺，以及单位名称、日期并加盖公章。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  <w:bookmarkStart w:id="0" w:name="_GoBack"/>
      <w:bookmarkEnd w:id="0"/>
    </w:p>
    <w:sectPr>
      <w:footerReference r:id="rId5" w:type="default"/>
      <w:pgSz w:w="11906" w:h="16838"/>
      <w:pgMar w:top="1587" w:right="1474" w:bottom="1587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232E56"/>
    <w:rsid w:val="FF17D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正文缩进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2026-09-17T12:31:00Z</dcterms:created>
  <dc:creator>zhouq</dc:creator>
  <cp:lastModifiedBy>打字室</cp:lastModifiedBy>
  <dcterms:modified xsi:type="dcterms:W3CDTF">2026-09-21T09:28:11Z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KSOTemplateDocerSaveRecord">
    <vt:lpwstr>eyJoZGlkIjoiZTk0MTkzNzcwMjU3ZTUyYmZiMWVjODkwNmY0YmE2OTciLCJ1c2VySWQiOiI0MTQ2MTM5NzgifQ==</vt:lpwstr>
  </property>
  <property fmtid="{D5CDD505-2E9C-101B-9397-08002B2CF9AE}" pid="4" name="ICV">
    <vt:lpwstr>C1819300696B44CF84ECB7F566301A11_12</vt:lpwstr>
  </property>
</Properties>
</file>