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方正小标宋简体" w:hAnsi="方正小标宋简体" w:eastAsia="方正小标宋简体" w:cs="方正小标宋简体"/>
          <w:color w:val="auto"/>
          <w:kern w:val="2"/>
          <w:sz w:val="44"/>
          <w:szCs w:val="52"/>
          <w:lang w:val="en-US" w:eastAsia="zh-CN" w:bidi="ar-SA"/>
        </w:rPr>
        <w:id w:val="147476426"/>
        <w15:color w:val="DBDBDB"/>
        <w:docPartObj>
          <w:docPartGallery w:val="Table of Contents"/>
          <w:docPartUnique/>
        </w:docPartObj>
      </w:sdtPr>
      <w:sdtEndP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sdtEndPr>
      <w:sdtContent>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outlineLvl w:val="0"/>
            <w:rPr>
              <w:rFonts w:hint="eastAsia" w:ascii="方正小标宋简体" w:hAnsi="方正小标宋简体" w:eastAsia="方正小标宋简体" w:cs="方正小标宋简体"/>
              <w:color w:val="auto"/>
              <w:kern w:val="2"/>
              <w:sz w:val="44"/>
              <w:szCs w:val="52"/>
              <w:lang w:val="en-US" w:eastAsia="zh-CN" w:bidi="ar-SA"/>
            </w:rPr>
          </w:pPr>
          <w:bookmarkStart w:id="0" w:name="_Toc230599944"/>
          <w:bookmarkStart w:id="1" w:name="_Toc1245004569"/>
          <w:bookmarkStart w:id="2" w:name="_Toc1795288924"/>
          <w:bookmarkStart w:id="3" w:name="_Toc1480260551"/>
          <w:bookmarkStart w:id="4" w:name="_Toc1600028045"/>
          <w:bookmarkStart w:id="5" w:name="_Toc423961135"/>
          <w:bookmarkStart w:id="6" w:name="_Toc1295588304"/>
          <w:bookmarkStart w:id="7" w:name="_Toc1353940805"/>
          <w:bookmarkStart w:id="8" w:name="_Toc1879103128"/>
          <w:bookmarkStart w:id="9" w:name="_Toc226535273"/>
          <w:bookmarkStart w:id="10" w:name="_Toc3577"/>
          <w:bookmarkStart w:id="11" w:name="_Toc1715893515"/>
          <w:bookmarkStart w:id="12" w:name="_Toc1595077944"/>
          <w:bookmarkStart w:id="13" w:name="_Toc1585416753"/>
          <w:bookmarkStart w:id="14" w:name="OLE_LINK1"/>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outlineLvl w:val="0"/>
            <w:rPr>
              <w:rFonts w:hint="eastAsia" w:ascii="方正小标宋简体" w:hAnsi="方正小标宋简体" w:eastAsia="方正小标宋简体" w:cs="方正小标宋简体"/>
              <w:color w:val="auto"/>
              <w:kern w:val="2"/>
              <w:sz w:val="44"/>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outlineLvl w:val="0"/>
            <w:rPr>
              <w:rFonts w:hint="eastAsia" w:ascii="方正小标宋简体" w:hAnsi="方正小标宋简体" w:eastAsia="方正小标宋简体" w:cs="方正小标宋简体"/>
              <w:color w:val="auto"/>
              <w:kern w:val="2"/>
              <w:sz w:val="44"/>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outlineLvl w:val="0"/>
            <w:rPr>
              <w:rFonts w:hint="eastAsia" w:ascii="方正小标宋简体" w:hAnsi="方正小标宋简体" w:eastAsia="方正小标宋简体" w:cs="方正小标宋简体"/>
              <w:color w:val="auto"/>
              <w:kern w:val="2"/>
              <w:sz w:val="44"/>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800" w:lineRule="exact"/>
            <w:ind w:left="0" w:firstLine="0" w:firstLineChars="0"/>
            <w:jc w:val="center"/>
            <w:textAlignment w:val="auto"/>
            <w:outlineLvl w:val="0"/>
            <w:rPr>
              <w:rFonts w:hint="default" w:ascii="Times New Roman Regular" w:hAnsi="Times New Roman Regular" w:eastAsia="方正小标宋简体" w:cs="Times New Roman Regular"/>
              <w:color w:val="auto"/>
              <w:sz w:val="48"/>
              <w:szCs w:val="48"/>
              <w:lang w:val="en-US" w:eastAsia="zh-CN"/>
            </w:rPr>
          </w:pPr>
          <w:r>
            <w:rPr>
              <w:rFonts w:hint="eastAsia" w:ascii="Times New Roman Regular" w:hAnsi="Times New Roman Regular" w:eastAsia="方正小标宋简体" w:cs="Times New Roman Regular"/>
              <w:color w:val="auto"/>
              <w:sz w:val="48"/>
              <w:szCs w:val="48"/>
              <w:lang w:val="en-US" w:eastAsia="zh-CN"/>
            </w:rPr>
            <w:t>泸州市</w:t>
          </w:r>
          <w:r>
            <w:rPr>
              <w:rFonts w:hint="default" w:ascii="Times New Roman Regular" w:hAnsi="Times New Roman Regular" w:eastAsia="方正小标宋简体" w:cs="Times New Roman Regular"/>
              <w:color w:val="auto"/>
              <w:sz w:val="48"/>
              <w:szCs w:val="48"/>
              <w:lang w:val="en-US" w:eastAsia="zh-CN"/>
            </w:rPr>
            <w:t>公共数据资源</w:t>
          </w:r>
          <w:r>
            <w:rPr>
              <w:rFonts w:hint="default" w:ascii="Times New Roman Regular" w:hAnsi="Times New Roman Regular" w:eastAsia="方正小标宋简体" w:cs="Times New Roman Regular"/>
              <w:color w:val="auto"/>
              <w:sz w:val="48"/>
              <w:szCs w:val="48"/>
              <w:highlight w:val="none"/>
              <w:lang w:val="en-US" w:eastAsia="zh-CN"/>
            </w:rPr>
            <w:t>整体</w:t>
          </w:r>
          <w:r>
            <w:rPr>
              <w:rFonts w:hint="default" w:ascii="Times New Roman Regular" w:hAnsi="Times New Roman Regular" w:eastAsia="方正小标宋简体" w:cs="Times New Roman Regular"/>
              <w:color w:val="auto"/>
              <w:sz w:val="48"/>
              <w:szCs w:val="48"/>
              <w:lang w:val="en-US" w:eastAsia="zh-CN"/>
            </w:rPr>
            <w:t>授权运营</w:t>
          </w:r>
          <w:bookmarkEnd w:id="0"/>
          <w:bookmarkEnd w:id="1"/>
          <w:bookmarkEnd w:id="2"/>
          <w:bookmarkEnd w:id="3"/>
          <w:bookmarkEnd w:id="4"/>
          <w:bookmarkEnd w:id="5"/>
          <w:bookmarkEnd w:id="6"/>
          <w:bookmarkEnd w:id="7"/>
          <w:bookmarkEnd w:id="8"/>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800" w:lineRule="exact"/>
            <w:ind w:left="0" w:firstLine="0" w:firstLineChars="0"/>
            <w:jc w:val="center"/>
            <w:textAlignment w:val="auto"/>
            <w:outlineLvl w:val="0"/>
            <w:rPr>
              <w:rFonts w:hint="default" w:ascii="Times New Roman Regular" w:hAnsi="Times New Roman Regular" w:eastAsia="方正小标宋简体" w:cs="Times New Roman Regular"/>
              <w:color w:val="auto"/>
              <w:sz w:val="48"/>
              <w:szCs w:val="48"/>
              <w:lang w:val="en-US" w:eastAsia="zh-CN"/>
            </w:rPr>
          </w:pPr>
          <w:bookmarkStart w:id="15" w:name="_Toc13486"/>
          <w:bookmarkStart w:id="16" w:name="_Toc1615928395"/>
          <w:bookmarkStart w:id="17" w:name="_Toc1436639307"/>
          <w:bookmarkStart w:id="18" w:name="_Toc881124581"/>
          <w:bookmarkStart w:id="19" w:name="_Toc2037310827"/>
          <w:bookmarkStart w:id="20" w:name="_Toc464411042"/>
          <w:bookmarkStart w:id="21" w:name="_Toc141030162"/>
          <w:bookmarkStart w:id="22" w:name="_Toc122275695"/>
          <w:bookmarkStart w:id="23" w:name="_Toc1632759620"/>
          <w:bookmarkStart w:id="24" w:name="_Toc1191759514"/>
          <w:bookmarkStart w:id="25" w:name="_Toc1275705318"/>
          <w:bookmarkStart w:id="26" w:name="_Toc164055199"/>
          <w:r>
            <w:rPr>
              <w:rFonts w:hint="default" w:ascii="Times New Roman Regular" w:hAnsi="Times New Roman Regular" w:eastAsia="方正小标宋简体" w:cs="Times New Roman Regular"/>
              <w:color w:val="auto"/>
              <w:sz w:val="48"/>
              <w:szCs w:val="48"/>
              <w:lang w:val="en-US" w:eastAsia="zh-CN"/>
            </w:rPr>
            <w:t>实施方案</w:t>
          </w:r>
          <w:bookmarkEnd w:id="15"/>
          <w:bookmarkEnd w:id="16"/>
          <w:bookmarkEnd w:id="17"/>
          <w:bookmarkEnd w:id="18"/>
          <w:bookmarkEnd w:id="19"/>
          <w:bookmarkEnd w:id="20"/>
          <w:bookmarkEnd w:id="21"/>
          <w:bookmarkEnd w:id="22"/>
          <w:bookmarkEnd w:id="23"/>
          <w:bookmarkEnd w:id="24"/>
          <w:bookmarkEnd w:id="25"/>
          <w:bookmarkEnd w:id="26"/>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Regular" w:hAnsi="Times New Roman Regular" w:eastAsia="楷体_GB2312" w:cs="Times New Roman Regular"/>
              <w:color w:val="auto"/>
              <w:sz w:val="32"/>
              <w:szCs w:val="32"/>
              <w:lang w:val="en-US" w:eastAsia="zh-CN"/>
            </w:rPr>
            <w:sectPr>
              <w:pgSz w:w="11906" w:h="16838"/>
              <w:pgMar w:top="2098" w:right="1474" w:bottom="1984" w:left="1587" w:header="851" w:footer="992" w:gutter="0"/>
              <w:pgNumType w:fmt="decimal"/>
              <w:cols w:space="720" w:num="1"/>
              <w:docGrid w:type="lines" w:linePitch="312" w:charSpace="0"/>
            </w:sectPr>
          </w:pPr>
          <w:r>
            <w:rPr>
              <w:rFonts w:hint="default" w:ascii="Times New Roman Regular" w:hAnsi="Times New Roman Regular" w:eastAsia="楷体_GB2312" w:cs="Times New Roman Regular"/>
              <w:color w:val="auto"/>
              <w:sz w:val="32"/>
              <w:szCs w:val="32"/>
              <w:lang w:val="en-US" w:eastAsia="zh-CN"/>
            </w:rPr>
            <w:t>（征求意见稿）</w:t>
          </w: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color w:val="auto"/>
              <w:sz w:val="44"/>
              <w:szCs w:val="52"/>
              <w:lang w:val="en-US" w:eastAsia="zh-CN"/>
            </w:rPr>
          </w:pP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color w:val="auto"/>
              <w:sz w:val="44"/>
              <w:szCs w:val="52"/>
            </w:rPr>
          </w:pPr>
          <w:r>
            <w:rPr>
              <w:rFonts w:hint="eastAsia" w:ascii="方正小标宋简体" w:hAnsi="方正小标宋简体" w:eastAsia="方正小标宋简体" w:cs="方正小标宋简体"/>
              <w:color w:val="auto"/>
              <w:sz w:val="44"/>
              <w:szCs w:val="52"/>
              <w:lang w:val="en-US" w:eastAsia="zh-CN"/>
            </w:rPr>
            <w:t xml:space="preserve">目  </w:t>
          </w:r>
          <w:r>
            <w:rPr>
              <w:rFonts w:hint="eastAsia" w:ascii="方正小标宋简体" w:hAnsi="方正小标宋简体" w:eastAsia="方正小标宋简体" w:cs="方正小标宋简体"/>
              <w:color w:val="auto"/>
              <w:sz w:val="44"/>
              <w:szCs w:val="52"/>
            </w:rPr>
            <w:t>录</w:t>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i w:val="0"/>
              <w:iCs w:val="0"/>
              <w:caps w:val="0"/>
              <w:color w:val="auto"/>
              <w:spacing w:val="0"/>
              <w:kern w:val="0"/>
              <w:sz w:val="44"/>
              <w:szCs w:val="44"/>
              <w:shd w:val="clear" w:fill="FFFFFF"/>
              <w:lang w:val="en-US" w:eastAsia="zh-CN" w:bidi="ar"/>
            </w:rPr>
          </w:pP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TOC \o "1-1" \h \u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_Toc4054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一、</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授权运营名称</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及模式</w:t>
          </w:r>
          <w:r>
            <w:rPr>
              <w:color w:val="auto"/>
              <w:sz w:val="32"/>
              <w:szCs w:val="32"/>
            </w:rPr>
            <w:tab/>
          </w:r>
          <w:r>
            <w:rPr>
              <w:color w:val="auto"/>
              <w:sz w:val="32"/>
              <w:szCs w:val="32"/>
            </w:rPr>
            <w:fldChar w:fldCharType="begin"/>
          </w:r>
          <w:r>
            <w:rPr>
              <w:color w:val="auto"/>
              <w:sz w:val="32"/>
              <w:szCs w:val="32"/>
            </w:rPr>
            <w:instrText xml:space="preserve"> PAGEREF _Toc4054 \h </w:instrText>
          </w:r>
          <w:r>
            <w:rPr>
              <w:color w:val="auto"/>
              <w:sz w:val="32"/>
              <w:szCs w:val="32"/>
            </w:rPr>
            <w:fldChar w:fldCharType="separate"/>
          </w:r>
          <w:r>
            <w:rPr>
              <w:color w:val="auto"/>
              <w:sz w:val="32"/>
              <w:szCs w:val="32"/>
            </w:rPr>
            <w:t>1</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_Toc14555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二、</w:t>
          </w:r>
          <w:r>
            <w:rPr>
              <w:rFonts w:hint="default" w:ascii="Times New Roman" w:hAnsi="Times New Roman" w:eastAsia="方正黑体简体" w:cs="Times New Roman"/>
              <w:bCs w:val="0"/>
              <w:i w:val="0"/>
              <w:iCs w:val="0"/>
              <w:caps w:val="0"/>
              <w:color w:val="auto"/>
              <w:spacing w:val="0"/>
              <w:sz w:val="32"/>
              <w:szCs w:val="32"/>
              <w:shd w:val="clear" w:fill="FFFFFF"/>
            </w:rPr>
            <w:t>必要性和可行性</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论证</w:t>
          </w:r>
          <w:r>
            <w:rPr>
              <w:color w:val="auto"/>
              <w:sz w:val="32"/>
              <w:szCs w:val="32"/>
            </w:rPr>
            <w:tab/>
          </w:r>
          <w:r>
            <w:rPr>
              <w:color w:val="auto"/>
              <w:sz w:val="32"/>
              <w:szCs w:val="32"/>
            </w:rPr>
            <w:fldChar w:fldCharType="begin"/>
          </w:r>
          <w:r>
            <w:rPr>
              <w:color w:val="auto"/>
              <w:sz w:val="32"/>
              <w:szCs w:val="32"/>
            </w:rPr>
            <w:instrText xml:space="preserve"> PAGEREF _Toc14555 \h </w:instrText>
          </w:r>
          <w:r>
            <w:rPr>
              <w:color w:val="auto"/>
              <w:sz w:val="32"/>
              <w:szCs w:val="32"/>
            </w:rPr>
            <w:fldChar w:fldCharType="separate"/>
          </w:r>
          <w:r>
            <w:rPr>
              <w:color w:val="auto"/>
              <w:sz w:val="32"/>
              <w:szCs w:val="32"/>
            </w:rPr>
            <w:t>1</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_Toc25031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default" w:ascii="Times New Roman" w:hAnsi="Times New Roman" w:eastAsia="方正黑体简体" w:cs="Times New Roman"/>
              <w:bCs w:val="0"/>
              <w:i w:val="0"/>
              <w:iCs w:val="0"/>
              <w:caps w:val="0"/>
              <w:color w:val="auto"/>
              <w:spacing w:val="0"/>
              <w:sz w:val="32"/>
              <w:szCs w:val="32"/>
              <w:highlight w:val="none"/>
              <w:shd w:val="clear" w:fill="FFFFFF"/>
              <w:lang w:val="en-US" w:eastAsia="zh-CN"/>
            </w:rPr>
            <w:t>三</w:t>
          </w:r>
          <w:r>
            <w:rPr>
              <w:rFonts w:hint="default" w:ascii="Times New Roman" w:hAnsi="Times New Roman" w:eastAsia="方正黑体简体" w:cs="Times New Roman"/>
              <w:bCs w:val="0"/>
              <w:i w:val="0"/>
              <w:iCs w:val="0"/>
              <w:caps w:val="0"/>
              <w:color w:val="auto"/>
              <w:spacing w:val="0"/>
              <w:sz w:val="32"/>
              <w:szCs w:val="32"/>
              <w:highlight w:val="none"/>
              <w:shd w:val="clear" w:fill="FFFFFF"/>
            </w:rPr>
            <w:t>、运营机构选择</w:t>
          </w:r>
          <w:r>
            <w:rPr>
              <w:rFonts w:hint="eastAsia" w:ascii="Times New Roman" w:hAnsi="Times New Roman" w:eastAsia="方正黑体简体" w:cs="Times New Roman"/>
              <w:bCs w:val="0"/>
              <w:i w:val="0"/>
              <w:iCs w:val="0"/>
              <w:caps w:val="0"/>
              <w:color w:val="auto"/>
              <w:spacing w:val="0"/>
              <w:sz w:val="32"/>
              <w:szCs w:val="32"/>
              <w:highlight w:val="none"/>
              <w:shd w:val="clear" w:fill="FFFFFF"/>
              <w:lang w:val="en-US" w:eastAsia="zh-CN"/>
            </w:rPr>
            <w:t>与退出</w:t>
          </w:r>
          <w:r>
            <w:rPr>
              <w:color w:val="auto"/>
              <w:sz w:val="32"/>
              <w:szCs w:val="32"/>
            </w:rPr>
            <w:tab/>
          </w:r>
          <w:r>
            <w:rPr>
              <w:color w:val="auto"/>
              <w:sz w:val="32"/>
              <w:szCs w:val="32"/>
            </w:rPr>
            <w:fldChar w:fldCharType="begin"/>
          </w:r>
          <w:r>
            <w:rPr>
              <w:color w:val="auto"/>
              <w:sz w:val="32"/>
              <w:szCs w:val="32"/>
            </w:rPr>
            <w:instrText xml:space="preserve"> PAGEREF _Toc25031 \h </w:instrText>
          </w:r>
          <w:r>
            <w:rPr>
              <w:color w:val="auto"/>
              <w:sz w:val="32"/>
              <w:szCs w:val="32"/>
            </w:rPr>
            <w:fldChar w:fldCharType="separate"/>
          </w:r>
          <w:r>
            <w:rPr>
              <w:color w:val="auto"/>
              <w:sz w:val="32"/>
              <w:szCs w:val="32"/>
            </w:rPr>
            <w:t>3</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ind w:firstLine="640" w:firstLineChars="200"/>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_Toc24063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highlight w:val="none"/>
              <w:shd w:val="clear" w:fill="FFFFFF"/>
              <w:lang w:val="en-US" w:eastAsia="zh-CN" w:bidi="ar"/>
            </w:rPr>
            <w:t>（一）运营机构选择</w:t>
          </w:r>
          <w:r>
            <w:rPr>
              <w:color w:val="auto"/>
              <w:sz w:val="32"/>
              <w:szCs w:val="32"/>
            </w:rPr>
            <w:tab/>
          </w:r>
          <w:r>
            <w:rPr>
              <w:color w:val="auto"/>
              <w:sz w:val="32"/>
              <w:szCs w:val="32"/>
            </w:rPr>
            <w:fldChar w:fldCharType="begin"/>
          </w:r>
          <w:r>
            <w:rPr>
              <w:color w:val="auto"/>
              <w:sz w:val="32"/>
              <w:szCs w:val="32"/>
            </w:rPr>
            <w:instrText xml:space="preserve"> PAGEREF _Toc24063 \h </w:instrText>
          </w:r>
          <w:r>
            <w:rPr>
              <w:color w:val="auto"/>
              <w:sz w:val="32"/>
              <w:szCs w:val="32"/>
            </w:rPr>
            <w:fldChar w:fldCharType="separate"/>
          </w:r>
          <w:r>
            <w:rPr>
              <w:color w:val="auto"/>
              <w:sz w:val="32"/>
              <w:szCs w:val="32"/>
            </w:rPr>
            <w:t>3</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ind w:firstLine="640" w:firstLineChars="200"/>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_Toc9075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highlight w:val="none"/>
              <w:shd w:val="clear" w:fill="FFFFFF"/>
              <w:lang w:val="en-US" w:eastAsia="zh-CN" w:bidi="ar"/>
            </w:rPr>
            <w:t>（二）运营机构退出</w:t>
          </w:r>
          <w:r>
            <w:rPr>
              <w:color w:val="auto"/>
              <w:sz w:val="32"/>
              <w:szCs w:val="32"/>
            </w:rPr>
            <w:tab/>
          </w:r>
          <w:r>
            <w:rPr>
              <w:color w:val="auto"/>
              <w:sz w:val="32"/>
              <w:szCs w:val="32"/>
            </w:rPr>
            <w:fldChar w:fldCharType="begin"/>
          </w:r>
          <w:r>
            <w:rPr>
              <w:color w:val="auto"/>
              <w:sz w:val="32"/>
              <w:szCs w:val="32"/>
            </w:rPr>
            <w:instrText xml:space="preserve"> PAGEREF _Toc9075 \h </w:instrText>
          </w:r>
          <w:r>
            <w:rPr>
              <w:color w:val="auto"/>
              <w:sz w:val="32"/>
              <w:szCs w:val="32"/>
            </w:rPr>
            <w:fldChar w:fldCharType="separate"/>
          </w:r>
          <w:r>
            <w:rPr>
              <w:color w:val="auto"/>
              <w:sz w:val="32"/>
              <w:szCs w:val="32"/>
            </w:rPr>
            <w:t>5</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_Toc8533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四</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、授权运营</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的</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数据资源范围</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及目录</w:t>
          </w:r>
          <w:r>
            <w:rPr>
              <w:color w:val="auto"/>
              <w:sz w:val="32"/>
              <w:szCs w:val="32"/>
            </w:rPr>
            <w:tab/>
          </w:r>
          <w:r>
            <w:rPr>
              <w:color w:val="auto"/>
              <w:sz w:val="32"/>
              <w:szCs w:val="32"/>
            </w:rPr>
            <w:fldChar w:fldCharType="begin"/>
          </w:r>
          <w:r>
            <w:rPr>
              <w:color w:val="auto"/>
              <w:sz w:val="32"/>
              <w:szCs w:val="32"/>
            </w:rPr>
            <w:instrText xml:space="preserve"> PAGEREF _Toc8533 \h </w:instrText>
          </w:r>
          <w:r>
            <w:rPr>
              <w:color w:val="auto"/>
              <w:sz w:val="32"/>
              <w:szCs w:val="32"/>
            </w:rPr>
            <w:fldChar w:fldCharType="separate"/>
          </w:r>
          <w:r>
            <w:rPr>
              <w:color w:val="auto"/>
              <w:sz w:val="32"/>
              <w:szCs w:val="32"/>
            </w:rPr>
            <w:t>5</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_Toc13583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五</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w:t>
          </w:r>
          <w:r>
            <w:rPr>
              <w:rFonts w:hint="default" w:ascii="Times New Roman" w:hAnsi="Times New Roman" w:eastAsia="方正黑体简体" w:cs="Times New Roman"/>
              <w:bCs w:val="0"/>
              <w:i w:val="0"/>
              <w:iCs w:val="0"/>
              <w:caps w:val="0"/>
              <w:color w:val="auto"/>
              <w:spacing w:val="0"/>
              <w:sz w:val="32"/>
              <w:szCs w:val="32"/>
              <w:shd w:val="clear" w:fill="FFFFFF"/>
            </w:rPr>
            <w:t>授权运营主要内容</w:t>
          </w:r>
          <w:r>
            <w:rPr>
              <w:color w:val="auto"/>
              <w:sz w:val="32"/>
              <w:szCs w:val="32"/>
            </w:rPr>
            <w:tab/>
          </w:r>
          <w:r>
            <w:rPr>
              <w:color w:val="auto"/>
              <w:sz w:val="32"/>
              <w:szCs w:val="32"/>
            </w:rPr>
            <w:fldChar w:fldCharType="begin"/>
          </w:r>
          <w:r>
            <w:rPr>
              <w:color w:val="auto"/>
              <w:sz w:val="32"/>
              <w:szCs w:val="32"/>
            </w:rPr>
            <w:instrText xml:space="preserve"> PAGEREF _Toc13583 \h </w:instrText>
          </w:r>
          <w:r>
            <w:rPr>
              <w:color w:val="auto"/>
              <w:sz w:val="32"/>
              <w:szCs w:val="32"/>
            </w:rPr>
            <w:fldChar w:fldCharType="separate"/>
          </w:r>
          <w:r>
            <w:rPr>
              <w:color w:val="auto"/>
              <w:sz w:val="32"/>
              <w:szCs w:val="32"/>
            </w:rPr>
            <w:t>5</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ind w:firstLine="640" w:firstLineChars="200"/>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_Toc10836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shd w:val="clear" w:fill="FFFFFF"/>
              <w:lang w:val="en-US" w:eastAsia="zh-CN" w:bidi="ar"/>
            </w:rPr>
            <w:t>（一）建设内容</w:t>
          </w:r>
          <w:r>
            <w:rPr>
              <w:color w:val="auto"/>
              <w:sz w:val="32"/>
              <w:szCs w:val="32"/>
            </w:rPr>
            <w:tab/>
          </w:r>
          <w:r>
            <w:rPr>
              <w:color w:val="auto"/>
              <w:sz w:val="32"/>
              <w:szCs w:val="32"/>
            </w:rPr>
            <w:fldChar w:fldCharType="begin"/>
          </w:r>
          <w:r>
            <w:rPr>
              <w:color w:val="auto"/>
              <w:sz w:val="32"/>
              <w:szCs w:val="32"/>
            </w:rPr>
            <w:instrText xml:space="preserve"> PAGEREF _Toc10836 \h </w:instrText>
          </w:r>
          <w:r>
            <w:rPr>
              <w:color w:val="auto"/>
              <w:sz w:val="32"/>
              <w:szCs w:val="32"/>
            </w:rPr>
            <w:fldChar w:fldCharType="separate"/>
          </w:r>
          <w:r>
            <w:rPr>
              <w:color w:val="auto"/>
              <w:sz w:val="32"/>
              <w:szCs w:val="32"/>
            </w:rPr>
            <w:t>5</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t xml:space="preserve">    </w: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_Toc5251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highlight w:val="none"/>
              <w:shd w:val="clear" w:fill="FFFFFF"/>
              <w:lang w:val="en-US" w:eastAsia="zh-CN" w:bidi="ar"/>
            </w:rPr>
            <w:t>（二）技术保障</w:t>
          </w:r>
          <w:r>
            <w:rPr>
              <w:color w:val="auto"/>
              <w:sz w:val="32"/>
              <w:szCs w:val="32"/>
            </w:rPr>
            <w:tab/>
          </w:r>
          <w:r>
            <w:rPr>
              <w:color w:val="auto"/>
              <w:sz w:val="32"/>
              <w:szCs w:val="32"/>
            </w:rPr>
            <w:fldChar w:fldCharType="begin"/>
          </w:r>
          <w:r>
            <w:rPr>
              <w:color w:val="auto"/>
              <w:sz w:val="32"/>
              <w:szCs w:val="32"/>
            </w:rPr>
            <w:instrText xml:space="preserve"> PAGEREF _Toc5251 \h </w:instrText>
          </w:r>
          <w:r>
            <w:rPr>
              <w:color w:val="auto"/>
              <w:sz w:val="32"/>
              <w:szCs w:val="32"/>
            </w:rPr>
            <w:fldChar w:fldCharType="separate"/>
          </w:r>
          <w:r>
            <w:rPr>
              <w:color w:val="auto"/>
              <w:sz w:val="32"/>
              <w:szCs w:val="32"/>
            </w:rPr>
            <w:t>6</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t xml:space="preserve">    </w: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_Toc21398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shd w:val="clear" w:fill="FFFFFF"/>
              <w:lang w:val="en-US" w:eastAsia="zh-CN" w:bidi="ar"/>
            </w:rPr>
            <w:t>（三）实施进度</w:t>
          </w:r>
          <w:r>
            <w:rPr>
              <w:color w:val="auto"/>
              <w:sz w:val="32"/>
              <w:szCs w:val="32"/>
            </w:rPr>
            <w:tab/>
          </w:r>
          <w:r>
            <w:rPr>
              <w:color w:val="auto"/>
              <w:sz w:val="32"/>
              <w:szCs w:val="32"/>
            </w:rPr>
            <w:fldChar w:fldCharType="begin"/>
          </w:r>
          <w:r>
            <w:rPr>
              <w:color w:val="auto"/>
              <w:sz w:val="32"/>
              <w:szCs w:val="32"/>
            </w:rPr>
            <w:instrText xml:space="preserve"> PAGEREF _Toc21398 \h </w:instrText>
          </w:r>
          <w:r>
            <w:rPr>
              <w:color w:val="auto"/>
              <w:sz w:val="32"/>
              <w:szCs w:val="32"/>
            </w:rPr>
            <w:fldChar w:fldCharType="separate"/>
          </w:r>
          <w:r>
            <w:rPr>
              <w:color w:val="auto"/>
              <w:sz w:val="32"/>
              <w:szCs w:val="32"/>
            </w:rPr>
            <w:t>6</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t xml:space="preserve">    </w: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_Toc132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shd w:val="clear" w:fill="FFFFFF"/>
              <w:lang w:val="en-US" w:eastAsia="zh-CN" w:bidi="ar"/>
            </w:rPr>
            <w:t>（四）评价标准</w:t>
          </w:r>
          <w:r>
            <w:rPr>
              <w:color w:val="auto"/>
              <w:sz w:val="32"/>
              <w:szCs w:val="32"/>
            </w:rPr>
            <w:tab/>
          </w:r>
          <w:r>
            <w:rPr>
              <w:color w:val="auto"/>
              <w:sz w:val="32"/>
              <w:szCs w:val="32"/>
            </w:rPr>
            <w:fldChar w:fldCharType="begin"/>
          </w:r>
          <w:r>
            <w:rPr>
              <w:color w:val="auto"/>
              <w:sz w:val="32"/>
              <w:szCs w:val="32"/>
            </w:rPr>
            <w:instrText xml:space="preserve"> PAGEREF _Toc132 \h </w:instrText>
          </w:r>
          <w:r>
            <w:rPr>
              <w:color w:val="auto"/>
              <w:sz w:val="32"/>
              <w:szCs w:val="32"/>
            </w:rPr>
            <w:fldChar w:fldCharType="separate"/>
          </w:r>
          <w:r>
            <w:rPr>
              <w:color w:val="auto"/>
              <w:sz w:val="32"/>
              <w:szCs w:val="32"/>
            </w:rPr>
            <w:t>7</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t xml:space="preserve">    </w: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_Toc7509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shd w:val="clear" w:fill="FFFFFF"/>
              <w:lang w:val="en-US" w:eastAsia="zh-CN" w:bidi="ar"/>
            </w:rPr>
            <w:t>（五）资产管理</w:t>
          </w:r>
          <w:r>
            <w:rPr>
              <w:color w:val="auto"/>
              <w:sz w:val="32"/>
              <w:szCs w:val="32"/>
            </w:rPr>
            <w:tab/>
          </w:r>
          <w:r>
            <w:rPr>
              <w:color w:val="auto"/>
              <w:sz w:val="32"/>
              <w:szCs w:val="32"/>
            </w:rPr>
            <w:fldChar w:fldCharType="begin"/>
          </w:r>
          <w:r>
            <w:rPr>
              <w:color w:val="auto"/>
              <w:sz w:val="32"/>
              <w:szCs w:val="32"/>
            </w:rPr>
            <w:instrText xml:space="preserve"> PAGEREF _Toc7509 \h </w:instrText>
          </w:r>
          <w:r>
            <w:rPr>
              <w:color w:val="auto"/>
              <w:sz w:val="32"/>
              <w:szCs w:val="32"/>
            </w:rPr>
            <w:fldChar w:fldCharType="separate"/>
          </w:r>
          <w:r>
            <w:rPr>
              <w:color w:val="auto"/>
              <w:sz w:val="32"/>
              <w:szCs w:val="32"/>
            </w:rPr>
            <w:t>8</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_Toc20915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六、公共数据资源需求提出及供给流程</w:t>
          </w:r>
          <w:r>
            <w:rPr>
              <w:color w:val="auto"/>
              <w:sz w:val="32"/>
              <w:szCs w:val="32"/>
            </w:rPr>
            <w:tab/>
          </w:r>
          <w:r>
            <w:rPr>
              <w:color w:val="auto"/>
              <w:sz w:val="32"/>
              <w:szCs w:val="32"/>
            </w:rPr>
            <w:fldChar w:fldCharType="begin"/>
          </w:r>
          <w:r>
            <w:rPr>
              <w:color w:val="auto"/>
              <w:sz w:val="32"/>
              <w:szCs w:val="32"/>
            </w:rPr>
            <w:instrText xml:space="preserve"> PAGEREF _Toc20915 \h </w:instrText>
          </w:r>
          <w:r>
            <w:rPr>
              <w:color w:val="auto"/>
              <w:sz w:val="32"/>
              <w:szCs w:val="32"/>
            </w:rPr>
            <w:fldChar w:fldCharType="separate"/>
          </w:r>
          <w:r>
            <w:rPr>
              <w:color w:val="auto"/>
              <w:sz w:val="32"/>
              <w:szCs w:val="32"/>
            </w:rPr>
            <w:t>8</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_Toc12398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七</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公共数据产品和服务清单</w:t>
          </w:r>
          <w:r>
            <w:rPr>
              <w:color w:val="auto"/>
              <w:sz w:val="32"/>
              <w:szCs w:val="32"/>
            </w:rPr>
            <w:tab/>
          </w:r>
          <w:r>
            <w:rPr>
              <w:color w:val="auto"/>
              <w:sz w:val="32"/>
              <w:szCs w:val="32"/>
            </w:rPr>
            <w:fldChar w:fldCharType="begin"/>
          </w:r>
          <w:r>
            <w:rPr>
              <w:color w:val="auto"/>
              <w:sz w:val="32"/>
              <w:szCs w:val="32"/>
            </w:rPr>
            <w:instrText xml:space="preserve"> PAGEREF _Toc12398 \h </w:instrText>
          </w:r>
          <w:r>
            <w:rPr>
              <w:color w:val="auto"/>
              <w:sz w:val="32"/>
              <w:szCs w:val="32"/>
            </w:rPr>
            <w:fldChar w:fldCharType="separate"/>
          </w:r>
          <w:r>
            <w:rPr>
              <w:color w:val="auto"/>
              <w:sz w:val="32"/>
              <w:szCs w:val="32"/>
            </w:rPr>
            <w:t>9</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_Toc15528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八</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核算和收益分配机制</w:t>
          </w:r>
          <w:r>
            <w:rPr>
              <w:color w:val="auto"/>
              <w:sz w:val="32"/>
              <w:szCs w:val="32"/>
            </w:rPr>
            <w:tab/>
          </w:r>
          <w:r>
            <w:rPr>
              <w:color w:val="auto"/>
              <w:sz w:val="32"/>
              <w:szCs w:val="32"/>
            </w:rPr>
            <w:fldChar w:fldCharType="begin"/>
          </w:r>
          <w:r>
            <w:rPr>
              <w:color w:val="auto"/>
              <w:sz w:val="32"/>
              <w:szCs w:val="32"/>
            </w:rPr>
            <w:instrText xml:space="preserve"> PAGEREF _Toc15528 \h </w:instrText>
          </w:r>
          <w:r>
            <w:rPr>
              <w:color w:val="auto"/>
              <w:sz w:val="32"/>
              <w:szCs w:val="32"/>
            </w:rPr>
            <w:fldChar w:fldCharType="separate"/>
          </w:r>
          <w:r>
            <w:rPr>
              <w:color w:val="auto"/>
              <w:sz w:val="32"/>
              <w:szCs w:val="32"/>
            </w:rPr>
            <w:t>9</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_Toc2787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九</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安全保障</w:t>
          </w:r>
          <w:r>
            <w:rPr>
              <w:color w:val="auto"/>
              <w:sz w:val="32"/>
              <w:szCs w:val="32"/>
            </w:rPr>
            <w:tab/>
          </w:r>
          <w:r>
            <w:rPr>
              <w:color w:val="auto"/>
              <w:sz w:val="32"/>
              <w:szCs w:val="32"/>
            </w:rPr>
            <w:fldChar w:fldCharType="begin"/>
          </w:r>
          <w:r>
            <w:rPr>
              <w:color w:val="auto"/>
              <w:sz w:val="32"/>
              <w:szCs w:val="32"/>
            </w:rPr>
            <w:instrText xml:space="preserve"> PAGEREF _Toc2787 \h </w:instrText>
          </w:r>
          <w:r>
            <w:rPr>
              <w:color w:val="auto"/>
              <w:sz w:val="32"/>
              <w:szCs w:val="32"/>
            </w:rPr>
            <w:fldChar w:fldCharType="separate"/>
          </w:r>
          <w:r>
            <w:rPr>
              <w:color w:val="auto"/>
              <w:sz w:val="32"/>
              <w:szCs w:val="32"/>
            </w:rPr>
            <w:t>10</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ind w:firstLine="640" w:firstLineChars="200"/>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_Toc17132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shd w:val="clear" w:fill="FFFFFF"/>
              <w:lang w:val="en-US" w:eastAsia="zh-CN" w:bidi="ar"/>
            </w:rPr>
            <w:t>（一）数据安全</w:t>
          </w:r>
          <w:r>
            <w:rPr>
              <w:color w:val="auto"/>
              <w:sz w:val="32"/>
              <w:szCs w:val="32"/>
            </w:rPr>
            <w:tab/>
          </w:r>
          <w:r>
            <w:rPr>
              <w:color w:val="auto"/>
              <w:sz w:val="32"/>
              <w:szCs w:val="32"/>
            </w:rPr>
            <w:fldChar w:fldCharType="begin"/>
          </w:r>
          <w:r>
            <w:rPr>
              <w:color w:val="auto"/>
              <w:sz w:val="32"/>
              <w:szCs w:val="32"/>
            </w:rPr>
            <w:instrText xml:space="preserve"> PAGEREF _Toc17132 \h </w:instrText>
          </w:r>
          <w:r>
            <w:rPr>
              <w:color w:val="auto"/>
              <w:sz w:val="32"/>
              <w:szCs w:val="32"/>
            </w:rPr>
            <w:fldChar w:fldCharType="separate"/>
          </w:r>
          <w:r>
            <w:rPr>
              <w:color w:val="auto"/>
              <w:sz w:val="32"/>
              <w:szCs w:val="32"/>
            </w:rPr>
            <w:t>10</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ind w:firstLine="640" w:firstLineChars="200"/>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_Toc89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shd w:val="clear" w:fill="FFFFFF"/>
              <w:lang w:val="en-US" w:eastAsia="zh-CN" w:bidi="ar"/>
            </w:rPr>
            <w:t>（二）个人信息保护</w:t>
          </w:r>
          <w:r>
            <w:rPr>
              <w:color w:val="auto"/>
              <w:sz w:val="32"/>
              <w:szCs w:val="32"/>
            </w:rPr>
            <w:tab/>
          </w:r>
          <w:r>
            <w:rPr>
              <w:color w:val="auto"/>
              <w:sz w:val="32"/>
              <w:szCs w:val="32"/>
            </w:rPr>
            <w:fldChar w:fldCharType="begin"/>
          </w:r>
          <w:r>
            <w:rPr>
              <w:color w:val="auto"/>
              <w:sz w:val="32"/>
              <w:szCs w:val="32"/>
            </w:rPr>
            <w:instrText xml:space="preserve"> PAGEREF _Toc89 \h </w:instrText>
          </w:r>
          <w:r>
            <w:rPr>
              <w:color w:val="auto"/>
              <w:sz w:val="32"/>
              <w:szCs w:val="32"/>
            </w:rPr>
            <w:fldChar w:fldCharType="separate"/>
          </w:r>
          <w:r>
            <w:rPr>
              <w:color w:val="auto"/>
              <w:sz w:val="32"/>
              <w:szCs w:val="32"/>
            </w:rPr>
            <w:t>10</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ind w:firstLine="640" w:firstLineChars="200"/>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_Toc28264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方正楷体简体" w:hAnsi="方正楷体简体" w:eastAsia="方正楷体简体" w:cs="方正楷体简体"/>
              <w:bCs w:val="0"/>
              <w:i w:val="0"/>
              <w:iCs w:val="0"/>
              <w:caps w:val="0"/>
              <w:color w:val="auto"/>
              <w:spacing w:val="0"/>
              <w:kern w:val="0"/>
              <w:sz w:val="32"/>
              <w:szCs w:val="32"/>
              <w:shd w:val="clear" w:fill="FFFFFF"/>
              <w:lang w:val="en-US" w:eastAsia="zh-CN" w:bidi="ar"/>
            </w:rPr>
            <w:t>（三）应急处置</w:t>
          </w:r>
          <w:r>
            <w:rPr>
              <w:color w:val="auto"/>
              <w:sz w:val="32"/>
              <w:szCs w:val="32"/>
            </w:rPr>
            <w:tab/>
          </w:r>
          <w:r>
            <w:rPr>
              <w:color w:val="auto"/>
              <w:sz w:val="32"/>
              <w:szCs w:val="32"/>
            </w:rPr>
            <w:fldChar w:fldCharType="begin"/>
          </w:r>
          <w:r>
            <w:rPr>
              <w:color w:val="auto"/>
              <w:sz w:val="32"/>
              <w:szCs w:val="32"/>
            </w:rPr>
            <w:instrText xml:space="preserve"> PAGEREF _Toc28264 \h </w:instrText>
          </w:r>
          <w:r>
            <w:rPr>
              <w:color w:val="auto"/>
              <w:sz w:val="32"/>
              <w:szCs w:val="32"/>
            </w:rPr>
            <w:fldChar w:fldCharType="separate"/>
          </w:r>
          <w:r>
            <w:rPr>
              <w:color w:val="auto"/>
              <w:sz w:val="32"/>
              <w:szCs w:val="32"/>
            </w:rPr>
            <w:t>10</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_Toc27755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十</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各方权利义务</w:t>
          </w:r>
          <w:r>
            <w:rPr>
              <w:color w:val="auto"/>
              <w:sz w:val="32"/>
              <w:szCs w:val="32"/>
            </w:rPr>
            <w:tab/>
          </w:r>
          <w:r>
            <w:rPr>
              <w:color w:val="auto"/>
              <w:sz w:val="32"/>
              <w:szCs w:val="32"/>
            </w:rPr>
            <w:fldChar w:fldCharType="begin"/>
          </w:r>
          <w:r>
            <w:rPr>
              <w:color w:val="auto"/>
              <w:sz w:val="32"/>
              <w:szCs w:val="32"/>
            </w:rPr>
            <w:instrText xml:space="preserve"> PAGEREF _Toc27755 \h </w:instrText>
          </w:r>
          <w:r>
            <w:rPr>
              <w:color w:val="auto"/>
              <w:sz w:val="32"/>
              <w:szCs w:val="32"/>
            </w:rPr>
            <w:fldChar w:fldCharType="separate"/>
          </w:r>
          <w:r>
            <w:rPr>
              <w:color w:val="auto"/>
              <w:sz w:val="32"/>
              <w:szCs w:val="32"/>
            </w:rPr>
            <w:t>11</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_Toc10303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十一</w:t>
          </w:r>
          <w:r>
            <w:rPr>
              <w:rFonts w:hint="default" w:ascii="Times New Roman" w:hAnsi="Times New Roman" w:eastAsia="方正黑体简体" w:cs="Times New Roman"/>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监督管理和考核评价</w:t>
          </w:r>
          <w:r>
            <w:rPr>
              <w:color w:val="auto"/>
              <w:sz w:val="32"/>
              <w:szCs w:val="32"/>
            </w:rPr>
            <w:tab/>
          </w:r>
          <w:r>
            <w:rPr>
              <w:color w:val="auto"/>
              <w:sz w:val="32"/>
              <w:szCs w:val="32"/>
            </w:rPr>
            <w:fldChar w:fldCharType="begin"/>
          </w:r>
          <w:r>
            <w:rPr>
              <w:color w:val="auto"/>
              <w:sz w:val="32"/>
              <w:szCs w:val="32"/>
            </w:rPr>
            <w:instrText xml:space="preserve"> PAGEREF _Toc10303 \h </w:instrText>
          </w:r>
          <w:r>
            <w:rPr>
              <w:color w:val="auto"/>
              <w:sz w:val="32"/>
              <w:szCs w:val="32"/>
            </w:rPr>
            <w:fldChar w:fldCharType="separate"/>
          </w:r>
          <w:r>
            <w:rPr>
              <w:color w:val="auto"/>
              <w:sz w:val="32"/>
              <w:szCs w:val="32"/>
            </w:rPr>
            <w:t>12</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keepNext w:val="0"/>
            <w:keepLines w:val="0"/>
            <w:pageBreakBefore w:val="0"/>
            <w:widowControl/>
            <w:tabs>
              <w:tab w:val="right" w:leader="dot" w:pos="8675"/>
            </w:tabs>
            <w:kinsoku/>
            <w:wordWrap/>
            <w:overflowPunct/>
            <w:topLinePunct w:val="0"/>
            <w:autoSpaceDE/>
            <w:autoSpaceDN/>
            <w:bidi w:val="0"/>
            <w:adjustRightInd/>
            <w:snapToGrid/>
            <w:spacing w:line="578" w:lineRule="exact"/>
            <w:textAlignment w:val="auto"/>
            <w:rPr>
              <w:color w:val="auto"/>
              <w:sz w:val="32"/>
              <w:szCs w:val="32"/>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begin"/>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instrText xml:space="preserve"> HYPERLINK \l _Toc26587 </w:instrText>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separate"/>
          </w:r>
          <w:r>
            <w:rPr>
              <w:rFonts w:hint="eastAsia" w:ascii="Times New Roman" w:hAnsi="Times New Roman" w:eastAsia="方正黑体简体" w:cs="Times New Roman"/>
              <w:bCs w:val="0"/>
              <w:i w:val="0"/>
              <w:iCs w:val="0"/>
              <w:caps w:val="0"/>
              <w:color w:val="auto"/>
              <w:spacing w:val="0"/>
              <w:sz w:val="32"/>
              <w:szCs w:val="32"/>
              <w:shd w:val="clear" w:fill="FFFFFF"/>
              <w:lang w:val="en-US" w:eastAsia="zh-CN"/>
            </w:rPr>
            <w:t>十二、其他事项</w:t>
          </w:r>
          <w:r>
            <w:rPr>
              <w:color w:val="auto"/>
              <w:sz w:val="32"/>
              <w:szCs w:val="32"/>
            </w:rPr>
            <w:tab/>
          </w:r>
          <w:r>
            <w:rPr>
              <w:color w:val="auto"/>
              <w:sz w:val="32"/>
              <w:szCs w:val="32"/>
            </w:rPr>
            <w:fldChar w:fldCharType="begin"/>
          </w:r>
          <w:r>
            <w:rPr>
              <w:color w:val="auto"/>
              <w:sz w:val="32"/>
              <w:szCs w:val="32"/>
            </w:rPr>
            <w:instrText xml:space="preserve"> PAGEREF _Toc26587 \h </w:instrText>
          </w:r>
          <w:r>
            <w:rPr>
              <w:color w:val="auto"/>
              <w:sz w:val="32"/>
              <w:szCs w:val="32"/>
            </w:rPr>
            <w:fldChar w:fldCharType="separate"/>
          </w:r>
          <w:r>
            <w:rPr>
              <w:color w:val="auto"/>
              <w:sz w:val="32"/>
              <w:szCs w:val="32"/>
            </w:rPr>
            <w:t>13</w:t>
          </w:r>
          <w:r>
            <w:rPr>
              <w:color w:val="auto"/>
              <w:sz w:val="32"/>
              <w:szCs w:val="32"/>
            </w:rPr>
            <w:fldChar w:fldCharType="end"/>
          </w: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p>
          <w:pPr>
            <w:pStyle w:val="20"/>
            <w:tabs>
              <w:tab w:val="right" w:leader="dot" w:pos="8675"/>
            </w:tabs>
            <w:rPr>
              <w:color w:val="auto"/>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pPr>
          <w:r>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fldChar w:fldCharType="end"/>
          </w:r>
        </w:p>
      </w:sdtContent>
    </w:sdt>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方正小标宋简体" w:hAnsi="方正小标宋简体" w:eastAsia="方正小标宋简体" w:cs="方正小标宋简体"/>
          <w:i w:val="0"/>
          <w:iCs w:val="0"/>
          <w:caps w:val="0"/>
          <w:color w:val="auto"/>
          <w:spacing w:val="0"/>
          <w:kern w:val="0"/>
          <w:sz w:val="32"/>
          <w:szCs w:val="32"/>
          <w:shd w:val="clear" w:fill="FFFFFF"/>
          <w:lang w:val="en-US" w:eastAsia="zh-CN" w:bidi="ar"/>
        </w:rPr>
        <w:sectPr>
          <w:pgSz w:w="11906" w:h="16838"/>
          <w:pgMar w:top="2098" w:right="1474" w:bottom="1984" w:left="1757" w:header="851" w:footer="1304" w:gutter="0"/>
          <w:pgNumType w:fmt="decimal"/>
          <w:cols w:space="0" w:num="1"/>
          <w:rtlGutter w:val="0"/>
          <w:docGrid w:type="lines" w:linePitch="319" w:charSpace="0"/>
        </w:sect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方正小标宋简体" w:hAnsi="方正小标宋简体" w:eastAsia="方正小标宋简体" w:cs="方正小标宋简体"/>
          <w:i w:val="0"/>
          <w:iCs w:val="0"/>
          <w:caps w:val="0"/>
          <w:color w:val="auto"/>
          <w:spacing w:val="0"/>
          <w:kern w:val="0"/>
          <w:sz w:val="44"/>
          <w:szCs w:val="44"/>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sectPr>
          <w:footerReference r:id="rId3" w:type="default"/>
          <w:pgSz w:w="11906" w:h="16838"/>
          <w:pgMar w:top="2098" w:right="1474" w:bottom="1984" w:left="1757" w:header="851" w:footer="1304" w:gutter="0"/>
          <w:pgNumType w:fmt="decimal" w:start="1"/>
          <w:cols w:space="0" w:num="1"/>
          <w:rtlGutter w:val="0"/>
          <w:docGrid w:type="lines" w:linePitch="319" w:charSpace="0"/>
        </w:sect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t>为推动和规范公共数据资源授权运营工作，加快释放数据要素价值，根据《国家发展改革委  国家数据局关于印发〈公共数据资源授权运营实施规范（试行）〉的通知》《四川省公共数据资源授权运营实施办法》</w:t>
      </w:r>
      <w:r>
        <w:rPr>
          <w:rFonts w:hint="eastAsia" w:ascii="Times New Roman" w:hAnsi="Times New Roman" w:eastAsia="方正仿宋简体" w:cs="Times New Roman"/>
          <w:i w:val="0"/>
          <w:iCs w:val="0"/>
          <w:caps w:val="0"/>
          <w:color w:val="auto"/>
          <w:spacing w:val="0"/>
          <w:kern w:val="0"/>
          <w:sz w:val="32"/>
          <w:szCs w:val="32"/>
          <w:shd w:val="clear" w:fill="FFFFFF"/>
          <w:lang w:val="en-US" w:eastAsia="zh-CN" w:bidi="ar"/>
        </w:rPr>
        <w:t>《泸州市公共数据资源授权运营实施细则》</w:t>
      </w:r>
      <w:r>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t>等文件精神，结合</w:t>
      </w:r>
      <w:r>
        <w:rPr>
          <w:rFonts w:hint="eastAsia" w:ascii="Times New Roman" w:hAnsi="Times New Roman" w:eastAsia="方正仿宋简体" w:cs="Times New Roman"/>
          <w:i w:val="0"/>
          <w:iCs w:val="0"/>
          <w:caps w:val="0"/>
          <w:color w:val="auto"/>
          <w:spacing w:val="0"/>
          <w:kern w:val="0"/>
          <w:sz w:val="32"/>
          <w:szCs w:val="32"/>
          <w:shd w:val="clear" w:fill="FFFFFF"/>
          <w:lang w:val="en-US" w:eastAsia="zh-CN" w:bidi="ar"/>
        </w:rPr>
        <w:t>我市</w:t>
      </w:r>
      <w:r>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t>实际，制定本实施方案。</w:t>
      </w:r>
      <w:bookmarkEnd w:id="14"/>
      <w:bookmarkStart w:id="27" w:name="_Toc14413"/>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0"/>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pPr>
      <w:bookmarkStart w:id="28" w:name="_Toc4054"/>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一、</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授权运营名称</w:t>
      </w:r>
      <w:bookmarkEnd w:id="27"/>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及模式</w:t>
      </w:r>
      <w:bookmarkEnd w:id="28"/>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方正楷体简体" w:hAnsi="方正楷体简体" w:eastAsia="方正楷体简体" w:cs="方正楷体简体"/>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i w:val="0"/>
          <w:iCs w:val="0"/>
          <w:caps w:val="0"/>
          <w:color w:val="auto"/>
          <w:spacing w:val="0"/>
          <w:kern w:val="0"/>
          <w:sz w:val="32"/>
          <w:szCs w:val="32"/>
          <w:shd w:val="clear" w:fill="FFFFFF"/>
          <w:lang w:val="en-US" w:eastAsia="zh-CN" w:bidi="ar"/>
        </w:rPr>
        <w:t>（一）授权运营名称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t>泸州市公共数据资源整体授权运营。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方正楷体简体" w:hAnsi="方正楷体简体" w:eastAsia="方正楷体简体" w:cs="方正楷体简体"/>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i w:val="0"/>
          <w:iCs w:val="0"/>
          <w:caps w:val="0"/>
          <w:color w:val="auto"/>
          <w:spacing w:val="0"/>
          <w:kern w:val="0"/>
          <w:sz w:val="32"/>
          <w:szCs w:val="32"/>
          <w:shd w:val="clear" w:fill="FFFFFF"/>
          <w:lang w:val="en-US" w:eastAsia="zh-CN" w:bidi="ar"/>
        </w:rPr>
        <w:t>（二）授权运营模式</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val="0"/>
        <w:topLinePunct w:val="0"/>
        <w:autoSpaceDE w:val="0"/>
        <w:autoSpaceDN w:val="0"/>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bookmarkStart w:id="29" w:name="_Toc6308"/>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市数据资源中心作为市政府确定的全市公共数据资源授权运营实施机构，按照依法合规、公平公正、公益优先、合理收益、安全可控的原则，通过公平竞争方式将市政府持有的公共数据资源整体授权给符合条件的运营机构进行治理、开发，并面向市场公平提供数据产品和服务。</w:t>
      </w:r>
      <w:bookmarkEnd w:id="29"/>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val="0"/>
        <w:topLinePunct w:val="0"/>
        <w:autoSpaceDE w:val="0"/>
        <w:autoSpaceDN w:val="0"/>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方正黑体简体" w:cs="Times New Roman"/>
          <w:color w:val="auto"/>
          <w:sz w:val="32"/>
          <w:szCs w:val="32"/>
          <w:lang w:val="en-US" w:eastAsia="zh-CN"/>
        </w:rPr>
      </w:pPr>
      <w:bookmarkStart w:id="30" w:name="_Toc3771"/>
      <w:bookmarkStart w:id="31" w:name="_Toc14555"/>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二、</w:t>
      </w:r>
      <w:r>
        <w:rPr>
          <w:rFonts w:hint="default" w:ascii="Times New Roman" w:hAnsi="Times New Roman" w:eastAsia="方正黑体简体" w:cs="Times New Roman"/>
          <w:b w:val="0"/>
          <w:bCs w:val="0"/>
          <w:i w:val="0"/>
          <w:iCs w:val="0"/>
          <w:caps w:val="0"/>
          <w:color w:val="auto"/>
          <w:spacing w:val="0"/>
          <w:sz w:val="32"/>
          <w:szCs w:val="32"/>
          <w:shd w:val="clear" w:fill="FFFFFF"/>
        </w:rPr>
        <w:t>必要性和可行性</w:t>
      </w:r>
      <w:bookmarkEnd w:id="30"/>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论证</w:t>
      </w:r>
      <w:bookmarkEnd w:id="31"/>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val="0"/>
        <w:topLinePunct w:val="0"/>
        <w:autoSpaceDE w:val="0"/>
        <w:autoSpaceDN w:val="0"/>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default" w:ascii="方正楷体简体" w:hAnsi="方正楷体简体" w:eastAsia="方正楷体简体" w:cs="方正楷体简体"/>
          <w:i w:val="0"/>
          <w:iCs w:val="0"/>
          <w:caps w:val="0"/>
          <w:color w:val="auto"/>
          <w:spacing w:val="0"/>
          <w:kern w:val="0"/>
          <w:sz w:val="32"/>
          <w:szCs w:val="32"/>
          <w:shd w:val="clear" w:fill="FFFFFF"/>
          <w:lang w:val="en-US" w:eastAsia="zh-CN" w:bidi="ar"/>
        </w:rPr>
        <w:t>（一）必要性</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一是落实国省工作部署。国家层面，相继出台《中共中央 国务院关于构建数据基础制度更好发挥数据要素作用的意见》《关于加快公共数据资源开发利用的意见》等系列文件，系统搭建起公共数据授权运营与价值释放的“四梁八柱”；省级层面，配套出台《四川省公共数据资源登记管理实施办法》《四川省公共数据资源授权运营实施办法》等制度规范，对授权程序、运营规则、监管责任等作出刚性约束规定，为市级层面开展实践探索提供了清晰的政策依据与操作指引。二是培育数据要素市场。通过建立规范化、制度化的授权运营机制，可有效打通“数据归集—产品开发—场景落地—价值反馈”的市场化链条，有利于吸引和集聚数据商、第三方技术服务机构等多元市场主体，催生数据交易、隐私计算、场景解决方案等新兴业态，培育数据要素产业生态圈；同时，依托授权运营开展价值量化评估、合规流通交易、多元化收益分配等基础机制探索，为国省数据要素市场化改革积累可复制、可推广的经验。三是释放公共数据价值。公共数据总量庞大、覆盖面广，是数据要素价值释放的“催化剂”，但受限于权属不清、流通不畅、应用不足等制度与技术瓶颈，难以有效赋能产业发展与社会治理。开展授权运营，是破解“不敢用、不会用、不善用”困境、打通价值转化“最后一公里”的关键举措，有利于在守住安全底线的前提下，切实推动公共数据由“静态资源”向“动态资产”有序跃升。</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方正楷体_GBK" w:cs="Times New Roman"/>
          <w:b w:val="0"/>
          <w:bCs w:val="0"/>
          <w:i w:val="0"/>
          <w:iCs w:val="0"/>
          <w:caps w:val="0"/>
          <w:color w:val="auto"/>
          <w:spacing w:val="0"/>
          <w:kern w:val="0"/>
          <w:sz w:val="32"/>
          <w:szCs w:val="32"/>
          <w:highlight w:val="none"/>
          <w:shd w:val="clear" w:fill="FFFFFF"/>
          <w:lang w:val="en-US" w:eastAsia="zh-CN" w:bidi="ar"/>
        </w:rPr>
      </w:pPr>
      <w:r>
        <w:rPr>
          <w:rFonts w:hint="default" w:ascii="方正楷体简体" w:hAnsi="方正楷体简体" w:eastAsia="方正楷体简体" w:cs="方正楷体简体"/>
          <w:i w:val="0"/>
          <w:iCs w:val="0"/>
          <w:caps w:val="0"/>
          <w:color w:val="auto"/>
          <w:spacing w:val="0"/>
          <w:kern w:val="0"/>
          <w:sz w:val="32"/>
          <w:szCs w:val="32"/>
          <w:shd w:val="clear" w:fill="FFFFFF"/>
          <w:lang w:val="en-US" w:eastAsia="zh-CN" w:bidi="ar"/>
        </w:rPr>
        <w:t>（二）可行性</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一是数据底座不断夯实。建成全市数据资源管理服务平台，截至2026年8月底，累计归集295家单位数据38.9亿余条，形成295个部门库、4个基础库和8个专题库；发布数据资源共享交换目录10701个，向社会开放数据集14024个，库表交换数据量81.4亿余条，接口调用1.5亿余次，数据资源规模持续扩大，能够有效保障授权运营数据供给需求。二是数据要素市场化配置初显成效。深入实施“数据要素×”行动，截至2026年8月底，12个案例荣获省级分赛奖项，5个案例入选全省典型案例；集聚数字经济企业近200家，打造公共数据“跑起来”应用场景15个，建成省级数字化转型促进中心4家；以“智改数转”为抓手加速场景落地，累计完成企业线下数字化诊断307家、规上工业企业入企服务全覆盖；建成全国首个白酒产业大数据综合平台，整合400余家产业链企业数据，构建545个白酒产业数据模型；依托西南医疗健康大数据和人工智能实验室，开展高质量医学影像与病例文本数据科研应用，初步完成肝癌影像、子宫内膜癌影像、疾病诊断、药品信息、检验指标、影像报告6个医疗类别数据集构建，促进医疗公共数据开发利用。三是风险防控基础牢固。系统推进数字政府建设各项工作任务，建成政务云安全防护体系和网络安全态势感知平台。有序开展国产化密码改造防护，建成云密码资源池。开展数据分类分级管理，建成数据安全态势感知平台，构建数据加密、脱敏等共性安全能力。</w:t>
      </w:r>
      <w:r>
        <w:rPr>
          <w:rFonts w:hint="eastAsia" w:ascii="Times New Roman" w:hAnsi="Times New Roman" w:eastAsia="方正楷体_GBK" w:cs="Times New Roman"/>
          <w:b w:val="0"/>
          <w:bCs w:val="0"/>
          <w:i w:val="0"/>
          <w:iCs w:val="0"/>
          <w:caps w:val="0"/>
          <w:color w:val="auto"/>
          <w:spacing w:val="0"/>
          <w:kern w:val="0"/>
          <w:sz w:val="32"/>
          <w:szCs w:val="32"/>
          <w:highlight w:val="none"/>
          <w:shd w:val="clear" w:fill="FFFFFF"/>
          <w:lang w:val="en-US" w:eastAsia="zh-CN" w:bidi="ar"/>
        </w:rPr>
        <w:t xml:space="preserve">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val="0"/>
        <w:topLinePunct w:val="0"/>
        <w:autoSpaceDE w:val="0"/>
        <w:autoSpaceDN w:val="0"/>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highlight w:val="none"/>
          <w:shd w:val="clear" w:fill="FFFFFF"/>
          <w:lang w:eastAsia="zh-CN"/>
        </w:rPr>
      </w:pPr>
      <w:bookmarkStart w:id="32" w:name="_Toc25031"/>
      <w:bookmarkStart w:id="33" w:name="_Toc4687"/>
      <w:r>
        <w:rPr>
          <w:rFonts w:hint="default" w:ascii="Times New Roman" w:hAnsi="Times New Roman" w:eastAsia="方正黑体简体" w:cs="Times New Roman"/>
          <w:b w:val="0"/>
          <w:bCs w:val="0"/>
          <w:i w:val="0"/>
          <w:iCs w:val="0"/>
          <w:caps w:val="0"/>
          <w:color w:val="auto"/>
          <w:spacing w:val="0"/>
          <w:sz w:val="32"/>
          <w:szCs w:val="32"/>
          <w:highlight w:val="none"/>
          <w:shd w:val="clear" w:fill="FFFFFF"/>
          <w:lang w:val="en-US" w:eastAsia="zh-CN"/>
        </w:rPr>
        <w:t>三</w:t>
      </w:r>
      <w:r>
        <w:rPr>
          <w:rFonts w:hint="default" w:ascii="Times New Roman" w:hAnsi="Times New Roman" w:eastAsia="方正黑体简体" w:cs="Times New Roman"/>
          <w:b w:val="0"/>
          <w:bCs w:val="0"/>
          <w:i w:val="0"/>
          <w:iCs w:val="0"/>
          <w:caps w:val="0"/>
          <w:color w:val="auto"/>
          <w:spacing w:val="0"/>
          <w:sz w:val="32"/>
          <w:szCs w:val="32"/>
          <w:highlight w:val="none"/>
          <w:shd w:val="clear" w:fill="FFFFFF"/>
        </w:rPr>
        <w:t>、运营机构选择</w:t>
      </w:r>
      <w:r>
        <w:rPr>
          <w:rFonts w:hint="eastAsia" w:ascii="Times New Roman" w:hAnsi="Times New Roman" w:eastAsia="方正黑体简体" w:cs="Times New Roman"/>
          <w:b w:val="0"/>
          <w:bCs w:val="0"/>
          <w:i w:val="0"/>
          <w:iCs w:val="0"/>
          <w:caps w:val="0"/>
          <w:color w:val="auto"/>
          <w:spacing w:val="0"/>
          <w:sz w:val="32"/>
          <w:szCs w:val="32"/>
          <w:highlight w:val="none"/>
          <w:shd w:val="clear" w:fill="FFFFFF"/>
          <w:lang w:val="en-US" w:eastAsia="zh-CN"/>
        </w:rPr>
        <w:t>与退出</w:t>
      </w:r>
      <w:bookmarkEnd w:id="32"/>
      <w:bookmarkEnd w:id="33"/>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方正楷体简体" w:hAnsi="方正楷体简体" w:eastAsia="方正楷体简体" w:cs="方正楷体简体"/>
          <w:i w:val="0"/>
          <w:iCs w:val="0"/>
          <w:caps w:val="0"/>
          <w:color w:val="auto"/>
          <w:spacing w:val="0"/>
          <w:kern w:val="0"/>
          <w:sz w:val="32"/>
          <w:szCs w:val="32"/>
          <w:shd w:val="clear" w:fill="FFFFFF"/>
          <w:lang w:val="en-US" w:eastAsia="zh-CN" w:bidi="ar"/>
        </w:rPr>
      </w:pPr>
      <w:bookmarkStart w:id="34" w:name="_Toc24063"/>
      <w:bookmarkStart w:id="35" w:name="_Toc17325"/>
      <w:r>
        <w:rPr>
          <w:rFonts w:hint="eastAsia" w:ascii="方正楷体简体" w:hAnsi="方正楷体简体" w:eastAsia="方正楷体简体" w:cs="方正楷体简体"/>
          <w:i w:val="0"/>
          <w:iCs w:val="0"/>
          <w:caps w:val="0"/>
          <w:color w:val="auto"/>
          <w:spacing w:val="0"/>
          <w:kern w:val="0"/>
          <w:sz w:val="32"/>
          <w:szCs w:val="32"/>
          <w:shd w:val="clear" w:fill="FFFFFF"/>
          <w:lang w:val="en-US" w:eastAsia="zh-CN" w:bidi="ar"/>
        </w:rPr>
        <w:t>（一）运营机构选择</w:t>
      </w:r>
      <w:bookmarkEnd w:id="34"/>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val="0"/>
        <w:topLinePunct w:val="0"/>
        <w:autoSpaceDE w:val="0"/>
        <w:autoSpaceDN w:val="0"/>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bookmarkStart w:id="36" w:name="_Toc2386"/>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实施机构根据本实施方案，按照法律法规要求，</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通过公开招标、邀请招标、谈判等公平竞争方式选定</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运营机构，经本单位</w:t>
      </w:r>
      <w:r>
        <w:rPr>
          <w:rFonts w:hint="eastAsia" w:ascii="方正仿宋简体" w:hAnsi="方正仿宋简体" w:eastAsia="方正仿宋简体" w:cs="方正仿宋简体"/>
          <w:b w:val="0"/>
          <w:bCs w:val="0"/>
          <w:i w:val="0"/>
          <w:iCs w:val="0"/>
          <w:caps w:val="0"/>
          <w:color w:val="auto"/>
          <w:spacing w:val="0"/>
          <w:kern w:val="0"/>
          <w:sz w:val="32"/>
          <w:szCs w:val="32"/>
          <w:highlight w:val="none"/>
          <w:shd w:val="clear" w:fill="FFFFFF"/>
          <w:lang w:val="en-US" w:eastAsia="zh-CN" w:bidi="ar"/>
        </w:rPr>
        <w:t>“三重一大”</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决策机制审议通过后，与依法选定的运营机构签订授权运营协议，</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并做好</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备案</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管理工作</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。授权运营期限</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原则上</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不超过5年，期限届满后，由实施机构按程序重新</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选</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定运营机构。</w:t>
      </w:r>
      <w:bookmarkEnd w:id="36"/>
      <w:bookmarkStart w:id="72" w:name="_GoBack"/>
      <w:bookmarkEnd w:id="7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运营机构应具备以下条件：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1.基本要求。在中华人民共和国境内注册的法人组织，具有稳定的财务状况和持续经营能力，商业信誉良好，近三年（未满3年按实际年份计算，下同）无违法失信及</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重大</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行政处罚记录，</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信用中国</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网站查询无失信信息。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2.管理能力。具备完善的法人治理结构与内控体系，</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具有</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健全</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的</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公共数据</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资源</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开发利用全流程管理制度，设</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有专门的数据管理团队或部门</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，人员配置</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完善</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，具备规范开展整体授权运营的管理基础。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3.技术能力。具备数据处理、产品开发、平台建设等能力，能够为其他开发利用主体提供安全高效的再开发环境。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4.服务能力。具有一定的行业影响力，具备数据产品设计、场景孵化及生态培育能力。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5.安全能力。建立覆盖数据全生命周期的安全管理制度，具有符合网络安全等级保护三级标准和商用密码应用安全性评估要求的系统开发和运维实践经验</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具备数据安全保障、风险防控和应急处置能力，配备专职安全人员，近三年</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未发生重大</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网络</w:t>
      </w: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和</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数据安全事件。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bookmarkStart w:id="37" w:name="_Toc22681"/>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6.其他要求。</w:t>
      </w:r>
      <w:r>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符合公共数据资源授权运营的其他规定要求。</w:t>
      </w:r>
      <w:bookmarkEnd w:id="37"/>
    </w:p>
    <w:bookmarkEnd w:id="35"/>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方正楷体简体" w:hAnsi="方正楷体简体" w:eastAsia="方正楷体简体" w:cs="方正楷体简体"/>
          <w:b w:val="0"/>
          <w:bCs w:val="0"/>
          <w:i w:val="0"/>
          <w:iCs w:val="0"/>
          <w:caps w:val="0"/>
          <w:color w:val="auto"/>
          <w:spacing w:val="0"/>
          <w:kern w:val="0"/>
          <w:sz w:val="32"/>
          <w:szCs w:val="32"/>
          <w:highlight w:val="none"/>
          <w:shd w:val="clear" w:fill="FFFFFF"/>
          <w:lang w:val="en-US" w:eastAsia="zh-CN" w:bidi="ar"/>
        </w:rPr>
      </w:pPr>
      <w:bookmarkStart w:id="38" w:name="_Toc9075"/>
      <w:bookmarkStart w:id="39" w:name="_Toc18740"/>
      <w:r>
        <w:rPr>
          <w:rFonts w:hint="eastAsia" w:ascii="方正楷体简体" w:hAnsi="方正楷体简体" w:eastAsia="方正楷体简体" w:cs="方正楷体简体"/>
          <w:b w:val="0"/>
          <w:bCs w:val="0"/>
          <w:i w:val="0"/>
          <w:iCs w:val="0"/>
          <w:caps w:val="0"/>
          <w:color w:val="auto"/>
          <w:spacing w:val="0"/>
          <w:kern w:val="0"/>
          <w:sz w:val="32"/>
          <w:szCs w:val="32"/>
          <w:highlight w:val="none"/>
          <w:shd w:val="clear" w:fill="FFFFFF"/>
          <w:lang w:val="en-US" w:eastAsia="zh-CN" w:bidi="ar"/>
        </w:rPr>
        <w:t>（二）运营机构退出</w:t>
      </w:r>
      <w:bookmarkEnd w:id="38"/>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bookmarkStart w:id="40" w:name="_Toc21382"/>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实施机构应在授权运营协议中明确运营机构退出情形。运营机构退出时，实施机构应发布公告，收回其授权运营所有权限。</w:t>
      </w:r>
      <w:bookmarkEnd w:id="40"/>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运营机构须按要求配合做好交接工作。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pPr>
      <w:bookmarkStart w:id="41" w:name="_Toc8533"/>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四</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、授权运营</w:t>
      </w:r>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的</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数据资源范围</w:t>
      </w:r>
      <w:bookmarkEnd w:id="39"/>
      <w:bookmarkStart w:id="42" w:name="_Toc17433"/>
      <w:bookmarkStart w:id="43" w:name="_Toc11507"/>
      <w:bookmarkStart w:id="44" w:name="_Toc16878"/>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及目录</w:t>
      </w:r>
      <w:bookmarkEnd w:id="41"/>
    </w:p>
    <w:bookmarkEnd w:id="42"/>
    <w:bookmarkEnd w:id="43"/>
    <w:bookmarkEnd w:id="44"/>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bookmarkStart w:id="45" w:name="_Toc11780"/>
      <w:bookmarkStart w:id="46" w:name="_Toc31038"/>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我市公共数据资源授权运营优先聚焦与民生紧密相关、市场需求旺盛、发展潜力显著且数据基础扎实的数据资源。实施机构分批次向社会发布授权运营的公共数据资源目录，首批拟授权运营的公共数据资源目录详见附件1；后续批次目录将在征求数据提供单位意见并报市级数据管理部门同意后，按程序发布。数据更新频率及质量由数据提供单位负责保障。</w:t>
      </w:r>
      <w:bookmarkEnd w:id="45"/>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shd w:val="clear" w:fill="FFFFFF"/>
        </w:rPr>
      </w:pPr>
      <w:bookmarkStart w:id="47" w:name="_Toc13583"/>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五</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w:t>
      </w:r>
      <w:r>
        <w:rPr>
          <w:rFonts w:hint="default" w:ascii="Times New Roman" w:hAnsi="Times New Roman" w:eastAsia="方正黑体简体" w:cs="Times New Roman"/>
          <w:b w:val="0"/>
          <w:bCs w:val="0"/>
          <w:i w:val="0"/>
          <w:iCs w:val="0"/>
          <w:caps w:val="0"/>
          <w:color w:val="auto"/>
          <w:spacing w:val="0"/>
          <w:sz w:val="32"/>
          <w:szCs w:val="32"/>
          <w:shd w:val="clear" w:fill="FFFFFF"/>
        </w:rPr>
        <w:t>授权运营主要内容</w:t>
      </w:r>
      <w:bookmarkEnd w:id="47"/>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val="0"/>
        <w:topLinePunct w:val="0"/>
        <w:autoSpaceDE w:val="0"/>
        <w:autoSpaceDN w:val="0"/>
        <w:bidi w:val="0"/>
        <w:adjustRightInd/>
        <w:snapToGrid/>
        <w:spacing w:before="0" w:beforeAutospacing="0" w:after="0" w:afterAutospacing="0" w:line="600" w:lineRule="exact"/>
        <w:ind w:right="0" w:firstLine="640" w:firstLineChars="200"/>
        <w:jc w:val="both"/>
        <w:textAlignment w:val="auto"/>
        <w:rPr>
          <w:rFonts w:hint="default"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bookmarkStart w:id="48" w:name="_Toc10836"/>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（一）建设内容</w:t>
      </w:r>
      <w:bookmarkEnd w:id="48"/>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val="0"/>
        <w:topLinePunct w:val="0"/>
        <w:autoSpaceDE w:val="0"/>
        <w:autoSpaceDN w:val="0"/>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bookmarkStart w:id="49" w:name="_Toc13892"/>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1.制度建设。在市级数据管理部门指导下，实施机构牵头制定授权运营管理、数据开发利用、运营成效评估等配套制度和标准规范。</w:t>
      </w:r>
      <w:bookmarkEnd w:id="49"/>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bookmarkStart w:id="50" w:name="_Toc28267"/>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2.平台建设。优化升级全市一体化数据平台，保障公共数据资源供给，满足运营机构数据加工处理需求。运营机构负责建设全市统一的公共数据资源授权运营平台，重点支撑公共数据资源治理、安全技术防护、运营全流程管控、产品流通与交易、合规审查与监管、综合运营态势分析等业务功能。</w:t>
      </w:r>
      <w:bookmarkEnd w:id="5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方正楷体简体" w:hAnsi="方正楷体简体" w:eastAsia="方正楷体简体" w:cs="方正楷体简体"/>
          <w:b w:val="0"/>
          <w:bCs w:val="0"/>
          <w:i w:val="0"/>
          <w:iCs w:val="0"/>
          <w:caps w:val="0"/>
          <w:color w:val="auto"/>
          <w:spacing w:val="0"/>
          <w:kern w:val="0"/>
          <w:sz w:val="32"/>
          <w:szCs w:val="32"/>
          <w:highlight w:val="none"/>
          <w:shd w:val="clear" w:fill="FFFFFF"/>
          <w:lang w:val="en-US" w:eastAsia="zh-CN" w:bidi="ar"/>
        </w:rPr>
      </w:pPr>
      <w:bookmarkStart w:id="51" w:name="_Toc5251"/>
      <w:r>
        <w:rPr>
          <w:rFonts w:hint="eastAsia" w:ascii="方正楷体简体" w:hAnsi="方正楷体简体" w:eastAsia="方正楷体简体" w:cs="方正楷体简体"/>
          <w:b w:val="0"/>
          <w:bCs w:val="0"/>
          <w:i w:val="0"/>
          <w:iCs w:val="0"/>
          <w:caps w:val="0"/>
          <w:color w:val="auto"/>
          <w:spacing w:val="0"/>
          <w:kern w:val="0"/>
          <w:sz w:val="32"/>
          <w:szCs w:val="32"/>
          <w:highlight w:val="none"/>
          <w:shd w:val="clear" w:fill="FFFFFF"/>
          <w:lang w:val="en-US" w:eastAsia="zh-CN" w:bidi="ar"/>
        </w:rPr>
        <w:t>（二）技术保障</w:t>
      </w:r>
      <w:bookmarkEnd w:id="51"/>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outlineLvl w:val="0"/>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bookmarkStart w:id="52" w:name="_Toc20289"/>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1.平台设计。强化平台技术架构设计，保障长效运行支撑。选用成熟可靠、适度先进的技术体系，兼顾系统安全性、稳定性与可扩展性，提升运行效能。采用分层模块化架构，清晰界定业务逻辑与数据流转路径，优化存储调度机制，增强系统容错与迭代升级能力，保障数据存取高效、安全、可靠。</w:t>
      </w:r>
      <w:bookmarkEnd w:id="52"/>
    </w:p>
    <w:p>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val="0"/>
        <w:topLinePunct w:val="0"/>
        <w:autoSpaceDE w:val="0"/>
        <w:autoSpaceDN w:val="0"/>
        <w:bidi w:val="0"/>
        <w:adjustRightInd/>
        <w:snapToGrid/>
        <w:spacing w:before="0" w:beforeAutospacing="0" w:after="0" w:afterAutospacing="0" w:line="600" w:lineRule="exact"/>
        <w:ind w:right="0" w:rightChars="0" w:firstLine="640" w:firstLineChars="200"/>
        <w:jc w:val="both"/>
        <w:textAlignment w:val="auto"/>
        <w:outlineLvl w:val="0"/>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bookmarkStart w:id="53" w:name="_Toc3561"/>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2.安全防护。落实“原始数据不出域、数据可用不可见”，夯实软硬件防护基础。强化全流程安全管控，依托隐私计算、区块链等技术，对数据留痕存证，实现数据来源、去向、应用全程可追溯，闭环管控数据全生命周期安全风险。严格对标网络安全等级保护、商用密码应用安全性评估相关要求，完善防护设施配置，常态化开展安全检测与隐患排查。</w:t>
      </w:r>
      <w:bookmarkEnd w:id="53"/>
    </w:p>
    <w:p>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val="0"/>
        <w:topLinePunct w:val="0"/>
        <w:autoSpaceDE w:val="0"/>
        <w:autoSpaceDN w:val="0"/>
        <w:bidi w:val="0"/>
        <w:adjustRightInd/>
        <w:snapToGrid/>
        <w:spacing w:before="0" w:beforeAutospacing="0" w:after="0" w:afterAutospacing="0" w:line="600" w:lineRule="exact"/>
        <w:ind w:right="0" w:rightChars="0" w:firstLine="640" w:firstLineChars="200"/>
        <w:jc w:val="both"/>
        <w:textAlignment w:val="auto"/>
        <w:outlineLvl w:val="0"/>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bookmarkStart w:id="54" w:name="_Toc25467"/>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3.技术团队。加强专业技术力量建设，配齐运维管理和安全管理人员，必要时引入第三方专业团队，做好设施运维、技术支撑与安全管控工作。常态化开展业务操作和安全规范培训，定期组织应急演练，提升实战处置能力，保障平台平稳有序运行。</w:t>
      </w:r>
      <w:bookmarkEnd w:id="54"/>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outlineLvl w:val="0"/>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bookmarkStart w:id="55" w:name="_Toc21398"/>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（三）实施进度</w:t>
      </w:r>
      <w:bookmarkEnd w:id="55"/>
    </w:p>
    <w:p>
      <w:pPr>
        <w:keepNext w:val="0"/>
        <w:keepLines w:val="0"/>
        <w:pageBreakBefore w:val="0"/>
        <w:tabs>
          <w:tab w:val="left" w:pos="3641"/>
        </w:tab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第一阶段（第1—2个月）：夯实基础，择优确定主体。梳理确定首批授权运营的公共数据资源目录，持续深化数据归集与治理；按程序选定运营机构，并签订授权运营协议。</w:t>
      </w:r>
    </w:p>
    <w:p>
      <w:pPr>
        <w:keepNext w:val="0"/>
        <w:keepLines w:val="0"/>
        <w:pageBreakBefore w:val="0"/>
        <w:tabs>
          <w:tab w:val="left" w:pos="3641"/>
        </w:tabs>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第二阶段（第3—5个月）：搭建平台，开展先行先试。建设公共数据资源授权运营平台，依托可信数据空间等技术，建立安全可信的数据运营加工环境；初步建立运营管理、数据安全防护等制度规范；聚焦高价值应用场景，启动1—3个试点示范项目。</w:t>
      </w:r>
    </w:p>
    <w:p>
      <w:pPr>
        <w:keepNext w:val="0"/>
        <w:keepLines w:val="0"/>
        <w:pageBreakBefore w:val="0"/>
        <w:tabs>
          <w:tab w:val="left" w:pos="3641"/>
        </w:tabs>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第三阶段（第6—8个月）：深化应用，完善长效机制。基于首批授权运营数据资源，推动形成一批公共数据产品与服务。聚焦公共治理与公益事业、产业发展与行业发展两大领域，深化场景开发与融合创新应用，加强典型成果宣传推广，充分发挥示范引领效应；根据省级指导意见，探索建立完善数据收益分配、数据供给激励等长效机制。</w:t>
      </w:r>
    </w:p>
    <w:p>
      <w:pPr>
        <w:keepNext w:val="0"/>
        <w:keepLines w:val="0"/>
        <w:pageBreakBefore w:val="0"/>
        <w:tabs>
          <w:tab w:val="left" w:pos="3641"/>
        </w:tabs>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第四阶段（第9个月以后）：评估优化，转入常态运营。</w:t>
      </w:r>
    </w:p>
    <w:p>
      <w:pPr>
        <w:keepNext w:val="0"/>
        <w:keepLines w:val="0"/>
        <w:pageBreakBefore w:val="0"/>
        <w:widowControl w:val="0"/>
        <w:tabs>
          <w:tab w:val="left" w:pos="3641"/>
        </w:tabs>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在初步打通授权运营全流程后，开展成效评估，并建立健全授权运营标准规范体系。根据评估结果动态发布公共数据资源目录，有序扩大授权范围，推动授权运营转入常态化、规范化轨道，确保公共数据“供得出、流得动、用得好”，持续赋能全市经济社会高质量发展。</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600" w:lineRule="exact"/>
        <w:ind w:right="0" w:firstLine="640" w:firstLineChars="200"/>
        <w:jc w:val="both"/>
        <w:textAlignment w:val="auto"/>
        <w:rPr>
          <w:rFonts w:hint="default"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bookmarkStart w:id="56" w:name="_Toc132"/>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（四）评价标准</w:t>
      </w:r>
      <w:bookmarkEnd w:id="56"/>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bookmarkStart w:id="57" w:name="_Toc21226"/>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市级数据管理部门牵头组织实施机构，每年定期开展公共数据授权运营成效评估。评估内容包括但不限于：授权运营协议执行情况、公共数据产品和服务供给质量、数据安全与合规运营情况等。通过完善评价标准体系并强化结果应用，不断提升授权运营实效。</w:t>
      </w:r>
      <w:bookmarkEnd w:id="57"/>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bookmarkStart w:id="58" w:name="_Toc7509"/>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（五）资产管理</w:t>
      </w:r>
      <w:bookmarkEnd w:id="58"/>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授权运营中的数据资产管理，须严格落实数据产权结构性分置制度，通过授权运营协议明确界定各方数据权益。</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pPr>
      <w:bookmarkStart w:id="59" w:name="_Toc20915"/>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六、公共数据资源需求提出及供给流程</w:t>
      </w:r>
      <w:bookmarkEnd w:id="59"/>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（一）需求发起</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。运营机构应当依据授权运营协议，通过市一体化数据平台发起数据需求。</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（二）比对流转</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。实施机构收到数据需求后5个工作日内对照协议约定开展比对。属于协议约定范围的，依托市一体化数据平台流转至数据提供单位；不属于协议约定范围的，退回运营机构。</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（三）响应确认</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数据提供单位依法依规在5个工作日内完成数据供给确认，因特殊原因需延长确认期限的，数据提供单位应当报市级数据管理部门备案，并告知实施机构，延长期限最长不超过10个工作日。数据提供单位应当自确认完成之日起20个工作日内将相关数据提供至市一体化数据平台。</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（四）数据供给</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。实施机构在接收到相关数据后5个工作日内，依托市一体化数据平台向市公共数据资源授权运营平台完成数据供给。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shd w:val="clear" w:fill="FFFFFF"/>
          <w:lang w:val="en-US"/>
        </w:rPr>
      </w:pPr>
      <w:bookmarkStart w:id="60" w:name="_Toc12398"/>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七</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公共数据产品和服务清单</w:t>
      </w:r>
      <w:bookmarkEnd w:id="6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运营机构根据拟获取授权的</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公共</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数据资源</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目录</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在实施机构指导下，编制各类应用场景下可提供的公共数据产品和服务清单。首批拟提供的公共数据产品和服务清单见附件2，后续批次清单根据资源目录动态更新发布。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bookmarkStart w:id="61" w:name="_Toc15528"/>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八</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核算和收益分配机制</w:t>
      </w:r>
      <w:bookmarkEnd w:id="6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（一）核算机制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运营机构最高准许收入</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根据</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国家发展改革委</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 xml:space="preserve"> </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国家数据局</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关于建立公共数据资源授权运营价格形成机制的通知》要求</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，遵循</w:t>
      </w:r>
      <w:r>
        <w:rPr>
          <w:rFonts w:hint="eastAsia" w:ascii="方正仿宋简体" w:hAnsi="方正仿宋简体" w:eastAsia="方正仿宋简体" w:cs="方正仿宋简体"/>
          <w:b w:val="0"/>
          <w:bCs w:val="0"/>
          <w:i w:val="0"/>
          <w:iCs w:val="0"/>
          <w:caps w:val="0"/>
          <w:color w:val="auto"/>
          <w:spacing w:val="0"/>
          <w:kern w:val="0"/>
          <w:sz w:val="32"/>
          <w:szCs w:val="32"/>
          <w:shd w:val="clear" w:fill="FFFFFF"/>
          <w:lang w:val="en-US" w:eastAsia="zh-CN" w:bidi="ar"/>
        </w:rPr>
        <w:t>“补偿成本、合理盈利”原则核定。最高准许收入包括经营成本、</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准许利润和税金。</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用于公共治理、公益事业的数据产品和服务，免费提供；用于产业发展、行业发展的经营性数据产品和服务，在政府指导定价范围内收取公共数据运营服务费。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（二）收益分配机制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按</w:t>
      </w:r>
      <w:r>
        <w:rPr>
          <w:rFonts w:hint="eastAsia" w:ascii="方正仿宋简体" w:hAnsi="方正仿宋简体" w:eastAsia="方正仿宋简体" w:cs="方正仿宋简体"/>
          <w:b w:val="0"/>
          <w:bCs w:val="0"/>
          <w:i w:val="0"/>
          <w:iCs w:val="0"/>
          <w:caps w:val="0"/>
          <w:color w:val="auto"/>
          <w:spacing w:val="0"/>
          <w:kern w:val="0"/>
          <w:sz w:val="32"/>
          <w:szCs w:val="32"/>
          <w:shd w:val="clear" w:fill="FFFFFF"/>
          <w:lang w:val="en-US" w:eastAsia="zh-CN" w:bidi="ar"/>
        </w:rPr>
        <w:t>照“谁贡献、谁受益”的原</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则，</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保障</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授权运营各参与方依法合理获取收益。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1.运营初期，运营机构因运营数据产生的收益主要用于数据资源治理、授权运营平台建设及技术能力提升等，推动运营能力持续提升。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2.结合发展实际，在授权运营体系运行成熟、收益核算标准明确等基础条件具备后，由市级数据管理部门探索建立各参与方收益分配及动态调整机制。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shd w:val="clear" w:fill="FFFFFF"/>
          <w:lang w:val="en-US"/>
        </w:rPr>
      </w:pPr>
      <w:bookmarkStart w:id="62" w:name="_Toc2787"/>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九</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安全保障</w:t>
      </w:r>
      <w:bookmarkEnd w:id="62"/>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bookmarkStart w:id="63" w:name="_Toc17132"/>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（一）数据安全</w:t>
      </w:r>
      <w:bookmarkEnd w:id="63"/>
    </w:p>
    <w:p>
      <w:pPr>
        <w:keepNext w:val="0"/>
        <w:keepLines w:val="0"/>
        <w:pageBreakBefore w:val="0"/>
        <w:tabs>
          <w:tab w:val="left" w:pos="2071"/>
        </w:tabs>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按照“谁管理谁负责、谁使用谁负责”原则，</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参与授权运营的各方应严格执行数据安全法律法规及政策要求，切实履行好职责范围内的安全保障义务。实施机构、运营机构应通过管理和技术措施，加强数据关联</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汇聚</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风险识别和管控，保障数据安全。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bookmarkStart w:id="64" w:name="_Toc89"/>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（二）个人信息保护</w:t>
      </w:r>
      <w:bookmarkEnd w:id="64"/>
    </w:p>
    <w:p>
      <w:pPr>
        <w:keepNext w:val="0"/>
        <w:keepLines w:val="0"/>
        <w:pageBreakBefore w:val="0"/>
        <w:tabs>
          <w:tab w:val="left" w:pos="2001"/>
        </w:tabs>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严格落实“原始数据不出域、数据可用不可见”，对高度关联个人信息的公共数据，须在授权运营前进行脱敏、匿名化或加密处理，并从严限定数据授权使用范围和运营行为。强化对运营机构涉及公共数据资源授权运营的内控审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default"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bookmarkStart w:id="65" w:name="_Toc28264"/>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（三）应急处置</w:t>
      </w:r>
      <w:bookmarkEnd w:id="6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市级数据管理部门应联合网信、公安等部门建立联动处置机制，加强对数据安全风险信息的获取、分析、研判、预警工作，及时处置各类安全事件。实施机构应组织运营机构制定数据安全事件应急预案，并定期开展应急演练、网络数据安全风险评估。发生数据安全事件时，运营机构应按照应急预案启动应急响应，并按程序及时向市级数据管理部门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shd w:val="clear" w:fill="FFFFFF"/>
          <w:lang w:val="en-US"/>
        </w:rPr>
      </w:pPr>
      <w:bookmarkStart w:id="66" w:name="_Toc27755"/>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十</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各方权利义务</w:t>
      </w:r>
      <w:bookmarkEnd w:id="66"/>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（一）实施机构权利义务</w:t>
      </w:r>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负责推进公共数据资源授权运营实施，制定相关管理规范；统筹公共数据资源供给，依法依规选定运营机构并签订授权运营协议；履行对运营机构的日常监管、合规与安全检查职责，组织开展成效评估与收益管理，按规定执行协议变更、暂停或终止等处置措施。</w:t>
      </w:r>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default"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（二）数据提供单位权利义务</w:t>
      </w:r>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负责编制并动态更新公共数据资源目录，做好数据分类分级、质量校核与安全管控等源头管理工作；协同推进省级数据点对点回流工作；将授权运营范围内的公共数据资源按要求进行登记、归集、动态更新，确保数据供给及时完整；及时响应并闭环处置运营过程中反馈的数据质量问题；履行数据申请审核把关职责，对不合规申请依法依规予以拒绝；协同落实授权运营相关管理要求。</w:t>
      </w:r>
    </w:p>
    <w:p>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（三）运营机构权利义务</w:t>
      </w:r>
    </w:p>
    <w:p>
      <w:pPr>
        <w:keepNext w:val="0"/>
        <w:keepLines w:val="0"/>
        <w:pageBreakBefore w:val="0"/>
        <w:tabs>
          <w:tab w:val="left" w:pos="3541"/>
        </w:tabs>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简体" w:cs="Times New Roman"/>
          <w:color w:val="auto"/>
          <w:sz w:val="32"/>
          <w:szCs w:val="32"/>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负责建设、维护和管理公共数据资源授权运营平台；在授权范围内使用公共数据资源，依法合规开展数据加工，通过市场化运营获取合法收益；建立健全数据全生命周期安全管理机制，严格落实网络安全与数据安全法定要求，强化个人信息与商业秘密保护；健全财务内控机制，对公共数据产品和服务相关的成本、收入与支出实行规范管理；</w:t>
      </w:r>
      <w:r>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t>定期向社会披露公共数据资源使用情况，</w:t>
      </w:r>
      <w:r>
        <w:rPr>
          <w:rFonts w:hint="eastAsia" w:ascii="Times New Roman" w:hAnsi="Times New Roman" w:eastAsia="方正仿宋简体" w:cs="Times New Roman"/>
          <w:i w:val="0"/>
          <w:iCs w:val="0"/>
          <w:caps w:val="0"/>
          <w:color w:val="auto"/>
          <w:spacing w:val="0"/>
          <w:kern w:val="0"/>
          <w:sz w:val="32"/>
          <w:szCs w:val="32"/>
          <w:shd w:val="clear" w:fill="FFFFFF"/>
          <w:lang w:val="en-US" w:eastAsia="zh-CN" w:bidi="ar"/>
        </w:rPr>
        <w:t>接受网信、财政、数据等部门的</w:t>
      </w:r>
      <w:r>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t>监督、管理</w:t>
      </w:r>
      <w:r>
        <w:rPr>
          <w:rFonts w:hint="eastAsia" w:ascii="Times New Roman" w:hAnsi="Times New Roman" w:eastAsia="方正仿宋简体" w:cs="Times New Roman"/>
          <w:i w:val="0"/>
          <w:iCs w:val="0"/>
          <w:caps w:val="0"/>
          <w:color w:val="auto"/>
          <w:spacing w:val="0"/>
          <w:kern w:val="0"/>
          <w:sz w:val="32"/>
          <w:szCs w:val="32"/>
          <w:shd w:val="clear" w:fill="FFFFFF"/>
          <w:lang w:val="en-US" w:eastAsia="zh-CN" w:bidi="ar"/>
        </w:rPr>
        <w:t>与</w:t>
      </w:r>
      <w:r>
        <w:rPr>
          <w:rFonts w:hint="default" w:ascii="Times New Roman" w:hAnsi="Times New Roman" w:eastAsia="方正仿宋简体" w:cs="Times New Roman"/>
          <w:i w:val="0"/>
          <w:iCs w:val="0"/>
          <w:caps w:val="0"/>
          <w:color w:val="auto"/>
          <w:spacing w:val="0"/>
          <w:kern w:val="0"/>
          <w:sz w:val="32"/>
          <w:szCs w:val="32"/>
          <w:shd w:val="clear" w:fill="FFFFFF"/>
          <w:lang w:val="en-US" w:eastAsia="zh-CN" w:bidi="ar"/>
        </w:rPr>
        <w:t>审计。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shd w:val="clear" w:fill="FFFFFF"/>
          <w:lang w:val="en-US"/>
        </w:rPr>
      </w:pPr>
      <w:bookmarkStart w:id="67" w:name="_Toc10303"/>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十一</w:t>
      </w:r>
      <w:r>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t>、</w:t>
      </w:r>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监督管理和考核评价</w:t>
      </w:r>
      <w:bookmarkEnd w:id="6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（一）监督检查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市级数据管理部门牵头建立健全公共数据资源授权运营监督管理机制，定期对实施机构、运营机构的授权运营活动进行监督检查，重点检查数据安全措施落实情况、运营协议执行合规性、信息披露真实性、财务收支合法性等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（二）</w:t>
      </w:r>
      <w:r>
        <w:rPr>
          <w:rFonts w:hint="default"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落实容错机制</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600" w:lineRule="exact"/>
        <w:ind w:firstLine="641"/>
        <w:textAlignment w:val="auto"/>
        <w:outlineLvl w:val="1"/>
        <w:rPr>
          <w:rFonts w:hint="default" w:ascii="Times New Roman" w:hAnsi="Times New Roman" w:eastAsia="方正仿宋简体" w:cs="Times New Roman"/>
          <w:i w:val="0"/>
          <w:iCs w:val="0"/>
          <w:caps w:val="0"/>
          <w:color w:val="auto"/>
          <w:spacing w:val="0"/>
          <w:w w:val="100"/>
          <w:kern w:val="0"/>
          <w:position w:val="0"/>
          <w:sz w:val="32"/>
          <w:szCs w:val="32"/>
          <w:u w:val="none"/>
          <w:shd w:val="clear" w:fill="FFFFFF"/>
          <w:vertAlign w:val="baseline"/>
          <w:lang w:val="en-US" w:eastAsia="zh-CN" w:bidi="ar"/>
        </w:rPr>
      </w:pPr>
      <w:r>
        <w:rPr>
          <w:rFonts w:hint="default" w:ascii="Times New Roman" w:hAnsi="Times New Roman" w:eastAsia="方正仿宋简体" w:cs="Times New Roman"/>
          <w:i w:val="0"/>
          <w:iCs w:val="0"/>
          <w:caps w:val="0"/>
          <w:color w:val="auto"/>
          <w:spacing w:val="0"/>
          <w:w w:val="100"/>
          <w:kern w:val="0"/>
          <w:position w:val="0"/>
          <w:sz w:val="32"/>
          <w:szCs w:val="32"/>
          <w:u w:val="none"/>
          <w:shd w:val="clear" w:fill="FFFFFF"/>
          <w:vertAlign w:val="baseline"/>
          <w:lang w:val="en-US" w:eastAsia="zh-CN" w:bidi="ar"/>
        </w:rPr>
        <w:t>鼓励实施机构</w:t>
      </w:r>
      <w:r>
        <w:rPr>
          <w:rFonts w:hint="eastAsia" w:ascii="Times New Roman" w:hAnsi="Times New Roman" w:eastAsia="方正仿宋简体" w:cs="Times New Roman"/>
          <w:i w:val="0"/>
          <w:iCs w:val="0"/>
          <w:caps w:val="0"/>
          <w:color w:val="auto"/>
          <w:spacing w:val="0"/>
          <w:w w:val="100"/>
          <w:kern w:val="0"/>
          <w:position w:val="0"/>
          <w:sz w:val="32"/>
          <w:szCs w:val="32"/>
          <w:u w:val="none"/>
          <w:shd w:val="clear" w:fill="FFFFFF"/>
          <w:vertAlign w:val="baseline"/>
          <w:lang w:val="en-US" w:eastAsia="zh-CN" w:bidi="ar"/>
        </w:rPr>
        <w:t>、</w:t>
      </w:r>
      <w:r>
        <w:rPr>
          <w:rFonts w:hint="default" w:ascii="Times New Roman" w:hAnsi="Times New Roman" w:eastAsia="方正仿宋简体" w:cs="Times New Roman"/>
          <w:i w:val="0"/>
          <w:iCs w:val="0"/>
          <w:caps w:val="0"/>
          <w:color w:val="auto"/>
          <w:spacing w:val="0"/>
          <w:w w:val="100"/>
          <w:kern w:val="0"/>
          <w:position w:val="0"/>
          <w:sz w:val="32"/>
          <w:szCs w:val="32"/>
          <w:u w:val="none"/>
          <w:shd w:val="clear" w:fill="FFFFFF"/>
          <w:vertAlign w:val="baseline"/>
          <w:lang w:val="en-US" w:eastAsia="zh-CN" w:bidi="ar"/>
        </w:rPr>
        <w:t>运营机构在公共数据授权运营、场景打造、价值释放等方面先行先试，营造鼓励创新、包容审慎的发展环境。对在数据开发利用探索中，因技术迭代、政策调整或无先例可循导致失误偏差，但未谋取私利、未触碰数据安全底线、未损害公共利益，且积极采取补救措施的，按照容错纠错有关规定，免除或减轻相关责任主体责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（三）违规处置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运营机构违反授权运营相关协议的，由实施机构指导运营机构限期整改。整改期间，实施机构有权暂停提供数据，待问题整改完成后，重新恢复提供数据；逾期未完成整改的，应终止协议并依法追究相关责任。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pPr>
      <w:r>
        <w:rPr>
          <w:rFonts w:hint="eastAsia" w:ascii="方正楷体简体" w:hAnsi="方正楷体简体" w:eastAsia="方正楷体简体" w:cs="方正楷体简体"/>
          <w:b w:val="0"/>
          <w:bCs w:val="0"/>
          <w:i w:val="0"/>
          <w:iCs w:val="0"/>
          <w:caps w:val="0"/>
          <w:color w:val="auto"/>
          <w:spacing w:val="0"/>
          <w:kern w:val="0"/>
          <w:sz w:val="32"/>
          <w:szCs w:val="32"/>
          <w:shd w:val="clear" w:fill="FFFFFF"/>
          <w:lang w:val="en-US" w:eastAsia="zh-CN" w:bidi="ar"/>
        </w:rPr>
        <w:t>（四）考核评价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highlight w:val="none"/>
          <w:shd w:val="clear" w:fill="FFFFFF"/>
          <w:lang w:val="en-US" w:eastAsia="zh-CN" w:bidi="ar"/>
        </w:rPr>
        <w:t>运营期限内，运营机构每年1月底前向实施机构提交上一年度授权运营报告。实施机构应会同有关单位或委托第三方机构开展年度评估，根据评估结果提出针对性改进要求，并将其作为运营机构再次申请授权运营的重要依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方正黑体简体" w:cs="Times New Roman"/>
          <w:b w:val="0"/>
          <w:bCs w:val="0"/>
          <w:i w:val="0"/>
          <w:iCs w:val="0"/>
          <w:caps w:val="0"/>
          <w:color w:val="auto"/>
          <w:spacing w:val="0"/>
          <w:sz w:val="32"/>
          <w:szCs w:val="32"/>
          <w:shd w:val="clear" w:fill="FFFFFF"/>
          <w:lang w:val="en-US" w:eastAsia="zh-CN"/>
        </w:rPr>
      </w:pPr>
      <w:bookmarkStart w:id="68" w:name="_Toc26587"/>
      <w:r>
        <w:rPr>
          <w:rFonts w:hint="eastAsia" w:ascii="Times New Roman" w:hAnsi="Times New Roman" w:eastAsia="方正黑体简体" w:cs="Times New Roman"/>
          <w:b w:val="0"/>
          <w:bCs w:val="0"/>
          <w:i w:val="0"/>
          <w:iCs w:val="0"/>
          <w:caps w:val="0"/>
          <w:color w:val="auto"/>
          <w:spacing w:val="0"/>
          <w:sz w:val="32"/>
          <w:szCs w:val="32"/>
          <w:shd w:val="clear" w:fill="FFFFFF"/>
          <w:lang w:val="en-US" w:eastAsia="zh-CN"/>
        </w:rPr>
        <w:t>十二、其他事项</w:t>
      </w:r>
      <w:bookmarkEnd w:id="68"/>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本方案自</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市政府“三重一大”决策机制审议通过后</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，由</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市发展改革委（</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市数据局</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负责牵头组织实施。国家和省对公共数据</w:t>
      </w: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资源</w:t>
      </w:r>
      <w:r>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授权运营管理另有规定的，从其规定。</w:t>
      </w:r>
      <w:bookmarkEnd w:id="4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bookmarkStart w:id="69" w:name="_Toc20913"/>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附件：1.泸州市首批拟授权运营的公共数据资源目录</w:t>
      </w:r>
      <w:bookmarkEnd w:id="69"/>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1600" w:leftChars="0"/>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r>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t>2.泸州市首批拟提供的公共数据产品和服务清单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0"/>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pPr>
      <w:bookmarkStart w:id="70" w:name="_Toc21604"/>
      <w:r>
        <w:rPr>
          <w:rFonts w:hint="eastAsia" w:ascii="黑体" w:hAnsi="黑体" w:eastAsia="黑体" w:cs="黑体"/>
          <w:b w:val="0"/>
          <w:bCs w:val="0"/>
          <w:i w:val="0"/>
          <w:iCs w:val="0"/>
          <w:caps w:val="0"/>
          <w:color w:val="000000"/>
          <w:spacing w:val="0"/>
          <w:kern w:val="0"/>
          <w:sz w:val="32"/>
          <w:szCs w:val="32"/>
          <w:shd w:val="clear" w:fill="FFFFFF"/>
          <w:lang w:val="en-US" w:eastAsia="zh-CN" w:bidi="ar"/>
        </w:rPr>
        <w:t>附件</w:t>
      </w:r>
      <w:r>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t>1</w:t>
      </w:r>
      <w:bookmarkEnd w:id="7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pPr>
    </w:p>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泸州市首批拟授权运营的公共数据资源目录</w:t>
      </w:r>
    </w:p>
    <w:tbl>
      <w:tblPr>
        <w:tblStyle w:val="8"/>
        <w:tblW w:w="100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0"/>
        <w:gridCol w:w="2919"/>
        <w:gridCol w:w="3779"/>
        <w:gridCol w:w="928"/>
        <w:gridCol w:w="15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序号</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数据提供单位</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数据名称</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更新</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周期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提供</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1</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市中级人民法院</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失信被执行人信息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2</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市经济和信息化局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专精特新及高成长企业名单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库表、文件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3</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市经济和信息化局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小巨人企业名单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库表、文件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4</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市经济和信息化局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企业技术中心名单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库表、文件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5</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市经济和信息化局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精准施策奖补企业名单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库表、文件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6</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方正仿宋简体" w:cs="Times New Roman"/>
                <w:i w:val="0"/>
                <w:iCs w:val="0"/>
                <w:color w:val="0F1115"/>
                <w:kern w:val="0"/>
                <w:sz w:val="28"/>
                <w:szCs w:val="28"/>
                <w:u w:val="none"/>
                <w:lang w:val="en-US" w:eastAsia="zh-CN" w:bidi="ar"/>
              </w:rPr>
              <w:t>市教育体育局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方正仿宋简体" w:cs="Times New Roman"/>
                <w:i w:val="0"/>
                <w:iCs w:val="0"/>
                <w:color w:val="0F1115"/>
                <w:kern w:val="0"/>
                <w:sz w:val="28"/>
                <w:szCs w:val="28"/>
                <w:u w:val="none"/>
                <w:lang w:val="en-US" w:eastAsia="zh-CN" w:bidi="ar"/>
              </w:rPr>
              <w:t>教师资格信息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其它</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sz w:val="28"/>
                <w:szCs w:val="28"/>
                <w:u w:val="none"/>
              </w:rPr>
            </w:pPr>
            <w:r>
              <w:rPr>
                <w:rStyle w:val="14"/>
                <w:rFonts w:hint="default" w:ascii="Times New Roman" w:hAnsi="Times New Roman" w:eastAsia="方正仿宋简体" w:cs="Times New Roman"/>
                <w:sz w:val="28"/>
                <w:szCs w:val="28"/>
                <w:lang w:val="en-US" w:eastAsia="zh-CN" w:bidi="ar"/>
              </w:rPr>
              <w:t>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7</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市科技局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高新技术企业认定信息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8</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市科技局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科技型中小企业入库信息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9</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市科技局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科技计划项目信息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10</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市科技局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重点实验室信息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11</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市科技局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工程技术研究中心信息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12</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市科技局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科技企业孵化器名单信息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13</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sz w:val="28"/>
                <w:szCs w:val="28"/>
                <w:lang w:val="en-US" w:eastAsia="zh-CN" w:bidi="ar"/>
              </w:rPr>
              <w:t>市公安局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人口库基准信息查询</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其它</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14</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sz w:val="28"/>
                <w:szCs w:val="28"/>
                <w:lang w:val="en-US" w:eastAsia="zh-CN" w:bidi="ar"/>
              </w:rPr>
              <w:t>市公安局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人像比对</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其它</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auto"/>
                <w:kern w:val="2"/>
                <w:sz w:val="28"/>
                <w:szCs w:val="28"/>
                <w:u w:val="none"/>
                <w:lang w:val="en-US" w:eastAsia="zh-CN" w:bidi="ar-SA"/>
              </w:rPr>
            </w:pPr>
            <w:r>
              <w:rPr>
                <w:rFonts w:hint="default" w:ascii="Times New Roman" w:hAnsi="Times New Roman" w:eastAsia="宋体" w:cs="Times New Roman"/>
                <w:i w:val="0"/>
                <w:iCs w:val="0"/>
                <w:color w:val="auto"/>
                <w:kern w:val="0"/>
                <w:sz w:val="28"/>
                <w:szCs w:val="28"/>
                <w:u w:val="none"/>
                <w:lang w:val="en-US" w:eastAsia="zh-CN" w:bidi="ar"/>
              </w:rPr>
              <w:t>15</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auto"/>
                <w:kern w:val="2"/>
                <w:sz w:val="28"/>
                <w:szCs w:val="28"/>
                <w:u w:val="none"/>
                <w:lang w:val="en-US" w:eastAsia="zh-CN" w:bidi="ar-SA"/>
              </w:rPr>
            </w:pPr>
            <w:r>
              <w:rPr>
                <w:rFonts w:hint="default" w:ascii="Times New Roman" w:hAnsi="Times New Roman" w:eastAsia="方正仿宋简体" w:cs="Times New Roman"/>
                <w:i w:val="0"/>
                <w:iCs w:val="0"/>
                <w:color w:val="auto"/>
                <w:kern w:val="0"/>
                <w:sz w:val="28"/>
                <w:szCs w:val="28"/>
                <w:u w:val="none"/>
                <w:lang w:val="en-US" w:eastAsia="zh-CN" w:bidi="ar"/>
              </w:rPr>
              <w:t>市民政局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auto"/>
                <w:kern w:val="2"/>
                <w:sz w:val="28"/>
                <w:szCs w:val="28"/>
                <w:u w:val="none"/>
                <w:lang w:val="en-US" w:eastAsia="zh-CN" w:bidi="ar-SA"/>
              </w:rPr>
            </w:pPr>
            <w:r>
              <w:rPr>
                <w:rFonts w:hint="default" w:ascii="Times New Roman" w:hAnsi="Times New Roman" w:eastAsia="方正仿宋简体" w:cs="Times New Roman"/>
                <w:i w:val="0"/>
                <w:iCs w:val="0"/>
                <w:color w:val="auto"/>
                <w:kern w:val="0"/>
                <w:sz w:val="28"/>
                <w:szCs w:val="28"/>
                <w:u w:val="none"/>
                <w:lang w:val="en-US" w:eastAsia="zh-CN" w:bidi="ar"/>
              </w:rPr>
              <w:t>婚姻登记信息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auto"/>
                <w:kern w:val="2"/>
                <w:sz w:val="28"/>
                <w:szCs w:val="28"/>
                <w:u w:val="none"/>
                <w:lang w:val="en-US" w:eastAsia="zh-CN" w:bidi="ar-SA"/>
              </w:rPr>
            </w:pPr>
            <w:r>
              <w:rPr>
                <w:rFonts w:hint="default" w:ascii="Times New Roman" w:hAnsi="Times New Roman" w:eastAsia="方正仿宋简体" w:cs="Times New Roman"/>
                <w:i w:val="0"/>
                <w:iCs w:val="0"/>
                <w:color w:val="auto"/>
                <w:kern w:val="0"/>
                <w:sz w:val="28"/>
                <w:szCs w:val="28"/>
                <w:u w:val="none"/>
                <w:lang w:val="en-US" w:eastAsia="zh-CN" w:bidi="ar"/>
              </w:rPr>
              <w:t>每日</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auto"/>
                <w:kern w:val="2"/>
                <w:sz w:val="28"/>
                <w:szCs w:val="28"/>
                <w:u w:val="none"/>
                <w:lang w:val="en-US" w:eastAsia="zh-CN" w:bidi="ar-SA"/>
              </w:rPr>
            </w:pPr>
            <w:r>
              <w:rPr>
                <w:rFonts w:hint="default" w:ascii="Times New Roman" w:hAnsi="Times New Roman" w:eastAsia="方正仿宋简体" w:cs="Times New Roman"/>
                <w:i w:val="0"/>
                <w:iCs w:val="0"/>
                <w:color w:val="auto"/>
                <w:kern w:val="0"/>
                <w:sz w:val="28"/>
                <w:szCs w:val="28"/>
                <w:u w:val="none"/>
                <w:lang w:val="en-US" w:eastAsia="zh-CN" w:bidi="ar"/>
              </w:rPr>
              <w:t>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16</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市财政局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公积金个人账户信息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每周</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17</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市财政局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公积金单位缴存信息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每周</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18</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市财政局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公积金缴存信息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19</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市财政局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公积金提取信息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每半年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20</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市财政局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公积金贷款信息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21</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pacing w:val="-11"/>
                <w:sz w:val="28"/>
                <w:szCs w:val="28"/>
                <w:lang w:val="en-US" w:eastAsia="zh-CN" w:bidi="ar"/>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企业社保参保信息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每月</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22</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pacing w:val="-11"/>
                <w:sz w:val="28"/>
                <w:szCs w:val="28"/>
                <w:lang w:val="en-US" w:eastAsia="zh-CN" w:bidi="ar"/>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个人社保参保信息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每月</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23</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color w:val="000000" w:themeColor="text1"/>
                <w:spacing w:val="-11"/>
                <w:sz w:val="28"/>
                <w:szCs w:val="28"/>
                <w:lang w:val="en-US" w:eastAsia="zh-CN" w:bidi="ar"/>
                <w14:textFill>
                  <w14:solidFill>
                    <w14:schemeClr w14:val="tx1"/>
                  </w14:solidFill>
                </w14:textFill>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职业培训机构基本情况统计信息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24</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color w:val="000000" w:themeColor="text1"/>
                <w:spacing w:val="-11"/>
                <w:sz w:val="28"/>
                <w:szCs w:val="28"/>
                <w:lang w:val="en-US" w:eastAsia="zh-CN" w:bidi="ar"/>
                <w14:textFill>
                  <w14:solidFill>
                    <w14:schemeClr w14:val="tx1"/>
                  </w14:solidFill>
                </w14:textFill>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技能等级认定企业和院校名单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25</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color w:val="000000" w:themeColor="text1"/>
                <w:spacing w:val="-11"/>
                <w:sz w:val="28"/>
                <w:szCs w:val="28"/>
                <w:lang w:val="en-US" w:eastAsia="zh-CN" w:bidi="ar"/>
                <w14:textFill>
                  <w14:solidFill>
                    <w14:schemeClr w14:val="tx1"/>
                  </w14:solidFill>
                </w14:textFill>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公共实训基地</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26</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color w:val="000000" w:themeColor="text1"/>
                <w:spacing w:val="-11"/>
                <w:sz w:val="28"/>
                <w:szCs w:val="28"/>
                <w:lang w:val="en-US" w:eastAsia="zh-CN" w:bidi="ar"/>
                <w14:textFill>
                  <w14:solidFill>
                    <w14:schemeClr w14:val="tx1"/>
                  </w14:solidFill>
                </w14:textFill>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博士后创新实践基地和博士后科研工作站目录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27</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color w:val="000000" w:themeColor="text1"/>
                <w:spacing w:val="-11"/>
                <w:sz w:val="28"/>
                <w:szCs w:val="28"/>
                <w:lang w:val="en-US" w:eastAsia="zh-CN" w:bidi="ar"/>
                <w14:textFill>
                  <w14:solidFill>
                    <w14:schemeClr w14:val="tx1"/>
                  </w14:solidFill>
                </w14:textFill>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取得劳务派遣行政许可企业名单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28</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color w:val="000000" w:themeColor="text1"/>
                <w:spacing w:val="-11"/>
                <w:sz w:val="28"/>
                <w:szCs w:val="28"/>
                <w:lang w:val="en-US" w:eastAsia="zh-CN" w:bidi="ar"/>
                <w14:textFill>
                  <w14:solidFill>
                    <w14:schemeClr w14:val="tx1"/>
                  </w14:solidFill>
                </w14:textFill>
              </w:rPr>
              <w:t>市人力资源社会保障局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经营性人力资源服务机构年报名单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eastAsia" w:ascii="Times New Roman" w:hAnsi="Times New Roman" w:eastAsia="方正仿宋简体" w:cs="Times New Roman"/>
                <w:color w:val="000000" w:themeColor="text1"/>
                <w:sz w:val="28"/>
                <w:szCs w:val="28"/>
                <w:lang w:val="en-US" w:eastAsia="zh-CN" w:bidi="ar"/>
                <w14:textFill>
                  <w14:solidFill>
                    <w14:schemeClr w14:val="tx1"/>
                  </w14:solidFill>
                </w14:textFill>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29</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市退役军人事务局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退役军人信息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每月</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30</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市退役军人事务局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优抚对象信息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每月</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31</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市市场监管局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企业登记基本信息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每半年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32</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市市场监管局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行政许可及证照信息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实时</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33</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市市场监管局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行政处罚及抽查检查信息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每半年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34</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市市场监管局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经营异常名录信息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实时</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35</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市市场监管局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严重违法失信名单信息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实时</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36</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市市场监管局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企业信用等级及黑名单</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实时</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37</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市医保局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医保结算及诊疗明细数据</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实时</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38</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市医保局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基本医疗保险参保信息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其它</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39</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市医保局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职工</w:t>
            </w:r>
            <w:r>
              <w:rPr>
                <w:rStyle w:val="13"/>
                <w:rFonts w:hint="default" w:ascii="Times New Roman" w:hAnsi="Times New Roman" w:eastAsia="方正仿宋简体" w:cs="Times New Roman"/>
                <w:sz w:val="28"/>
                <w:szCs w:val="28"/>
                <w:lang w:val="en-US" w:eastAsia="zh-CN" w:bidi="ar"/>
              </w:rPr>
              <w:t>/</w:t>
            </w:r>
            <w:r>
              <w:rPr>
                <w:rStyle w:val="14"/>
                <w:rFonts w:hint="default" w:ascii="Times New Roman" w:hAnsi="Times New Roman" w:eastAsia="方正仿宋简体" w:cs="Times New Roman"/>
                <w:sz w:val="28"/>
                <w:szCs w:val="28"/>
                <w:lang w:val="en-US" w:eastAsia="zh-CN" w:bidi="ar"/>
              </w:rPr>
              <w:t>居民报销比例信息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40</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市医保局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慢性病门诊病种及认定标准</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41</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市医保局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重特大疾病住院病种及认定</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每年</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42</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市医保局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跨省异地就医结算信息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每季度</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43</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市医保局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联网结算医疗机构及经办机构信息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每季度</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44</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市税务局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欠税</w:t>
            </w:r>
            <w:r>
              <w:rPr>
                <w:rStyle w:val="14"/>
                <w:rFonts w:hint="eastAsia" w:ascii="Times New Roman" w:hAnsi="Times New Roman" w:eastAsia="方正仿宋简体" w:cs="Times New Roman"/>
                <w:sz w:val="28"/>
                <w:szCs w:val="28"/>
                <w:lang w:val="en-US" w:eastAsia="zh-CN" w:bidi="ar"/>
              </w:rPr>
              <w:t>公告</w:t>
            </w:r>
            <w:r>
              <w:rPr>
                <w:rStyle w:val="14"/>
                <w:rFonts w:hint="default" w:ascii="Times New Roman" w:hAnsi="Times New Roman" w:eastAsia="方正仿宋简体" w:cs="Times New Roman"/>
                <w:sz w:val="28"/>
                <w:szCs w:val="28"/>
                <w:lang w:val="en-US" w:eastAsia="zh-CN" w:bidi="ar"/>
              </w:rPr>
              <w:t>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文件、库表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color w:val="0F1115"/>
                <w:kern w:val="0"/>
                <w:sz w:val="28"/>
                <w:szCs w:val="28"/>
                <w:u w:val="none"/>
                <w:lang w:val="en-US" w:eastAsia="zh-CN" w:bidi="ar"/>
              </w:rPr>
            </w:pPr>
            <w:r>
              <w:rPr>
                <w:rFonts w:hint="default" w:ascii="Times New Roman" w:hAnsi="Times New Roman" w:eastAsia="宋体" w:cs="Times New Roman"/>
                <w:i w:val="0"/>
                <w:iCs w:val="0"/>
                <w:color w:val="0F1115"/>
                <w:kern w:val="0"/>
                <w:sz w:val="28"/>
                <w:szCs w:val="28"/>
                <w:u w:val="none"/>
                <w:lang w:val="en-US" w:eastAsia="zh-CN" w:bidi="ar"/>
              </w:rPr>
              <w:t>45</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市税务局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非正常户</w:t>
            </w:r>
            <w:r>
              <w:rPr>
                <w:rStyle w:val="14"/>
                <w:rFonts w:hint="eastAsia" w:ascii="Times New Roman" w:hAnsi="Times New Roman" w:eastAsia="方正仿宋简体" w:cs="Times New Roman"/>
                <w:sz w:val="28"/>
                <w:szCs w:val="28"/>
                <w:lang w:val="en-US" w:eastAsia="zh-CN" w:bidi="ar"/>
              </w:rPr>
              <w:t>公告</w:t>
            </w:r>
            <w:r>
              <w:rPr>
                <w:rStyle w:val="14"/>
                <w:rFonts w:hint="default" w:ascii="Times New Roman" w:hAnsi="Times New Roman" w:eastAsia="方正仿宋简体" w:cs="Times New Roman"/>
                <w:sz w:val="28"/>
                <w:szCs w:val="28"/>
                <w:lang w:val="en-US" w:eastAsia="zh-CN" w:bidi="ar"/>
              </w:rPr>
              <w:t>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文件、库表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46</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市税务局</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重大税收违法失信主体信息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定期</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Style w:val="14"/>
                <w:rFonts w:hint="default" w:ascii="Times New Roman" w:hAnsi="Times New Roman" w:eastAsia="方正仿宋简体" w:cs="Times New Roman"/>
                <w:sz w:val="28"/>
                <w:szCs w:val="28"/>
                <w:lang w:val="en-US" w:eastAsia="zh-CN" w:bidi="ar"/>
              </w:rPr>
              <w:t>文件、库表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宋体" w:cs="Times New Roman"/>
                <w:i w:val="0"/>
                <w:iCs w:val="0"/>
                <w:color w:val="0F1115"/>
                <w:kern w:val="0"/>
                <w:sz w:val="28"/>
                <w:szCs w:val="28"/>
                <w:u w:val="none"/>
                <w:lang w:val="en-US" w:eastAsia="zh-CN" w:bidi="ar"/>
              </w:rPr>
              <w:t>47</w:t>
            </w:r>
          </w:p>
        </w:tc>
        <w:tc>
          <w:tcPr>
            <w:tcW w:w="2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市残联</w:t>
            </w:r>
          </w:p>
        </w:tc>
        <w:tc>
          <w:tcPr>
            <w:tcW w:w="3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F1115"/>
                <w:kern w:val="2"/>
                <w:sz w:val="28"/>
                <w:szCs w:val="28"/>
                <w:u w:val="none"/>
                <w:lang w:val="en-US" w:eastAsia="zh-CN" w:bidi="ar-SA"/>
              </w:rPr>
            </w:pPr>
            <w:r>
              <w:rPr>
                <w:rFonts w:hint="default" w:ascii="Times New Roman" w:hAnsi="Times New Roman" w:eastAsia="方正仿宋简体" w:cs="Times New Roman"/>
                <w:i w:val="0"/>
                <w:iCs w:val="0"/>
                <w:color w:val="0F1115"/>
                <w:kern w:val="0"/>
                <w:sz w:val="28"/>
                <w:szCs w:val="28"/>
                <w:u w:val="none"/>
                <w:lang w:val="en-US" w:eastAsia="zh-CN" w:bidi="ar"/>
              </w:rPr>
              <w:t>残疾人信息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themeColor="text1"/>
                <w:kern w:val="2"/>
                <w:sz w:val="28"/>
                <w:szCs w:val="28"/>
                <w:u w:val="none"/>
                <w:lang w:val="en-US" w:eastAsia="zh-CN" w:bidi="ar-SA"/>
                <w14:textFill>
                  <w14:solidFill>
                    <w14:schemeClr w14:val="tx1"/>
                  </w14:solidFill>
                </w14:textFill>
              </w:rPr>
            </w:pPr>
            <w:r>
              <w:rPr>
                <w:rFonts w:hint="eastAsia" w:ascii="Times New Roman" w:hAnsi="Times New Roman" w:eastAsia="方正仿宋简体" w:cs="Times New Roman"/>
                <w:i w:val="0"/>
                <w:iCs w:val="0"/>
                <w:color w:val="000000" w:themeColor="text1"/>
                <w:kern w:val="0"/>
                <w:sz w:val="28"/>
                <w:szCs w:val="28"/>
                <w:u w:val="none"/>
                <w:lang w:val="en-US" w:eastAsia="zh-CN" w:bidi="ar"/>
                <w14:textFill>
                  <w14:solidFill>
                    <w14:schemeClr w14:val="tx1"/>
                  </w14:solidFill>
                </w14:textFill>
              </w:rPr>
              <w:t>每月</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i w:val="0"/>
                <w:iCs w:val="0"/>
                <w:color w:val="000000" w:themeColor="text1"/>
                <w:kern w:val="2"/>
                <w:sz w:val="28"/>
                <w:szCs w:val="28"/>
                <w:u w:val="none"/>
                <w:lang w:val="en-US" w:eastAsia="zh-CN" w:bidi="ar-SA"/>
                <w14:textFill>
                  <w14:solidFill>
                    <w14:schemeClr w14:val="tx1"/>
                  </w14:solidFill>
                </w14:textFill>
              </w:rPr>
            </w:pPr>
            <w:r>
              <w:rPr>
                <w:rFonts w:hint="eastAsia" w:ascii="Times New Roman" w:hAnsi="Times New Roman" w:eastAsia="方正仿宋简体" w:cs="Times New Roman"/>
                <w:i w:val="0"/>
                <w:iCs w:val="0"/>
                <w:color w:val="000000" w:themeColor="text1"/>
                <w:kern w:val="0"/>
                <w:sz w:val="28"/>
                <w:szCs w:val="28"/>
                <w:u w:val="none"/>
                <w:lang w:val="en-US" w:eastAsia="zh-CN" w:bidi="ar"/>
                <w14:textFill>
                  <w14:solidFill>
                    <w14:schemeClr w14:val="tx1"/>
                  </w14:solidFill>
                </w14:textFill>
              </w:rPr>
              <w:t>库表</w:t>
            </w:r>
          </w:p>
        </w:tc>
      </w:tr>
    </w:tbl>
    <w:p>
      <w:pPr>
        <w:rPr>
          <w:rFonts w:hint="eastAsia" w:ascii="黑体" w:hAnsi="黑体" w:eastAsia="黑体" w:cs="黑体"/>
          <w:b w:val="0"/>
          <w:bCs w:val="0"/>
          <w:i w:val="0"/>
          <w:iCs w:val="0"/>
          <w:caps w:val="0"/>
          <w:color w:val="000000"/>
          <w:spacing w:val="0"/>
          <w:kern w:val="0"/>
          <w:sz w:val="32"/>
          <w:szCs w:val="32"/>
          <w:shd w:val="clear" w:fill="FFFFFF"/>
          <w:lang w:val="en-US" w:eastAsia="zh-CN" w:bidi="ar"/>
        </w:rPr>
      </w:pPr>
      <w:r>
        <w:rPr>
          <w:rFonts w:hint="eastAsia" w:ascii="黑体" w:hAnsi="黑体" w:eastAsia="黑体" w:cs="黑体"/>
          <w:b w:val="0"/>
          <w:bCs w:val="0"/>
          <w:i w:val="0"/>
          <w:iCs w:val="0"/>
          <w:caps w:val="0"/>
          <w:color w:val="000000"/>
          <w:spacing w:val="0"/>
          <w:kern w:val="0"/>
          <w:sz w:val="32"/>
          <w:szCs w:val="32"/>
          <w:shd w:val="clear" w:fill="FFFFFF"/>
          <w:lang w:val="en-US" w:eastAsia="zh-CN" w:bidi="ar"/>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0"/>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pPr>
      <w:r>
        <w:rPr>
          <w:rFonts w:hint="eastAsia" w:ascii="黑体" w:hAnsi="黑体" w:eastAsia="黑体" w:cs="黑体"/>
          <w:b w:val="0"/>
          <w:bCs w:val="0"/>
          <w:i w:val="0"/>
          <w:iCs w:val="0"/>
          <w:caps w:val="0"/>
          <w:color w:val="000000"/>
          <w:spacing w:val="0"/>
          <w:kern w:val="0"/>
          <w:sz w:val="32"/>
          <w:szCs w:val="32"/>
          <w:shd w:val="clear" w:fill="FFFFFF"/>
          <w:lang w:val="en-US" w:eastAsia="zh-CN" w:bidi="ar"/>
        </w:rPr>
        <w:t>附件</w:t>
      </w:r>
      <w:r>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t>2</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aps w:val="0"/>
          <w:color w:val="000000"/>
          <w:spacing w:val="-6"/>
          <w:kern w:val="0"/>
          <w:sz w:val="44"/>
          <w:szCs w:val="44"/>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after="161" w:afterLines="50" w:line="600" w:lineRule="exact"/>
        <w:jc w:val="center"/>
        <w:textAlignment w:val="auto"/>
        <w:outlineLvl w:val="0"/>
        <w:rPr>
          <w:rFonts w:hint="eastAsia" w:ascii="方正小标宋简体" w:hAnsi="方正小标宋简体" w:eastAsia="方正小标宋简体" w:cs="方正小标宋简体"/>
          <w:b w:val="0"/>
          <w:bCs w:val="0"/>
          <w:i w:val="0"/>
          <w:iCs w:val="0"/>
          <w:caps w:val="0"/>
          <w:color w:val="000000"/>
          <w:spacing w:val="-6"/>
          <w:kern w:val="0"/>
          <w:sz w:val="44"/>
          <w:szCs w:val="44"/>
          <w:shd w:val="clear" w:fill="FFFFFF"/>
          <w:lang w:val="en-US" w:eastAsia="zh-CN" w:bidi="ar"/>
        </w:rPr>
      </w:pPr>
      <w:bookmarkStart w:id="71" w:name="_Toc23615"/>
      <w:r>
        <w:rPr>
          <w:rFonts w:hint="eastAsia" w:ascii="方正小标宋简体" w:hAnsi="方正小标宋简体" w:eastAsia="方正小标宋简体" w:cs="方正小标宋简体"/>
          <w:b w:val="0"/>
          <w:bCs w:val="0"/>
          <w:i w:val="0"/>
          <w:iCs w:val="0"/>
          <w:caps w:val="0"/>
          <w:color w:val="000000"/>
          <w:spacing w:val="-6"/>
          <w:kern w:val="0"/>
          <w:sz w:val="44"/>
          <w:szCs w:val="44"/>
          <w:shd w:val="clear" w:fill="FFFFFF"/>
          <w:lang w:val="en-US" w:eastAsia="zh-CN" w:bidi="ar"/>
        </w:rPr>
        <w:t>泸州市首批拟提供的公共数据产品和服务清单</w:t>
      </w:r>
      <w:bookmarkEnd w:id="71"/>
    </w:p>
    <w:tbl>
      <w:tblPr>
        <w:tblStyle w:val="8"/>
        <w:tblW w:w="91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4"/>
        <w:gridCol w:w="6367"/>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blHeader/>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黑体简体" w:hAnsi="方正黑体简体" w:eastAsia="方正黑体简体" w:cs="方正黑体简体"/>
                <w:i w:val="0"/>
                <w:iCs w:val="0"/>
                <w:color w:val="000000"/>
                <w:sz w:val="28"/>
                <w:szCs w:val="28"/>
                <w:u w:val="none"/>
              </w:rPr>
            </w:pPr>
            <w:r>
              <w:rPr>
                <w:rFonts w:hint="eastAsia" w:ascii="方正黑体简体" w:hAnsi="方正黑体简体" w:eastAsia="方正黑体简体" w:cs="方正黑体简体"/>
                <w:i w:val="0"/>
                <w:iCs w:val="0"/>
                <w:color w:val="000000"/>
                <w:kern w:val="0"/>
                <w:sz w:val="28"/>
                <w:szCs w:val="28"/>
                <w:u w:val="none"/>
                <w:lang w:val="en-US" w:eastAsia="zh-CN" w:bidi="ar"/>
              </w:rPr>
              <w:t>序号</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简体" w:hAnsi="方正黑体简体" w:eastAsia="方正黑体简体" w:cs="方正黑体简体"/>
                <w:i w:val="0"/>
                <w:iCs w:val="0"/>
                <w:color w:val="000000"/>
                <w:sz w:val="28"/>
                <w:szCs w:val="28"/>
                <w:u w:val="none"/>
              </w:rPr>
            </w:pPr>
            <w:r>
              <w:rPr>
                <w:rFonts w:hint="eastAsia" w:ascii="方正黑体简体" w:hAnsi="方正黑体简体" w:eastAsia="方正黑体简体" w:cs="方正黑体简体"/>
                <w:i w:val="0"/>
                <w:iCs w:val="0"/>
                <w:color w:val="000000"/>
                <w:kern w:val="0"/>
                <w:sz w:val="28"/>
                <w:szCs w:val="28"/>
                <w:u w:val="none"/>
                <w:lang w:val="en-US" w:eastAsia="zh-CN" w:bidi="ar"/>
              </w:rPr>
              <w:t>数据产品名称</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黑体简体" w:hAnsi="方正黑体简体" w:eastAsia="方正黑体简体" w:cs="方正黑体简体"/>
                <w:i w:val="0"/>
                <w:iCs w:val="0"/>
                <w:color w:val="000000"/>
                <w:sz w:val="28"/>
                <w:szCs w:val="28"/>
                <w:u w:val="none"/>
              </w:rPr>
            </w:pPr>
            <w:r>
              <w:rPr>
                <w:rFonts w:hint="eastAsia" w:ascii="方正黑体简体" w:hAnsi="方正黑体简体" w:eastAsia="方正黑体简体" w:cs="方正黑体简体"/>
                <w:i w:val="0"/>
                <w:iCs w:val="0"/>
                <w:color w:val="000000"/>
                <w:kern w:val="0"/>
                <w:sz w:val="28"/>
                <w:szCs w:val="28"/>
                <w:u w:val="none"/>
                <w:lang w:val="en-US" w:eastAsia="zh-CN" w:bidi="ar"/>
              </w:rPr>
              <w:t>产品形态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1</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失信被执行人信息核验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2</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专精特新企业名单查询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3</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小巨人企业名单查询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4</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企业技术中心名单查询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5</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精准施策奖补企业名单查询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6</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婚姻登记信息核验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7</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高新技术企业认定信息核验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kern w:val="2"/>
                <w:sz w:val="28"/>
                <w:szCs w:val="28"/>
                <w:u w:val="none"/>
                <w:lang w:val="en-US" w:eastAsia="zh-CN" w:bidi="ar-SA"/>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8</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科技型中小企业入库信息查询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kern w:val="2"/>
                <w:sz w:val="28"/>
                <w:szCs w:val="28"/>
                <w:u w:val="none"/>
                <w:lang w:val="en-US" w:eastAsia="zh-CN" w:bidi="ar-SA"/>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9</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科技计划项目信息核验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kern w:val="2"/>
                <w:sz w:val="28"/>
                <w:szCs w:val="28"/>
                <w:u w:val="none"/>
                <w:lang w:val="en-US" w:eastAsia="zh-CN" w:bidi="ar-SA"/>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10</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重点实验室信息查询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kern w:val="2"/>
                <w:sz w:val="28"/>
                <w:szCs w:val="28"/>
                <w:u w:val="none"/>
                <w:lang w:val="en-US" w:eastAsia="zh-CN" w:bidi="ar-SA"/>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11</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工程技术研究中心信息查询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kern w:val="2"/>
                <w:sz w:val="28"/>
                <w:szCs w:val="28"/>
                <w:u w:val="none"/>
                <w:lang w:val="en-US" w:eastAsia="zh-CN" w:bidi="ar-SA"/>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12</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科技企业孵化器名单查询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kern w:val="2"/>
                <w:sz w:val="28"/>
                <w:szCs w:val="28"/>
                <w:u w:val="none"/>
                <w:lang w:val="en-US" w:eastAsia="zh-CN" w:bidi="ar-SA"/>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13</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人口库基准信息核验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Fonts w:hint="default" w:ascii="Times New Roman" w:hAnsi="Times New Roman" w:eastAsia="宋体" w:cs="Times New Roman"/>
                <w:i w:val="0"/>
                <w:iCs w:val="0"/>
                <w:color w:val="0F1115"/>
                <w:kern w:val="0"/>
                <w:sz w:val="28"/>
                <w:szCs w:val="28"/>
                <w:u w:val="none"/>
                <w:lang w:val="en-US" w:eastAsia="zh-CN" w:bidi="ar"/>
              </w:rPr>
              <w:t>14</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人像比对核验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1</w:t>
            </w:r>
            <w:r>
              <w:rPr>
                <w:rFonts w:hint="eastAsia" w:ascii="Times New Roman" w:hAnsi="Times New Roman" w:eastAsia="宋体" w:cs="Times New Roman"/>
                <w:i w:val="0"/>
                <w:iCs w:val="0"/>
                <w:color w:val="0F1115"/>
                <w:kern w:val="0"/>
                <w:sz w:val="28"/>
                <w:szCs w:val="28"/>
                <w:u w:val="none"/>
                <w:lang w:val="en-US" w:eastAsia="zh-CN" w:bidi="ar"/>
              </w:rPr>
              <w:t>5</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公积金个人账户信息区间核验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1</w:t>
            </w:r>
            <w:r>
              <w:rPr>
                <w:rFonts w:hint="eastAsia" w:ascii="Times New Roman" w:hAnsi="Times New Roman" w:eastAsia="宋体" w:cs="Times New Roman"/>
                <w:i w:val="0"/>
                <w:iCs w:val="0"/>
                <w:color w:val="0F1115"/>
                <w:kern w:val="0"/>
                <w:sz w:val="28"/>
                <w:szCs w:val="28"/>
                <w:u w:val="none"/>
                <w:lang w:val="en-US" w:eastAsia="zh-CN" w:bidi="ar"/>
              </w:rPr>
              <w:t>6</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公积金单位缴存信息核验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1</w:t>
            </w:r>
            <w:r>
              <w:rPr>
                <w:rFonts w:hint="eastAsia" w:ascii="Times New Roman" w:hAnsi="Times New Roman" w:eastAsia="宋体" w:cs="Times New Roman"/>
                <w:i w:val="0"/>
                <w:iCs w:val="0"/>
                <w:color w:val="0F1115"/>
                <w:kern w:val="0"/>
                <w:sz w:val="28"/>
                <w:szCs w:val="28"/>
                <w:u w:val="none"/>
                <w:lang w:val="en-US" w:eastAsia="zh-CN" w:bidi="ar"/>
              </w:rPr>
              <w:t>7</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公积金贷款信息核验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1</w:t>
            </w:r>
            <w:r>
              <w:rPr>
                <w:rFonts w:hint="eastAsia" w:ascii="Times New Roman" w:hAnsi="Times New Roman" w:eastAsia="宋体" w:cs="Times New Roman"/>
                <w:i w:val="0"/>
                <w:iCs w:val="0"/>
                <w:color w:val="0F1115"/>
                <w:kern w:val="0"/>
                <w:sz w:val="28"/>
                <w:szCs w:val="28"/>
                <w:u w:val="none"/>
                <w:lang w:val="en-US" w:eastAsia="zh-CN" w:bidi="ar"/>
              </w:rPr>
              <w:t>8</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企业社保参保核验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eastAsia="zh-CN"/>
              </w:rPr>
            </w:pPr>
            <w:r>
              <w:rPr>
                <w:rFonts w:hint="eastAsia" w:ascii="Times New Roman" w:hAnsi="Times New Roman" w:eastAsia="宋体" w:cs="Times New Roman"/>
                <w:b w:val="0"/>
                <w:bCs w:val="0"/>
                <w:i w:val="0"/>
                <w:iCs w:val="0"/>
                <w:color w:val="0F1115"/>
                <w:sz w:val="28"/>
                <w:szCs w:val="28"/>
                <w:u w:val="none"/>
                <w:lang w:val="en-US" w:eastAsia="zh-CN"/>
              </w:rPr>
              <w:t>19</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sz w:val="28"/>
                <w:szCs w:val="28"/>
                <w:u w:val="none"/>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个人社保参保核验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0</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企业环境信用评价信息查询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1</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排污/辐射安全/危废经营许可证核验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2</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退役军人信息核验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3</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优抚对象信息核验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4</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注册企业四要素基本信息核验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5</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注册企业五要素基本信息核验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6</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注册企业主体状态核验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7</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企业经营异常名录核验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2</w:t>
            </w:r>
            <w:r>
              <w:rPr>
                <w:rFonts w:hint="eastAsia" w:ascii="Times New Roman" w:hAnsi="Times New Roman" w:eastAsia="宋体" w:cs="Times New Roman"/>
                <w:i w:val="0"/>
                <w:iCs w:val="0"/>
                <w:color w:val="0F1115"/>
                <w:kern w:val="0"/>
                <w:sz w:val="28"/>
                <w:szCs w:val="28"/>
                <w:u w:val="none"/>
                <w:lang w:val="en-US" w:eastAsia="zh-CN" w:bidi="ar"/>
              </w:rPr>
              <w:t>8</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严重违法失信企业名单核验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eastAsia="zh-CN"/>
              </w:rPr>
            </w:pPr>
            <w:r>
              <w:rPr>
                <w:rFonts w:hint="eastAsia" w:ascii="Times New Roman" w:hAnsi="Times New Roman" w:eastAsia="宋体" w:cs="Times New Roman"/>
                <w:b w:val="0"/>
                <w:bCs w:val="0"/>
                <w:i w:val="0"/>
                <w:iCs w:val="0"/>
                <w:color w:val="0F1115"/>
                <w:sz w:val="28"/>
                <w:szCs w:val="28"/>
                <w:u w:val="none"/>
                <w:lang w:val="en-US" w:eastAsia="zh-CN"/>
              </w:rPr>
              <w:t>29</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企业信用等级及黑名单核验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0</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企业行政许可及证照信息核验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1</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企业行政处罚及抽查检查信息核验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2</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医保结算及诊疗明细核验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3</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基本医疗保险参保状态核验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4</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职工/居民医保报销比例核验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5</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慢性病门诊病种及认定标准查询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6</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重特大疾病住院病种及认定查询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7</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跨省异地就医结算信息核验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3</w:t>
            </w:r>
            <w:r>
              <w:rPr>
                <w:rFonts w:hint="eastAsia" w:ascii="Times New Roman" w:hAnsi="Times New Roman" w:eastAsia="宋体" w:cs="Times New Roman"/>
                <w:i w:val="0"/>
                <w:iCs w:val="0"/>
                <w:color w:val="0F1115"/>
                <w:kern w:val="0"/>
                <w:sz w:val="28"/>
                <w:szCs w:val="28"/>
                <w:u w:val="none"/>
                <w:lang w:val="en-US" w:eastAsia="zh-CN" w:bidi="ar"/>
              </w:rPr>
              <w:t>8</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联网结算医疗机构及经办机构信息查询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eastAsia="zh-CN"/>
              </w:rPr>
            </w:pPr>
            <w:r>
              <w:rPr>
                <w:rFonts w:hint="eastAsia" w:ascii="Times New Roman" w:hAnsi="Times New Roman" w:eastAsia="宋体" w:cs="Times New Roman"/>
                <w:b w:val="0"/>
                <w:bCs w:val="0"/>
                <w:i w:val="0"/>
                <w:iCs w:val="0"/>
                <w:color w:val="0F1115"/>
                <w:sz w:val="28"/>
                <w:szCs w:val="28"/>
                <w:u w:val="none"/>
                <w:lang w:val="en-US" w:eastAsia="zh-CN"/>
              </w:rPr>
              <w:t>39</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欠税公告信息查询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4</w:t>
            </w:r>
            <w:r>
              <w:rPr>
                <w:rFonts w:hint="eastAsia" w:ascii="Times New Roman" w:hAnsi="Times New Roman" w:eastAsia="宋体" w:cs="Times New Roman"/>
                <w:i w:val="0"/>
                <w:iCs w:val="0"/>
                <w:color w:val="0F1115"/>
                <w:kern w:val="0"/>
                <w:sz w:val="28"/>
                <w:szCs w:val="28"/>
                <w:u w:val="none"/>
                <w:lang w:val="en-US" w:eastAsia="zh-CN" w:bidi="ar"/>
              </w:rPr>
              <w:t>0</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非正常户公告信息查询</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4</w:t>
            </w:r>
            <w:r>
              <w:rPr>
                <w:rFonts w:hint="eastAsia" w:ascii="Times New Roman" w:hAnsi="Times New Roman" w:eastAsia="宋体" w:cs="Times New Roman"/>
                <w:i w:val="0"/>
                <w:iCs w:val="0"/>
                <w:color w:val="0F1115"/>
                <w:kern w:val="0"/>
                <w:sz w:val="28"/>
                <w:szCs w:val="28"/>
                <w:u w:val="none"/>
                <w:lang w:val="en-US" w:eastAsia="zh-CN" w:bidi="ar"/>
              </w:rPr>
              <w:t>1</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重大税收违法失信主体信息核验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lang w:val="en-US"/>
              </w:rPr>
            </w:pPr>
            <w:r>
              <w:rPr>
                <w:rFonts w:hint="default" w:ascii="Times New Roman" w:hAnsi="Times New Roman" w:eastAsia="宋体" w:cs="Times New Roman"/>
                <w:i w:val="0"/>
                <w:iCs w:val="0"/>
                <w:color w:val="0F1115"/>
                <w:kern w:val="0"/>
                <w:sz w:val="28"/>
                <w:szCs w:val="28"/>
                <w:u w:val="none"/>
                <w:lang w:val="en-US" w:eastAsia="zh-CN" w:bidi="ar"/>
              </w:rPr>
              <w:t>4</w:t>
            </w:r>
            <w:r>
              <w:rPr>
                <w:rFonts w:hint="eastAsia" w:ascii="Times New Roman" w:hAnsi="Times New Roman" w:eastAsia="宋体" w:cs="Times New Roman"/>
                <w:i w:val="0"/>
                <w:iCs w:val="0"/>
                <w:color w:val="0F1115"/>
                <w:kern w:val="0"/>
                <w:sz w:val="28"/>
                <w:szCs w:val="28"/>
                <w:u w:val="none"/>
                <w:lang w:val="en-US" w:eastAsia="zh-CN" w:bidi="ar"/>
              </w:rPr>
              <w:t>2</w:t>
            </w:r>
          </w:p>
        </w:tc>
        <w:tc>
          <w:tcPr>
            <w:tcW w:w="63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残疾人信息核验</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F1115"/>
                <w:sz w:val="28"/>
                <w:szCs w:val="28"/>
                <w:u w:val="none"/>
              </w:rPr>
            </w:pPr>
            <w:r>
              <w:rPr>
                <w:rStyle w:val="19"/>
                <w:b w:val="0"/>
                <w:bCs w:val="0"/>
                <w:sz w:val="28"/>
                <w:szCs w:val="28"/>
                <w:lang w:val="en-US" w:eastAsia="zh-CN" w:bidi="ar"/>
              </w:rPr>
              <w:t>标准</w:t>
            </w:r>
            <w:r>
              <w:rPr>
                <w:rFonts w:hint="default" w:ascii="Times New Roman" w:hAnsi="Times New Roman" w:eastAsia="宋体" w:cs="Times New Roman"/>
                <w:b w:val="0"/>
                <w:bCs w:val="0"/>
                <w:i w:val="0"/>
                <w:iCs w:val="0"/>
                <w:color w:val="0F1115"/>
                <w:kern w:val="0"/>
                <w:sz w:val="28"/>
                <w:szCs w:val="28"/>
                <w:u w:val="none"/>
                <w:lang w:val="en-US" w:eastAsia="zh-CN" w:bidi="ar"/>
              </w:rPr>
              <w:t>API</w:t>
            </w:r>
          </w:p>
        </w:tc>
      </w:tr>
    </w:tbl>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pPr>
    </w:p>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简体" w:cs="Times New Roman"/>
          <w:b w:val="0"/>
          <w:bCs w:val="0"/>
          <w:i w:val="0"/>
          <w:iCs w:val="0"/>
          <w:caps w:val="0"/>
          <w:color w:val="000000"/>
          <w:spacing w:val="0"/>
          <w:kern w:val="0"/>
          <w:sz w:val="32"/>
          <w:szCs w:val="32"/>
          <w:shd w:val="clear" w:fill="FFFFFF"/>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简体" w:cs="Times New Roman"/>
          <w:b w:val="0"/>
          <w:bCs w:val="0"/>
          <w:i w:val="0"/>
          <w:iCs w:val="0"/>
          <w:caps w:val="0"/>
          <w:color w:val="auto"/>
          <w:spacing w:val="0"/>
          <w:kern w:val="0"/>
          <w:sz w:val="32"/>
          <w:szCs w:val="32"/>
          <w:shd w:val="clear" w:fill="FFFFFF"/>
          <w:lang w:val="en-US" w:eastAsia="zh-CN" w:bidi="ar"/>
        </w:rPr>
      </w:pPr>
    </w:p>
    <w:p>
      <w:pPr>
        <w:rPr>
          <w:rFonts w:hint="default"/>
          <w:color w:val="auto"/>
          <w:lang w:val="en-US" w:eastAsia="zh-CN"/>
        </w:rPr>
      </w:pPr>
    </w:p>
    <w:sectPr>
      <w:footerReference r:id="rId4" w:type="default"/>
      <w:pgSz w:w="11906" w:h="16838"/>
      <w:pgMar w:top="2098" w:right="1474" w:bottom="1984" w:left="1757" w:header="851" w:footer="1304" w:gutter="0"/>
      <w:pgNumType w:fmt="decimal" w:start="1"/>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EU-B6"/>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EU-B6"/>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Arial Unicode MS">
    <w:altName w:val="Times New Roman"/>
    <w:panose1 w:val="020B0604020202020204"/>
    <w:charset w:val="86"/>
    <w:family w:val="auto"/>
    <w:pitch w:val="default"/>
    <w:sig w:usb0="00000000" w:usb1="00000000" w:usb2="0000007F" w:usb3="00000000" w:csb0="203F01FF" w:csb1="DFFF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楷体_GB2312">
    <w:panose1 w:val="02010609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rPr>
                        <w:rFonts w:hint="default"/>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MWFiZmNmMDE3YjAyNGVkNjg3NTIzODMxOTJhMDkifQ=="/>
  </w:docVars>
  <w:rsids>
    <w:rsidRoot w:val="253D6272"/>
    <w:rsid w:val="006B2138"/>
    <w:rsid w:val="00B26BB1"/>
    <w:rsid w:val="00E0770D"/>
    <w:rsid w:val="0115257B"/>
    <w:rsid w:val="027F2F56"/>
    <w:rsid w:val="057E74F5"/>
    <w:rsid w:val="05997E8B"/>
    <w:rsid w:val="05C051F1"/>
    <w:rsid w:val="0692233C"/>
    <w:rsid w:val="06A411DD"/>
    <w:rsid w:val="06D3561E"/>
    <w:rsid w:val="0719411A"/>
    <w:rsid w:val="076D4D3B"/>
    <w:rsid w:val="07AED3AD"/>
    <w:rsid w:val="07C37441"/>
    <w:rsid w:val="083147F7"/>
    <w:rsid w:val="08CB0CA3"/>
    <w:rsid w:val="08D31906"/>
    <w:rsid w:val="08FE7A50"/>
    <w:rsid w:val="09173EE8"/>
    <w:rsid w:val="091900B4"/>
    <w:rsid w:val="09287EA3"/>
    <w:rsid w:val="093F51ED"/>
    <w:rsid w:val="09AA4D5C"/>
    <w:rsid w:val="09FB1114"/>
    <w:rsid w:val="0A026946"/>
    <w:rsid w:val="0A530F50"/>
    <w:rsid w:val="0AD41965"/>
    <w:rsid w:val="0B545E9A"/>
    <w:rsid w:val="0B9E444D"/>
    <w:rsid w:val="0BBE689D"/>
    <w:rsid w:val="0CB63A18"/>
    <w:rsid w:val="0D4C1C87"/>
    <w:rsid w:val="0E71409B"/>
    <w:rsid w:val="0F0767AD"/>
    <w:rsid w:val="0FC1695C"/>
    <w:rsid w:val="0FEE34C9"/>
    <w:rsid w:val="0FEE5277"/>
    <w:rsid w:val="10304473"/>
    <w:rsid w:val="107B2FAF"/>
    <w:rsid w:val="10F90765"/>
    <w:rsid w:val="12D60970"/>
    <w:rsid w:val="13351950"/>
    <w:rsid w:val="1347361C"/>
    <w:rsid w:val="14B26303"/>
    <w:rsid w:val="14CA0A03"/>
    <w:rsid w:val="14E21050"/>
    <w:rsid w:val="15107349"/>
    <w:rsid w:val="16930926"/>
    <w:rsid w:val="169E17A5"/>
    <w:rsid w:val="16BE3BF5"/>
    <w:rsid w:val="17145D6C"/>
    <w:rsid w:val="17281CB4"/>
    <w:rsid w:val="17C4080B"/>
    <w:rsid w:val="17E958DC"/>
    <w:rsid w:val="18377CED"/>
    <w:rsid w:val="185C36C6"/>
    <w:rsid w:val="18A84B5D"/>
    <w:rsid w:val="18F13E8A"/>
    <w:rsid w:val="19077DB9"/>
    <w:rsid w:val="192835A8"/>
    <w:rsid w:val="195117CA"/>
    <w:rsid w:val="198253AE"/>
    <w:rsid w:val="1A163D48"/>
    <w:rsid w:val="1A1E7B49"/>
    <w:rsid w:val="1A41695D"/>
    <w:rsid w:val="1A4A57A0"/>
    <w:rsid w:val="1B1742FE"/>
    <w:rsid w:val="1B4B6F12"/>
    <w:rsid w:val="1CF7C378"/>
    <w:rsid w:val="1D9F2778"/>
    <w:rsid w:val="1F3F164B"/>
    <w:rsid w:val="1F470D92"/>
    <w:rsid w:val="1F5A6FB2"/>
    <w:rsid w:val="1FF26BAE"/>
    <w:rsid w:val="202D3B9A"/>
    <w:rsid w:val="20FB17E4"/>
    <w:rsid w:val="21162880"/>
    <w:rsid w:val="22F947EB"/>
    <w:rsid w:val="232F2366"/>
    <w:rsid w:val="23362D65"/>
    <w:rsid w:val="236E0751"/>
    <w:rsid w:val="238C2435"/>
    <w:rsid w:val="247973AD"/>
    <w:rsid w:val="253D6272"/>
    <w:rsid w:val="25AB17E9"/>
    <w:rsid w:val="265005E2"/>
    <w:rsid w:val="2684130D"/>
    <w:rsid w:val="27A24E6D"/>
    <w:rsid w:val="2818512F"/>
    <w:rsid w:val="2940493E"/>
    <w:rsid w:val="29F179E6"/>
    <w:rsid w:val="2A5561C7"/>
    <w:rsid w:val="2B407FEB"/>
    <w:rsid w:val="2B8D0828"/>
    <w:rsid w:val="2BCF1FA9"/>
    <w:rsid w:val="2C212804"/>
    <w:rsid w:val="2C300D32"/>
    <w:rsid w:val="2C380FEC"/>
    <w:rsid w:val="2C7833AA"/>
    <w:rsid w:val="2D3E2F42"/>
    <w:rsid w:val="2DD678F6"/>
    <w:rsid w:val="2E026666"/>
    <w:rsid w:val="2E505623"/>
    <w:rsid w:val="2E56250D"/>
    <w:rsid w:val="2F397E65"/>
    <w:rsid w:val="2F662C24"/>
    <w:rsid w:val="2FB53924"/>
    <w:rsid w:val="2FF81ACE"/>
    <w:rsid w:val="30332B06"/>
    <w:rsid w:val="303B5E5F"/>
    <w:rsid w:val="30A12166"/>
    <w:rsid w:val="30B57CC4"/>
    <w:rsid w:val="30FF50DE"/>
    <w:rsid w:val="316E7B6E"/>
    <w:rsid w:val="31C1013C"/>
    <w:rsid w:val="32841B72"/>
    <w:rsid w:val="3518051D"/>
    <w:rsid w:val="36687282"/>
    <w:rsid w:val="37217B5C"/>
    <w:rsid w:val="37394CB2"/>
    <w:rsid w:val="375B2B16"/>
    <w:rsid w:val="375E3A5F"/>
    <w:rsid w:val="376637C1"/>
    <w:rsid w:val="37995CB2"/>
    <w:rsid w:val="37DFDA2F"/>
    <w:rsid w:val="38473E64"/>
    <w:rsid w:val="38887767"/>
    <w:rsid w:val="39900FC9"/>
    <w:rsid w:val="39D21BCA"/>
    <w:rsid w:val="39D2513E"/>
    <w:rsid w:val="39DBE561"/>
    <w:rsid w:val="3A282B72"/>
    <w:rsid w:val="3A6B68A3"/>
    <w:rsid w:val="3B6444BC"/>
    <w:rsid w:val="3BB10A37"/>
    <w:rsid w:val="3BEB698B"/>
    <w:rsid w:val="3D031AB2"/>
    <w:rsid w:val="3D6C6152"/>
    <w:rsid w:val="3D6E7ACF"/>
    <w:rsid w:val="3D976688"/>
    <w:rsid w:val="3E2B558B"/>
    <w:rsid w:val="3EA03A5D"/>
    <w:rsid w:val="3EB554EF"/>
    <w:rsid w:val="3F710F55"/>
    <w:rsid w:val="3F7900F5"/>
    <w:rsid w:val="3FC762C2"/>
    <w:rsid w:val="3FE060DB"/>
    <w:rsid w:val="40054CFF"/>
    <w:rsid w:val="40093B39"/>
    <w:rsid w:val="40776A3F"/>
    <w:rsid w:val="407E3419"/>
    <w:rsid w:val="40E51BFB"/>
    <w:rsid w:val="41AA4BF2"/>
    <w:rsid w:val="42A258CA"/>
    <w:rsid w:val="43AB53C7"/>
    <w:rsid w:val="43BF7CA1"/>
    <w:rsid w:val="44091B7B"/>
    <w:rsid w:val="448D4A83"/>
    <w:rsid w:val="44B55D54"/>
    <w:rsid w:val="4513485D"/>
    <w:rsid w:val="458D460F"/>
    <w:rsid w:val="45F36B68"/>
    <w:rsid w:val="460D2BFC"/>
    <w:rsid w:val="468E576B"/>
    <w:rsid w:val="46DC584E"/>
    <w:rsid w:val="47C17A51"/>
    <w:rsid w:val="47DF3A74"/>
    <w:rsid w:val="481F4184"/>
    <w:rsid w:val="482B0A83"/>
    <w:rsid w:val="49BC024C"/>
    <w:rsid w:val="49E8275C"/>
    <w:rsid w:val="4ACB2B41"/>
    <w:rsid w:val="4B4228ED"/>
    <w:rsid w:val="4C082C41"/>
    <w:rsid w:val="4D4C3002"/>
    <w:rsid w:val="4D804C12"/>
    <w:rsid w:val="4E255D2C"/>
    <w:rsid w:val="4EA503D4"/>
    <w:rsid w:val="4FFDA65D"/>
    <w:rsid w:val="50233804"/>
    <w:rsid w:val="50422073"/>
    <w:rsid w:val="513B5867"/>
    <w:rsid w:val="51FE1BA6"/>
    <w:rsid w:val="536E13A9"/>
    <w:rsid w:val="53755060"/>
    <w:rsid w:val="541F6D7A"/>
    <w:rsid w:val="542B1BC3"/>
    <w:rsid w:val="549359C2"/>
    <w:rsid w:val="55231C61"/>
    <w:rsid w:val="55342CF9"/>
    <w:rsid w:val="55D3606E"/>
    <w:rsid w:val="56424FA2"/>
    <w:rsid w:val="56B20379"/>
    <w:rsid w:val="56D9408C"/>
    <w:rsid w:val="57CD3A13"/>
    <w:rsid w:val="58276B45"/>
    <w:rsid w:val="58920462"/>
    <w:rsid w:val="58995BEF"/>
    <w:rsid w:val="5903310E"/>
    <w:rsid w:val="591A2206"/>
    <w:rsid w:val="59200A23"/>
    <w:rsid w:val="59774954"/>
    <w:rsid w:val="5A6272F8"/>
    <w:rsid w:val="5A67147B"/>
    <w:rsid w:val="5A7159CB"/>
    <w:rsid w:val="5A7238F3"/>
    <w:rsid w:val="5BFA33AD"/>
    <w:rsid w:val="5C350D90"/>
    <w:rsid w:val="5C5928F3"/>
    <w:rsid w:val="5CE26CC2"/>
    <w:rsid w:val="5CFD4E6C"/>
    <w:rsid w:val="5D327B1E"/>
    <w:rsid w:val="5DCC1056"/>
    <w:rsid w:val="5DF179D9"/>
    <w:rsid w:val="5E6C7060"/>
    <w:rsid w:val="5E7B54F5"/>
    <w:rsid w:val="5FEE45FF"/>
    <w:rsid w:val="6051650D"/>
    <w:rsid w:val="60657EAE"/>
    <w:rsid w:val="608A1A1F"/>
    <w:rsid w:val="60B847DE"/>
    <w:rsid w:val="60C211B9"/>
    <w:rsid w:val="61A736FF"/>
    <w:rsid w:val="622B7232"/>
    <w:rsid w:val="626F35C2"/>
    <w:rsid w:val="62C05BCC"/>
    <w:rsid w:val="631D4458"/>
    <w:rsid w:val="635D341B"/>
    <w:rsid w:val="63D80F64"/>
    <w:rsid w:val="646B6D2A"/>
    <w:rsid w:val="64D1438D"/>
    <w:rsid w:val="64EB7B44"/>
    <w:rsid w:val="658E5B0E"/>
    <w:rsid w:val="65942505"/>
    <w:rsid w:val="672A64A4"/>
    <w:rsid w:val="67380427"/>
    <w:rsid w:val="67DD1876"/>
    <w:rsid w:val="69020CEC"/>
    <w:rsid w:val="692C7B17"/>
    <w:rsid w:val="69473047"/>
    <w:rsid w:val="695E2C14"/>
    <w:rsid w:val="697A405A"/>
    <w:rsid w:val="69990F25"/>
    <w:rsid w:val="6A5437CA"/>
    <w:rsid w:val="6A794C11"/>
    <w:rsid w:val="6AE74360"/>
    <w:rsid w:val="6AEF557A"/>
    <w:rsid w:val="6B6537B4"/>
    <w:rsid w:val="6BFF2A8B"/>
    <w:rsid w:val="6C180827"/>
    <w:rsid w:val="6C537AB1"/>
    <w:rsid w:val="6CB30A33"/>
    <w:rsid w:val="6CEA21C3"/>
    <w:rsid w:val="6D891A42"/>
    <w:rsid w:val="6DAA635D"/>
    <w:rsid w:val="6DB36A59"/>
    <w:rsid w:val="6E1D62B2"/>
    <w:rsid w:val="6E4833ED"/>
    <w:rsid w:val="6E681C8B"/>
    <w:rsid w:val="6E732949"/>
    <w:rsid w:val="6EDA396D"/>
    <w:rsid w:val="6F156F2A"/>
    <w:rsid w:val="6F434296"/>
    <w:rsid w:val="6F892E7C"/>
    <w:rsid w:val="6FE343A0"/>
    <w:rsid w:val="70413E8D"/>
    <w:rsid w:val="709F5073"/>
    <w:rsid w:val="70F53B43"/>
    <w:rsid w:val="716E3926"/>
    <w:rsid w:val="71B8501F"/>
    <w:rsid w:val="71D758D4"/>
    <w:rsid w:val="71DB02E9"/>
    <w:rsid w:val="7228247C"/>
    <w:rsid w:val="72314558"/>
    <w:rsid w:val="72A347D8"/>
    <w:rsid w:val="72BD5B63"/>
    <w:rsid w:val="72FC49FE"/>
    <w:rsid w:val="731A1328"/>
    <w:rsid w:val="731F989E"/>
    <w:rsid w:val="73353292"/>
    <w:rsid w:val="736B698B"/>
    <w:rsid w:val="73E86D31"/>
    <w:rsid w:val="740B262A"/>
    <w:rsid w:val="743F0F47"/>
    <w:rsid w:val="749F8762"/>
    <w:rsid w:val="74B367C7"/>
    <w:rsid w:val="74DF4B7F"/>
    <w:rsid w:val="75556868"/>
    <w:rsid w:val="75596138"/>
    <w:rsid w:val="75C46DC3"/>
    <w:rsid w:val="75FF7EA2"/>
    <w:rsid w:val="76FD33E8"/>
    <w:rsid w:val="771D13E7"/>
    <w:rsid w:val="77DC4DFE"/>
    <w:rsid w:val="77F43EF6"/>
    <w:rsid w:val="782B4FB4"/>
    <w:rsid w:val="786D1EFA"/>
    <w:rsid w:val="792C3B64"/>
    <w:rsid w:val="7A7E0D67"/>
    <w:rsid w:val="7AB86E19"/>
    <w:rsid w:val="7AF6D3C1"/>
    <w:rsid w:val="7B03635E"/>
    <w:rsid w:val="7B1F5E6F"/>
    <w:rsid w:val="7B4C376C"/>
    <w:rsid w:val="7B4F7B5E"/>
    <w:rsid w:val="7CD1378C"/>
    <w:rsid w:val="7CF5040F"/>
    <w:rsid w:val="7DF84014"/>
    <w:rsid w:val="7E096221"/>
    <w:rsid w:val="7E5512D0"/>
    <w:rsid w:val="7E8D6E52"/>
    <w:rsid w:val="7E927FC5"/>
    <w:rsid w:val="7EDC56E4"/>
    <w:rsid w:val="7F6B0E19"/>
    <w:rsid w:val="7FBB79EF"/>
    <w:rsid w:val="7FFB7DEC"/>
    <w:rsid w:val="9BAFA410"/>
    <w:rsid w:val="B0FFCF5C"/>
    <w:rsid w:val="B7FF2968"/>
    <w:rsid w:val="BA9B8B33"/>
    <w:rsid w:val="BBFB336F"/>
    <w:rsid w:val="BD539D73"/>
    <w:rsid w:val="BFF7E3A7"/>
    <w:rsid w:val="BFFD223C"/>
    <w:rsid w:val="BFFD5D4B"/>
    <w:rsid w:val="E3D6660F"/>
    <w:rsid w:val="EABB38B3"/>
    <w:rsid w:val="EB7FB273"/>
    <w:rsid w:val="ED863628"/>
    <w:rsid w:val="EDFE4B74"/>
    <w:rsid w:val="F7BEB44C"/>
    <w:rsid w:val="F8C34304"/>
    <w:rsid w:val="FBAF6731"/>
    <w:rsid w:val="FDEF2296"/>
    <w:rsid w:val="FEA72801"/>
    <w:rsid w:val="FEBF8F0A"/>
    <w:rsid w:val="FF6F9CB6"/>
    <w:rsid w:val="FFCCA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bidi w:val="0"/>
      <w:spacing w:before="0" w:beforeAutospacing="0" w:after="0" w:afterAutospacing="0" w:line="240" w:lineRule="auto"/>
      <w:ind w:left="0" w:right="0" w:firstLine="0"/>
      <w:jc w:val="both"/>
      <w:outlineLvl w:val="9"/>
    </w:pPr>
    <w:rPr>
      <w:rFonts w:ascii="Calibri" w:hAnsi="Calibri" w:eastAsia="Arial Unicode MS" w:cs="Arial Unicode MS"/>
      <w:color w:val="000000"/>
      <w:spacing w:val="0"/>
      <w:w w:val="100"/>
      <w:kern w:val="2"/>
      <w:position w:val="0"/>
      <w:sz w:val="21"/>
      <w:szCs w:val="21"/>
      <w:u w:val="none" w:color="000000"/>
      <w:shd w:val="clear" w:color="auto" w:fill="auto"/>
      <w:vertAlign w:val="baseline"/>
      <w:lang w:val="en-US"/>
    </w:rPr>
  </w:style>
  <w:style w:type="character" w:customStyle="1" w:styleId="13">
    <w:name w:val="font41"/>
    <w:basedOn w:val="9"/>
    <w:qFormat/>
    <w:uiPriority w:val="0"/>
    <w:rPr>
      <w:rFonts w:hint="eastAsia" w:ascii="方正仿宋简体" w:hAnsi="方正仿宋简体" w:eastAsia="方正仿宋简体" w:cs="方正仿宋简体"/>
      <w:color w:val="000000"/>
      <w:sz w:val="28"/>
      <w:szCs w:val="28"/>
      <w:u w:val="none"/>
    </w:rPr>
  </w:style>
  <w:style w:type="character" w:customStyle="1" w:styleId="14">
    <w:name w:val="font51"/>
    <w:basedOn w:val="9"/>
    <w:qFormat/>
    <w:uiPriority w:val="0"/>
    <w:rPr>
      <w:rFonts w:hint="default" w:ascii="Times New Roman" w:hAnsi="Times New Roman" w:cs="Times New Roman"/>
      <w:color w:val="000000"/>
      <w:sz w:val="28"/>
      <w:szCs w:val="28"/>
      <w:u w:val="none"/>
    </w:rPr>
  </w:style>
  <w:style w:type="character" w:customStyle="1" w:styleId="15">
    <w:name w:val="font11"/>
    <w:basedOn w:val="9"/>
    <w:qFormat/>
    <w:uiPriority w:val="0"/>
    <w:rPr>
      <w:rFonts w:hint="eastAsia" w:ascii="方正仿宋简体" w:hAnsi="方正仿宋简体" w:eastAsia="方正仿宋简体" w:cs="方正仿宋简体"/>
      <w:b/>
      <w:bCs/>
      <w:color w:val="000000"/>
      <w:sz w:val="32"/>
      <w:szCs w:val="32"/>
      <w:u w:val="none"/>
    </w:rPr>
  </w:style>
  <w:style w:type="character" w:customStyle="1" w:styleId="16">
    <w:name w:val="font31"/>
    <w:basedOn w:val="9"/>
    <w:qFormat/>
    <w:uiPriority w:val="0"/>
    <w:rPr>
      <w:rFonts w:hint="eastAsia" w:ascii="方正仿宋简体" w:hAnsi="方正仿宋简体" w:eastAsia="方正仿宋简体" w:cs="方正仿宋简体"/>
      <w:color w:val="000000"/>
      <w:sz w:val="28"/>
      <w:szCs w:val="28"/>
      <w:u w:val="none"/>
    </w:rPr>
  </w:style>
  <w:style w:type="character" w:customStyle="1" w:styleId="17">
    <w:name w:val="font21"/>
    <w:basedOn w:val="9"/>
    <w:qFormat/>
    <w:uiPriority w:val="0"/>
    <w:rPr>
      <w:rFonts w:hint="default" w:ascii="Times New Roman" w:hAnsi="Times New Roman" w:cs="Times New Roman"/>
      <w:color w:val="000000"/>
      <w:sz w:val="28"/>
      <w:szCs w:val="28"/>
      <w:u w:val="none"/>
    </w:rPr>
  </w:style>
  <w:style w:type="character" w:customStyle="1" w:styleId="18">
    <w:name w:val="font61"/>
    <w:basedOn w:val="9"/>
    <w:qFormat/>
    <w:uiPriority w:val="0"/>
    <w:rPr>
      <w:rFonts w:ascii="方正仿宋简体" w:hAnsi="方正仿宋简体" w:eastAsia="方正仿宋简体" w:cs="方正仿宋简体"/>
      <w:b/>
      <w:bCs/>
      <w:color w:val="000000"/>
      <w:sz w:val="28"/>
      <w:szCs w:val="28"/>
      <w:u w:val="none"/>
    </w:rPr>
  </w:style>
  <w:style w:type="character" w:customStyle="1" w:styleId="19">
    <w:name w:val="font71"/>
    <w:basedOn w:val="9"/>
    <w:qFormat/>
    <w:uiPriority w:val="0"/>
    <w:rPr>
      <w:rFonts w:hint="eastAsia" w:ascii="方正仿宋简体" w:hAnsi="方正仿宋简体" w:eastAsia="方正仿宋简体" w:cs="方正仿宋简体"/>
      <w:b/>
      <w:bCs/>
      <w:color w:val="000000"/>
      <w:sz w:val="24"/>
      <w:szCs w:val="24"/>
      <w:u w:val="none"/>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7349</Words>
  <Characters>7454</Characters>
  <Lines>0</Lines>
  <Paragraphs>0</Paragraphs>
  <TotalTime>6</TotalTime>
  <ScaleCrop>false</ScaleCrop>
  <LinksUpToDate>false</LinksUpToDate>
  <CharactersWithSpaces>7502</CharactersWithSpaces>
  <Application>WPS Office_12.8.2.16969_F1E327BC-269C-435d-A152-05C5408002CA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2025-11-07T23:23:00Z</dcterms:created>
  <dc:creator>张浩</dc:creator>
  <cp:lastModifiedBy>greatwall</cp:lastModifiedBy>
  <cp:lastPrinted>2026-09-30T08:06:00Z</cp:lastPrinted>
  <dcterms:modified xsi:type="dcterms:W3CDTF">2026-09-30T15:08:52Z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2052-12.8.2.16969</vt:lpwstr>
  </property>
  <property fmtid="{D5CDD505-2E9C-101B-9397-08002B2CF9AE}" pid="3" name="ICV">
    <vt:lpwstr>594374030312819B84B5BC6AEE50DE0D_43</vt:lpwstr>
  </property>
  <property fmtid="{D5CDD505-2E9C-101B-9397-08002B2CF9AE}" pid="4" name="KSOTemplateDocerSaveRecord">
    <vt:lpwstr>eyJoZGlkIjoiMDYwZTJjNzUyYmI4MDVlNmU3YzBjOWNiNmZiNzQ4ZjIiLCJ1c2VySWQiOiIxNTYwMDcxMzY0In0=</vt:lpwstr>
  </property>
</Properties>
</file>