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4A8A6">
      <w:pPr>
        <w:keepNext w:val="0"/>
        <w:keepLines w:val="0"/>
        <w:pageBreakBefore w:val="0"/>
        <w:kinsoku/>
        <w:wordWrap/>
        <w:overflowPunct/>
        <w:topLinePunct w:val="0"/>
        <w:bidi w:val="0"/>
        <w:spacing w:line="560" w:lineRule="exact"/>
        <w:jc w:val="left"/>
        <w:textAlignment w:val="auto"/>
        <w:rPr>
          <w:rFonts w:hint="default" w:eastAsia="方正小标宋简体" w:cs="Times New Roman"/>
          <w:sz w:val="44"/>
          <w:szCs w:val="44"/>
          <w:lang w:val="en-US" w:eastAsia="zh-CN"/>
        </w:rPr>
      </w:pPr>
      <w:r>
        <w:rPr>
          <w:rFonts w:hint="eastAsia" w:eastAsia="仿宋_GB2312" w:cs="Times New Roman"/>
          <w:sz w:val="32"/>
          <w:highlight w:val="none"/>
          <w:lang w:val="en-US" w:eastAsia="zh-CN"/>
        </w:rPr>
        <w:t>附件1</w:t>
      </w:r>
    </w:p>
    <w:p w14:paraId="7F91B010">
      <w:pPr>
        <w:rPr>
          <w:lang w:val="en-US"/>
        </w:rPr>
      </w:pPr>
    </w:p>
    <w:p w14:paraId="1BC69801">
      <w:pPr>
        <w:keepNext w:val="0"/>
        <w:keepLines w:val="0"/>
        <w:pageBreakBefore w:val="0"/>
        <w:widowControl w:val="0"/>
        <w:tabs>
          <w:tab w:val="left" w:pos="7920"/>
        </w:tabs>
        <w:kinsoku/>
        <w:wordWrap/>
        <w:overflowPunct/>
        <w:topLinePunct w:val="0"/>
        <w:autoSpaceDE/>
        <w:autoSpaceDN/>
        <w:bidi w:val="0"/>
        <w:adjustRightInd w:val="0"/>
        <w:snapToGrid w:val="0"/>
        <w:spacing w:beforeAutospacing="0" w:afterAutospacing="0" w:line="560" w:lineRule="exact"/>
        <w:ind w:firstLine="0" w:firstLineChars="0"/>
        <w:jc w:val="center"/>
        <w:textAlignment w:val="auto"/>
        <w:rPr>
          <w:rFonts w:hint="eastAsia" w:eastAsia="方正小标宋简体" w:cs="Times New Roman"/>
          <w:kern w:val="2"/>
          <w:sz w:val="36"/>
          <w:szCs w:val="36"/>
          <w:highlight w:val="none"/>
          <w:lang w:val="en-US" w:eastAsia="zh-CN" w:bidi="ar-SA"/>
        </w:rPr>
      </w:pPr>
      <w:r>
        <w:rPr>
          <w:rFonts w:hint="eastAsia" w:eastAsia="方正小标宋简体" w:cs="Times New Roman"/>
          <w:kern w:val="2"/>
          <w:sz w:val="36"/>
          <w:szCs w:val="36"/>
          <w:highlight w:val="none"/>
          <w:lang w:val="en-US" w:eastAsia="zh-CN" w:bidi="ar-SA"/>
        </w:rPr>
        <w:t>陕西省</w:t>
      </w:r>
      <w:r>
        <w:rPr>
          <w:rFonts w:hint="default" w:ascii="Times New Roman" w:hAnsi="Times New Roman" w:eastAsia="方正小标宋简体" w:cs="Times New Roman"/>
          <w:kern w:val="2"/>
          <w:sz w:val="36"/>
          <w:szCs w:val="36"/>
          <w:highlight w:val="none"/>
          <w:lang w:val="en-US" w:eastAsia="zh-CN" w:bidi="ar-SA"/>
        </w:rPr>
        <w:t>智能工厂</w:t>
      </w:r>
      <w:r>
        <w:rPr>
          <w:rFonts w:hint="eastAsia" w:ascii="Times New Roman" w:hAnsi="Times New Roman" w:eastAsia="方正小标宋简体" w:cs="Times New Roman"/>
          <w:kern w:val="2"/>
          <w:sz w:val="36"/>
          <w:szCs w:val="36"/>
          <w:highlight w:val="none"/>
          <w:lang w:val="en-US" w:eastAsia="zh-CN" w:bidi="ar-SA"/>
        </w:rPr>
        <w:t>梯度培育</w:t>
      </w:r>
      <w:r>
        <w:rPr>
          <w:rFonts w:hint="default" w:ascii="Times New Roman" w:hAnsi="Times New Roman" w:eastAsia="方正小标宋简体" w:cs="Times New Roman"/>
          <w:kern w:val="2"/>
          <w:sz w:val="36"/>
          <w:szCs w:val="36"/>
          <w:highlight w:val="none"/>
          <w:lang w:val="en-US" w:eastAsia="zh-CN" w:bidi="ar-SA"/>
        </w:rPr>
        <w:t>管理</w:t>
      </w:r>
      <w:r>
        <w:rPr>
          <w:rFonts w:hint="eastAsia" w:eastAsia="方正小标宋简体" w:cs="Times New Roman"/>
          <w:kern w:val="2"/>
          <w:sz w:val="36"/>
          <w:szCs w:val="36"/>
          <w:highlight w:val="none"/>
          <w:lang w:val="en-US" w:eastAsia="zh-CN" w:bidi="ar-SA"/>
        </w:rPr>
        <w:t>实施细则（暂行）</w:t>
      </w:r>
    </w:p>
    <w:p w14:paraId="366F77F2">
      <w:pPr>
        <w:keepNext w:val="0"/>
        <w:keepLines w:val="0"/>
        <w:pageBreakBefore w:val="0"/>
        <w:widowControl w:val="0"/>
        <w:tabs>
          <w:tab w:val="left" w:pos="7920"/>
        </w:tabs>
        <w:kinsoku/>
        <w:wordWrap/>
        <w:overflowPunct/>
        <w:topLinePunct w:val="0"/>
        <w:autoSpaceDE/>
        <w:autoSpaceDN/>
        <w:bidi w:val="0"/>
        <w:adjustRightInd w:val="0"/>
        <w:snapToGrid w:val="0"/>
        <w:spacing w:beforeAutospacing="0" w:afterAutospacing="0" w:line="560" w:lineRule="exact"/>
        <w:ind w:firstLine="0" w:firstLineChars="0"/>
        <w:jc w:val="center"/>
        <w:textAlignment w:val="auto"/>
        <w:rPr>
          <w:rFonts w:hint="default" w:ascii="Times New Roman" w:hAnsi="Times New Roman" w:eastAsia="方正小标宋简体" w:cs="Times New Roman"/>
          <w:kern w:val="2"/>
          <w:sz w:val="44"/>
          <w:szCs w:val="44"/>
          <w:highlight w:val="none"/>
          <w:lang w:val="en-US" w:eastAsia="zh-CN" w:bidi="ar-SA"/>
        </w:rPr>
      </w:pPr>
    </w:p>
    <w:p w14:paraId="791C428A">
      <w:pPr>
        <w:keepNext w:val="0"/>
        <w:keepLines w:val="0"/>
        <w:pageBreakBefore w:val="0"/>
        <w:widowControl w:val="0"/>
        <w:tabs>
          <w:tab w:val="left" w:pos="7920"/>
        </w:tabs>
        <w:kinsoku/>
        <w:wordWrap/>
        <w:overflowPunct/>
        <w:topLinePunct w:val="0"/>
        <w:autoSpaceDE/>
        <w:autoSpaceDN/>
        <w:bidi w:val="0"/>
        <w:adjustRightInd w:val="0"/>
        <w:snapToGrid w:val="0"/>
        <w:spacing w:beforeAutospacing="0" w:afterAutospacing="0" w:line="560" w:lineRule="exact"/>
        <w:ind w:firstLine="0" w:firstLineChars="0"/>
        <w:jc w:val="center"/>
        <w:textAlignment w:val="auto"/>
        <w:rPr>
          <w:rFonts w:hint="eastAsia" w:ascii="Times New Roman" w:hAnsi="Times New Roman" w:eastAsia="方正小标宋简体" w:cs="Times New Roman"/>
          <w:kern w:val="2"/>
          <w:sz w:val="36"/>
          <w:szCs w:val="36"/>
          <w:highlight w:val="none"/>
          <w:lang w:val="en-US" w:eastAsia="zh-CN" w:bidi="ar-SA"/>
        </w:rPr>
      </w:pPr>
      <w:r>
        <w:rPr>
          <w:rFonts w:hint="eastAsia" w:ascii="国标楷体" w:hAnsi="国标楷体" w:eastAsia="国标楷体" w:cs="国标楷体"/>
          <w:kern w:val="2"/>
          <w:sz w:val="36"/>
          <w:szCs w:val="36"/>
          <w:highlight w:val="none"/>
          <w:lang w:val="en-US" w:eastAsia="zh-CN" w:bidi="ar-SA"/>
        </w:rPr>
        <w:t>（征求意见稿）</w:t>
      </w:r>
    </w:p>
    <w:p w14:paraId="3CD04989">
      <w:pPr>
        <w:pStyle w:val="2"/>
        <w:rPr>
          <w:rFonts w:hint="default"/>
          <w:lang w:val="en-US" w:eastAsia="zh-CN"/>
        </w:rPr>
      </w:pPr>
    </w:p>
    <w:p w14:paraId="584653C2">
      <w:pPr>
        <w:keepNext w:val="0"/>
        <w:keepLines w:val="0"/>
        <w:pageBreakBefore w:val="0"/>
        <w:numPr>
          <w:ilvl w:val="0"/>
          <w:numId w:val="1"/>
        </w:numPr>
        <w:kinsoku/>
        <w:wordWrap/>
        <w:overflowPunct/>
        <w:topLinePunct w:val="0"/>
        <w:autoSpaceDE/>
        <w:autoSpaceDN/>
        <w:bidi w:val="0"/>
        <w:adjustRightInd w:val="0"/>
        <w:snapToGrid w:val="0"/>
        <w:spacing w:beforeAutospacing="0" w:afterAutospacing="0" w:line="560" w:lineRule="exact"/>
        <w:ind w:firstLine="3520" w:firstLineChars="11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总则</w:t>
      </w:r>
    </w:p>
    <w:p w14:paraId="7FBD5154">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default" w:ascii="Times New Roman" w:hAnsi="Times New Roman" w:eastAsia="黑体" w:cs="Times New Roman"/>
          <w:sz w:val="32"/>
          <w:szCs w:val="32"/>
          <w:highlight w:val="none"/>
        </w:rPr>
      </w:pPr>
    </w:p>
    <w:p w14:paraId="37B98D7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Times New Roman" w:hAnsi="Times New Roman" w:eastAsia="仿宋_GB2312" w:cs="Times New Roman"/>
          <w:sz w:val="32"/>
          <w:highlight w:val="none"/>
        </w:rPr>
      </w:pPr>
      <w:r>
        <w:rPr>
          <w:rFonts w:hint="eastAsia" w:ascii="黑体" w:hAnsi="黑体" w:eastAsia="黑体" w:cs="黑体"/>
          <w:sz w:val="32"/>
          <w:highlight w:val="none"/>
          <w:lang w:eastAsia="zh-CN"/>
        </w:rPr>
        <w:t>第一条</w:t>
      </w:r>
      <w:r>
        <w:rPr>
          <w:rFonts w:hint="eastAsia" w:ascii="Times New Roman" w:hAnsi="Times New Roman" w:eastAsia="仿宋_GB2312" w:cs="Times New Roman"/>
          <w:sz w:val="32"/>
          <w:highlight w:val="none"/>
          <w:lang w:val="en-US" w:eastAsia="zh-CN"/>
        </w:rPr>
        <w:t xml:space="preserve"> </w:t>
      </w:r>
      <w:r>
        <w:rPr>
          <w:rFonts w:hint="eastAsia" w:eastAsia="仿宋_GB2312" w:cs="Times New Roman"/>
          <w:sz w:val="32"/>
          <w:highlight w:val="none"/>
          <w:lang w:val="en-US" w:eastAsia="zh-CN"/>
        </w:rPr>
        <w:t>为深入贯彻党中央、国务院决策部署，落实</w:t>
      </w:r>
      <w:r>
        <w:rPr>
          <w:rFonts w:hint="eastAsia" w:eastAsia="仿宋_GB2312" w:cs="Times New Roman"/>
          <w:sz w:val="32"/>
          <w:highlight w:val="none"/>
          <w:lang w:eastAsia="zh-CN"/>
        </w:rPr>
        <w:t>《</w:t>
      </w:r>
      <w:r>
        <w:rPr>
          <w:rFonts w:hint="eastAsia" w:eastAsia="仿宋_GB2312" w:cs="Times New Roman"/>
          <w:sz w:val="32"/>
          <w:highlight w:val="none"/>
          <w:lang w:val="en-US" w:eastAsia="zh-CN"/>
        </w:rPr>
        <w:t>陕西省</w:t>
      </w:r>
      <w:r>
        <w:rPr>
          <w:rFonts w:hint="eastAsia" w:eastAsia="仿宋_GB2312" w:cs="Times New Roman"/>
          <w:sz w:val="32"/>
          <w:highlight w:val="none"/>
          <w:lang w:eastAsia="zh-CN"/>
        </w:rPr>
        <w:t>智能工厂梯度培育行动实施方案》（陕工信发</w:t>
      </w:r>
      <w:r>
        <w:rPr>
          <w:rFonts w:hint="eastAsia" w:eastAsia="仿宋_GB2312" w:cs="Times New Roman"/>
          <w:sz w:val="32"/>
          <w:highlight w:val="none"/>
          <w:lang w:val="en-US" w:eastAsia="zh-CN"/>
        </w:rPr>
        <w:t>[2025]94号</w:t>
      </w:r>
      <w:r>
        <w:rPr>
          <w:rFonts w:hint="eastAsia" w:eastAsia="仿宋_GB2312" w:cs="Times New Roman"/>
          <w:sz w:val="32"/>
          <w:highlight w:val="none"/>
          <w:lang w:eastAsia="zh-CN"/>
        </w:rPr>
        <w:t>）</w:t>
      </w:r>
      <w:r>
        <w:rPr>
          <w:rFonts w:hint="eastAsia" w:eastAsia="仿宋_GB2312" w:cs="Times New Roman"/>
          <w:sz w:val="32"/>
          <w:highlight w:val="none"/>
          <w:lang w:val="en-US" w:eastAsia="zh-CN"/>
        </w:rPr>
        <w:t>，依据工业和信息化部、国家发展和改革委员会、财政部、国务院国有资产监督管理委员会、国家市场监督管理总局、国家数据局联合印发的</w:t>
      </w:r>
      <w:r>
        <w:rPr>
          <w:rFonts w:hint="default" w:ascii="Times New Roman" w:hAnsi="Times New Roman" w:eastAsia="仿宋_GB2312" w:cs="Times New Roman"/>
          <w:b w:val="0"/>
          <w:bCs w:val="0"/>
          <w:sz w:val="32"/>
          <w:szCs w:val="32"/>
          <w:highlight w:val="none"/>
        </w:rPr>
        <w:t>《智能工厂梯度培育</w:t>
      </w:r>
      <w:r>
        <w:rPr>
          <w:rFonts w:hint="eastAsia" w:eastAsia="仿宋_GB2312" w:cs="Times New Roman"/>
          <w:b w:val="0"/>
          <w:bCs w:val="0"/>
          <w:sz w:val="32"/>
          <w:szCs w:val="32"/>
          <w:highlight w:val="none"/>
          <w:lang w:eastAsia="zh-CN"/>
        </w:rPr>
        <w:t>管理办法（暂行）</w:t>
      </w:r>
      <w:r>
        <w:rPr>
          <w:rFonts w:hint="default" w:ascii="Times New Roman" w:hAnsi="Times New Roman" w:eastAsia="仿宋_GB2312" w:cs="Times New Roman"/>
          <w:b w:val="0"/>
          <w:bCs w:val="0"/>
          <w:sz w:val="32"/>
          <w:szCs w:val="32"/>
          <w:highlight w:val="none"/>
        </w:rPr>
        <w:t>》</w:t>
      </w:r>
      <w:r>
        <w:rPr>
          <w:rFonts w:hint="eastAsia" w:eastAsia="仿宋_GB2312" w:cs="Times New Roman"/>
          <w:b w:val="0"/>
          <w:bCs w:val="0"/>
          <w:sz w:val="32"/>
          <w:szCs w:val="32"/>
          <w:highlight w:val="none"/>
          <w:lang w:eastAsia="zh-CN"/>
        </w:rPr>
        <w:t>（工信部联通装</w:t>
      </w:r>
      <w:r>
        <w:rPr>
          <w:rFonts w:hint="eastAsia" w:eastAsia="仿宋_GB2312" w:cs="Times New Roman"/>
          <w:b w:val="0"/>
          <w:bCs w:val="0"/>
          <w:sz w:val="32"/>
          <w:szCs w:val="32"/>
          <w:highlight w:val="none"/>
          <w:lang w:val="en-US" w:eastAsia="zh-CN"/>
        </w:rPr>
        <w:t>[2025]262号</w:t>
      </w:r>
      <w:r>
        <w:rPr>
          <w:rFonts w:hint="eastAsia" w:eastAsia="仿宋_GB2312" w:cs="Times New Roman"/>
          <w:b w:val="0"/>
          <w:bCs w:val="0"/>
          <w:sz w:val="32"/>
          <w:szCs w:val="32"/>
          <w:highlight w:val="none"/>
          <w:lang w:eastAsia="zh-CN"/>
        </w:rPr>
        <w:t>），</w:t>
      </w:r>
      <w:r>
        <w:rPr>
          <w:rFonts w:hint="eastAsia" w:ascii="Times New Roman" w:hAnsi="Times New Roman" w:eastAsia="仿宋_GB2312" w:cs="Times New Roman"/>
          <w:sz w:val="32"/>
          <w:highlight w:val="none"/>
        </w:rPr>
        <w:t>制定本</w:t>
      </w:r>
      <w:r>
        <w:rPr>
          <w:rFonts w:hint="eastAsia" w:eastAsia="仿宋_GB2312" w:cs="Times New Roman"/>
          <w:sz w:val="32"/>
          <w:highlight w:val="none"/>
          <w:lang w:eastAsia="zh-CN"/>
        </w:rPr>
        <w:t>实施细则</w:t>
      </w:r>
      <w:r>
        <w:rPr>
          <w:rFonts w:hint="eastAsia" w:ascii="Times New Roman" w:hAnsi="Times New Roman" w:eastAsia="仿宋_GB2312" w:cs="Times New Roman"/>
          <w:sz w:val="32"/>
          <w:highlight w:val="none"/>
        </w:rPr>
        <w:t>。</w:t>
      </w:r>
    </w:p>
    <w:p w14:paraId="02469CA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eastAsia="zh-CN"/>
        </w:rPr>
        <w:t>第二条</w:t>
      </w:r>
      <w:r>
        <w:rPr>
          <w:rFonts w:hint="eastAsia" w:ascii="黑体" w:hAnsi="黑体" w:eastAsia="黑体" w:cs="黑体"/>
          <w:sz w:val="32"/>
          <w:highlight w:val="none"/>
          <w:lang w:val="en-US" w:eastAsia="zh-CN"/>
        </w:rPr>
        <w:t xml:space="preserve"> </w:t>
      </w:r>
      <w:r>
        <w:rPr>
          <w:rFonts w:hint="eastAsia" w:eastAsia="仿宋_GB2312" w:cs="Times New Roman"/>
          <w:sz w:val="32"/>
          <w:highlight w:val="none"/>
          <w:lang w:val="en-US" w:eastAsia="zh-CN"/>
        </w:rPr>
        <w:t> 智能工厂是指通过部署智能制造装备、工业软件和系统，应用人工智能等数智技术，推动生产设备和信息系统集成贯通，促进业务模式和企业形态创新，实现产品全生命周期、生产制造全过程和供应链全环节的综合优化和效率效益全面提升的现代化工厂。</w:t>
      </w:r>
    </w:p>
    <w:p w14:paraId="4A1090B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eastAsia="zh-CN"/>
        </w:rPr>
        <w:t>第三条</w:t>
      </w:r>
      <w:r>
        <w:rPr>
          <w:rFonts w:hint="eastAsia" w:ascii="Times New Roman" w:hAnsi="Times New Roman" w:eastAsia="仿宋_GB2312" w:cs="Times New Roman"/>
          <w:sz w:val="32"/>
          <w:highlight w:val="none"/>
          <w:lang w:val="en-US" w:eastAsia="zh-CN"/>
        </w:rPr>
        <w:t xml:space="preserve"> </w:t>
      </w:r>
      <w:r>
        <w:rPr>
          <w:rFonts w:hint="eastAsia" w:eastAsia="仿宋_GB2312" w:cs="Times New Roman"/>
          <w:sz w:val="32"/>
          <w:highlight w:val="none"/>
          <w:lang w:val="en-US" w:eastAsia="zh-CN"/>
        </w:rPr>
        <w:t>根据智能工厂梯度培育要素条件等标准规范，按照基础级、先进级、卓越级、领航级开展智能工厂梯度培育工作。基础级智能工厂聚焦数字化改造、网络化链接开展建设，推动数字化普及；先进级智能工厂聚焦数字化转型、网络化协同开展建设，打造区域行业领先的发展标杆；卓越级智能工厂聚焦数字化转型、网络化协同和智能化升级开展建设，打造全国领先的发展标杆；领航级智能工厂聚焦数字化转型、网络化协同和智能化变革开展建设，探索未来制造模式，培育全球领先的发展标杆。</w:t>
      </w:r>
    </w:p>
    <w:p w14:paraId="122146C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Times New Roman" w:hAnsi="Times New Roman" w:eastAsia="仿宋_GB2312" w:cs="Times New Roman"/>
          <w:sz w:val="32"/>
          <w:highlight w:val="none"/>
        </w:rPr>
      </w:pPr>
      <w:r>
        <w:rPr>
          <w:rFonts w:hint="eastAsia" w:ascii="黑体" w:hAnsi="黑体" w:eastAsia="黑体" w:cs="黑体"/>
          <w:sz w:val="32"/>
          <w:highlight w:val="none"/>
          <w:lang w:eastAsia="zh-CN"/>
        </w:rPr>
        <w:t>第四条</w:t>
      </w:r>
      <w:r>
        <w:rPr>
          <w:rFonts w:hint="eastAsia" w:ascii="Times New Roman" w:hAnsi="Times New Roman" w:eastAsia="仿宋_GB2312" w:cs="Times New Roman"/>
          <w:sz w:val="32"/>
          <w:highlight w:val="none"/>
          <w:lang w:val="en-US" w:eastAsia="zh-CN"/>
        </w:rPr>
        <w:t xml:space="preserve"> </w:t>
      </w:r>
      <w:r>
        <w:rPr>
          <w:rFonts w:hint="eastAsia" w:ascii="Times New Roman" w:hAnsi="Times New Roman" w:eastAsia="仿宋_GB2312" w:cs="Times New Roman"/>
          <w:sz w:val="32"/>
          <w:highlight w:val="none"/>
        </w:rPr>
        <w:t>智能工厂梯度培育</w:t>
      </w:r>
      <w:r>
        <w:rPr>
          <w:rFonts w:hint="eastAsia" w:eastAsia="仿宋_GB2312" w:cs="Times New Roman"/>
          <w:sz w:val="32"/>
          <w:highlight w:val="none"/>
          <w:lang w:eastAsia="zh-CN"/>
        </w:rPr>
        <w:t>工作完整、准确、全面贯彻新发展理念，坚持自愿、公平、公正、公开原则，实行统筹规划、分组推进和动态管理。</w:t>
      </w:r>
      <w:r>
        <w:rPr>
          <w:rFonts w:hint="eastAsia" w:ascii="Times New Roman" w:hAnsi="Times New Roman" w:eastAsia="仿宋_GB2312" w:cs="Times New Roman"/>
          <w:sz w:val="32"/>
          <w:highlight w:val="none"/>
        </w:rPr>
        <w:t>鼓励企业结合自身实际分阶段推进智能化升级。</w:t>
      </w:r>
    </w:p>
    <w:p w14:paraId="202D7719">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jc w:val="center"/>
        <w:textAlignment w:val="auto"/>
        <w:rPr>
          <w:rFonts w:hint="eastAsia" w:eastAsia="黑体" w:cs="Times New Roman"/>
          <w:sz w:val="32"/>
          <w:szCs w:val="32"/>
          <w:highlight w:val="none"/>
          <w:lang w:eastAsia="zh-CN"/>
        </w:rPr>
      </w:pPr>
    </w:p>
    <w:p w14:paraId="130AB185">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jc w:val="center"/>
        <w:textAlignment w:val="auto"/>
        <w:rPr>
          <w:rFonts w:hint="eastAsia" w:ascii="Times New Roman" w:hAnsi="Times New Roman" w:eastAsia="黑体" w:cs="Times New Roman"/>
          <w:sz w:val="32"/>
          <w:szCs w:val="32"/>
          <w:highlight w:val="none"/>
          <w:lang w:eastAsia="zh-CN"/>
        </w:rPr>
      </w:pPr>
      <w:r>
        <w:rPr>
          <w:rFonts w:hint="eastAsia" w:eastAsia="黑体" w:cs="Times New Roman"/>
          <w:sz w:val="32"/>
          <w:szCs w:val="32"/>
          <w:highlight w:val="none"/>
          <w:lang w:eastAsia="zh-CN"/>
        </w:rPr>
        <w:t>第二章</w:t>
      </w:r>
      <w:r>
        <w:rPr>
          <w:rFonts w:hint="eastAsia" w:eastAsia="黑体" w:cs="Times New Roman"/>
          <w:sz w:val="32"/>
          <w:szCs w:val="32"/>
          <w:highlight w:val="none"/>
          <w:lang w:val="en-US" w:eastAsia="zh-CN"/>
        </w:rPr>
        <w:t xml:space="preserve">  </w:t>
      </w:r>
      <w:r>
        <w:rPr>
          <w:rFonts w:hint="eastAsia" w:eastAsia="黑体" w:cs="Times New Roman"/>
          <w:sz w:val="32"/>
          <w:szCs w:val="32"/>
          <w:highlight w:val="none"/>
          <w:lang w:eastAsia="zh-CN"/>
        </w:rPr>
        <w:t>组织管理与职责</w:t>
      </w:r>
    </w:p>
    <w:p w14:paraId="61CB3821">
      <w:pPr>
        <w:pStyle w:val="2"/>
        <w:rPr>
          <w:rFonts w:hint="eastAsia"/>
          <w:lang w:val="en-US" w:eastAsia="zh-CN"/>
        </w:rPr>
      </w:pPr>
    </w:p>
    <w:p w14:paraId="644DCD5C">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eastAsia="zh-CN"/>
        </w:rPr>
        <w:t>第五条</w:t>
      </w:r>
      <w:r>
        <w:rPr>
          <w:rFonts w:hint="eastAsia" w:ascii="黑体" w:hAnsi="黑体" w:eastAsia="黑体" w:cs="黑体"/>
          <w:sz w:val="32"/>
          <w:highlight w:val="none"/>
          <w:lang w:val="en-US" w:eastAsia="zh-CN"/>
        </w:rPr>
        <w:t xml:space="preserve"> </w:t>
      </w:r>
      <w:r>
        <w:rPr>
          <w:rFonts w:hint="eastAsia" w:eastAsia="仿宋_GB2312" w:cs="Times New Roman"/>
          <w:sz w:val="32"/>
          <w:highlight w:val="none"/>
          <w:lang w:val="en-US" w:eastAsia="zh-CN"/>
        </w:rPr>
        <w:t>省级工信部门会同发展改革、财政、国资、市场监管、数据主管部门（以下简称“省级相关部门”）负责智能工厂梯度培育工作的组织实施和管理。主要职责包括：</w:t>
      </w:r>
    </w:p>
    <w:p w14:paraId="14E6002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（一）研究制定智能工厂梯度培育管理细则、实施方案等制度措施，明确梯度培育体系、管理职责、培育流程等。</w:t>
      </w:r>
    </w:p>
    <w:p w14:paraId="431AA00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（二）负责先进级智能工厂培育遴选；组织开展卓越级、领航级智能工厂初审和推荐工作，配合工信部做好卓越级、领航级智能工厂日常管理。</w:t>
      </w:r>
    </w:p>
    <w:p w14:paraId="6E3C851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三）组建全省智能制造专家委员会（专家库），为智能工厂梯度培育提供咨询决策建议，参与先进级智能工厂专家评审和卓越级、领航级智能工厂遴选推荐；委托其协助开展智能工厂梯度培育诊断咨询；委托其协助开展智能工厂梯度培育成效总结评估和宣传推广等。</w:t>
      </w:r>
    </w:p>
    <w:p w14:paraId="68A9C0A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（四）通过政府采购服务形式，选定第三方支撑服务机构，委托其协助建设陕西省智能工厂梯度培育储备库，开展智能制造评估诊断、技术咨询、年度发展报告编制等动态管理支撑工作。</w:t>
      </w:r>
    </w:p>
    <w:p w14:paraId="385E73B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（五）组织开展智能工厂技术交流、宣传推广和动态管理，按年度向工业和信息化部报送智能工厂梯度培育情况。</w:t>
      </w:r>
    </w:p>
    <w:p w14:paraId="15B81CB6">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val="en-US" w:eastAsia="zh-CN"/>
        </w:rPr>
        <w:t>第六条  </w:t>
      </w:r>
      <w:r>
        <w:rPr>
          <w:rFonts w:hint="eastAsia" w:eastAsia="仿宋_GB2312" w:cs="Times New Roman"/>
          <w:sz w:val="32"/>
          <w:highlight w:val="none"/>
          <w:lang w:val="en-US" w:eastAsia="zh-CN"/>
        </w:rPr>
        <w:t>市、县（区）级工业和信息化主管部门负责开展本地区智能工厂梯度培育工作，配合省级工业和信息化主管部门开展评价及动态管理，是评价申报的审核推荐单位。主要职责包括：</w:t>
      </w:r>
    </w:p>
    <w:p w14:paraId="5069D52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（一）负责本地区智能工厂梯度培育储备库建设，指导本地区单位（企业）按照国家和地方标准开展智能工厂建设。</w:t>
      </w:r>
    </w:p>
    <w:p w14:paraId="58BEC0D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（二）组织本地区单位（企业）开展智能制造成熟度自评估，依据自评估结果开展基础级智能工厂审核评定工作。</w:t>
      </w:r>
    </w:p>
    <w:p w14:paraId="2C97DCB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（三）负责本地区单位（企业）先进级、卓越级、领航级智能工厂遴选、初审和推荐，配合省级工信部门做好现场核查与实地评价。</w:t>
      </w:r>
    </w:p>
    <w:p w14:paraId="03F8D73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（四）组织开展本地区智能工厂技术交流、宣传推广和动态管理，按年度向省级工业和信息化主管部门报送智能工厂梯度培育情况。</w:t>
      </w:r>
    </w:p>
    <w:p w14:paraId="0FF64CB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（五）为本地区智能工厂梯度培育提供政策支持。</w:t>
      </w:r>
    </w:p>
    <w:p w14:paraId="6E0E979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default" w:eastAsia="仿宋_GB2312" w:cs="Times New Roman"/>
          <w:sz w:val="32"/>
          <w:highlight w:val="none"/>
          <w:lang w:val="en-US" w:eastAsia="zh-CN"/>
        </w:rPr>
      </w:pPr>
      <w:r>
        <w:rPr>
          <w:rFonts w:hint="eastAsia" w:ascii="黑体" w:hAnsi="黑体" w:eastAsia="黑体" w:cs="黑体"/>
          <w:sz w:val="32"/>
          <w:highlight w:val="none"/>
          <w:lang w:val="en-US" w:eastAsia="zh-CN"/>
        </w:rPr>
        <w:t>第七条</w:t>
      </w:r>
      <w:r>
        <w:rPr>
          <w:rFonts w:hint="eastAsia" w:eastAsia="仿宋_GB2312" w:cs="Times New Roman"/>
          <w:sz w:val="32"/>
          <w:highlight w:val="none"/>
          <w:lang w:val="en-US" w:eastAsia="zh-CN"/>
        </w:rPr>
        <w:t>  建设单位（企业）是智能工厂梯度培育的实施主体和责任主体。主要职责包括：</w:t>
      </w:r>
    </w:p>
    <w:p w14:paraId="0DDAE20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（一）负责本单位智能工厂培育建设，据实开展智能制造能力成熟度自评估。</w:t>
      </w:r>
    </w:p>
    <w:p w14:paraId="13567A6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（二）自愿开展基础级、先进级、卓越级、领航级智能工厂申报，确保申报资料真实准确且不涉及国家秘密、商业秘密。</w:t>
      </w:r>
    </w:p>
    <w:p w14:paraId="63A7EA5A">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（三）负责本单位智能工厂总结评估，及时提交申报材料，配合开展现场核查与实地评价；配合做好技术推广、典型案例交流等工作。</w:t>
      </w:r>
    </w:p>
    <w:p w14:paraId="28E1F4DD">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Chars="0" w:right="0" w:rightChars="0"/>
        <w:jc w:val="center"/>
        <w:textAlignment w:val="auto"/>
        <w:rPr>
          <w:rFonts w:hint="eastAsia" w:eastAsia="黑体" w:cs="Times New Roman"/>
          <w:sz w:val="32"/>
          <w:szCs w:val="32"/>
          <w:highlight w:val="none"/>
          <w:lang w:val="en-US" w:eastAsia="zh-CN"/>
        </w:rPr>
      </w:pPr>
    </w:p>
    <w:p w14:paraId="1A008D4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Chars="0" w:right="0" w:rightChars="0"/>
        <w:jc w:val="center"/>
        <w:textAlignment w:val="auto"/>
        <w:rPr>
          <w:rFonts w:hint="eastAsia" w:ascii="黑体" w:hAnsi="黑体" w:eastAsia="黑体" w:cs="黑体"/>
          <w:b w:val="0"/>
          <w:bCs/>
          <w:i w:val="0"/>
          <w:iCs w:val="0"/>
          <w:caps w:val="0"/>
          <w:color w:val="auto"/>
          <w:spacing w:val="0"/>
          <w:kern w:val="0"/>
          <w:sz w:val="32"/>
          <w:szCs w:val="32"/>
          <w:highlight w:val="none"/>
          <w:lang w:val="en-US" w:eastAsia="zh-CN" w:bidi="ar"/>
        </w:rPr>
      </w:pPr>
      <w:r>
        <w:rPr>
          <w:rFonts w:hint="eastAsia" w:eastAsia="黑体" w:cs="Times New Roman"/>
          <w:sz w:val="32"/>
          <w:szCs w:val="32"/>
          <w:highlight w:val="none"/>
          <w:lang w:val="en-US" w:eastAsia="zh-CN"/>
        </w:rPr>
        <w:t xml:space="preserve">第三章 </w:t>
      </w:r>
      <w:r>
        <w:rPr>
          <w:rFonts w:hint="eastAsia" w:ascii="黑体" w:hAnsi="黑体" w:eastAsia="黑体" w:cs="黑体"/>
          <w:b w:val="0"/>
          <w:bCs/>
          <w:i w:val="0"/>
          <w:iCs w:val="0"/>
          <w:caps w:val="0"/>
          <w:color w:val="auto"/>
          <w:spacing w:val="0"/>
          <w:kern w:val="2"/>
          <w:sz w:val="32"/>
          <w:szCs w:val="32"/>
          <w:highlight w:val="none"/>
          <w:lang w:val="en-US" w:eastAsia="zh-CN" w:bidi="ar-SA"/>
        </w:rPr>
        <w:t>遴选与培育程序</w:t>
      </w:r>
    </w:p>
    <w:p w14:paraId="44B560E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p>
    <w:p w14:paraId="47E127A1">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default" w:ascii="黑体" w:hAnsi="黑体" w:eastAsia="黑体" w:cs="黑体"/>
          <w:sz w:val="32"/>
          <w:highlight w:val="none"/>
          <w:lang w:eastAsia="zh-CN"/>
        </w:rPr>
        <w:t>第八条</w:t>
      </w:r>
      <w:r>
        <w:rPr>
          <w:rFonts w:hint="eastAsia" w:ascii="Times New Roman" w:hAnsi="Times New Roman" w:eastAsia="仿宋_GB2312" w:cs="Times New Roman"/>
          <w:sz w:val="32"/>
          <w:highlight w:val="none"/>
          <w:lang w:val="en-US" w:eastAsia="zh-CN"/>
        </w:rPr>
        <w:t xml:space="preserve"> </w:t>
      </w:r>
      <w:r>
        <w:rPr>
          <w:rFonts w:hint="eastAsia" w:eastAsia="仿宋_GB2312" w:cs="Times New Roman"/>
          <w:sz w:val="32"/>
          <w:highlight w:val="none"/>
          <w:lang w:val="en-US" w:eastAsia="zh-CN"/>
        </w:rPr>
        <w:t xml:space="preserve"> </w:t>
      </w:r>
      <w:r>
        <w:rPr>
          <w:rFonts w:hint="eastAsia" w:eastAsia="仿宋_GB2312" w:cs="Times New Roman"/>
          <w:sz w:val="32"/>
          <w:highlight w:val="none"/>
          <w:lang w:eastAsia="zh-CN"/>
        </w:rPr>
        <w:t>按照工业和信息化部智能工厂培育工作要求，</w:t>
      </w:r>
      <w:r>
        <w:rPr>
          <w:rFonts w:hint="eastAsia" w:eastAsia="仿宋_GB2312" w:cs="Times New Roman"/>
          <w:sz w:val="32"/>
          <w:highlight w:val="none"/>
          <w:lang w:val="en-US" w:eastAsia="zh-CN"/>
        </w:rPr>
        <w:t>省级工业和信息化主管部门按程序发布年度通知，明确智能工厂申报要求和建设重点方向，指导各市开展智能工厂培育工作。</w:t>
      </w:r>
    </w:p>
    <w:p w14:paraId="20BD6285">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val="en-US" w:eastAsia="zh-CN"/>
        </w:rPr>
        <w:t xml:space="preserve">第九条  </w:t>
      </w:r>
      <w:r>
        <w:rPr>
          <w:rFonts w:hint="eastAsia" w:eastAsia="仿宋_GB2312" w:cs="Times New Roman"/>
          <w:sz w:val="32"/>
          <w:highlight w:val="none"/>
          <w:lang w:val="en-US" w:eastAsia="zh-CN"/>
        </w:rPr>
        <w:t>市级工业和信息化主管部门组织开展基础级智能工厂培育工作，主要程序如下：</w:t>
      </w:r>
    </w:p>
    <w:p w14:paraId="7D6908C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（一）按照省级工业和信息化主管部门通知要求组织开展本地区基础级智能工厂培育工作；</w:t>
      </w:r>
    </w:p>
    <w:p w14:paraId="3F6056A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（二）企业（建设单位）依照《智能工厂梯度培育要素条件》、《智能制造典型场景参考指引》、</w:t>
      </w:r>
      <w:r>
        <w:rPr>
          <w:rFonts w:hint="default" w:eastAsia="仿宋_GB2312" w:cs="Times New Roman"/>
          <w:sz w:val="32"/>
          <w:highlight w:val="none"/>
          <w:lang w:val="en-US" w:eastAsia="zh-CN"/>
        </w:rPr>
        <w:t>《智能工厂建设关键绩效指标参考》等</w:t>
      </w:r>
      <w:r>
        <w:rPr>
          <w:rFonts w:hint="eastAsia" w:eastAsia="仿宋_GB2312" w:cs="Times New Roman"/>
          <w:sz w:val="32"/>
          <w:highlight w:val="none"/>
          <w:lang w:val="en-US" w:eastAsia="zh-CN"/>
        </w:rPr>
        <w:t>国家</w:t>
      </w:r>
      <w:r>
        <w:rPr>
          <w:rFonts w:hint="default" w:eastAsia="仿宋_GB2312" w:cs="Times New Roman"/>
          <w:sz w:val="32"/>
          <w:highlight w:val="none"/>
          <w:lang w:val="en-US" w:eastAsia="zh-CN"/>
        </w:rPr>
        <w:t>标准规范</w:t>
      </w:r>
      <w:r>
        <w:rPr>
          <w:rFonts w:hint="eastAsia" w:eastAsia="仿宋_GB2312" w:cs="Times New Roman"/>
          <w:sz w:val="32"/>
          <w:highlight w:val="none"/>
          <w:lang w:val="en-US" w:eastAsia="zh-CN"/>
        </w:rPr>
        <w:t>，自主自愿开展智能工厂自评自建工作；</w:t>
      </w:r>
    </w:p>
    <w:p w14:paraId="0275FFA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（二）依据企业申请，市级工业和信息化主管部门对本地区已建成的智能工厂开展专家评审、现场抽查和公示。</w:t>
      </w:r>
    </w:p>
    <w:p w14:paraId="0B554B4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（三）公示无异议的，由市级工业和信息化主管部门发布基础级智能工厂培育名单，报省级工信部门备案。</w:t>
      </w:r>
    </w:p>
    <w:p w14:paraId="65B7ACB3">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val="en-US" w:eastAsia="zh-CN"/>
        </w:rPr>
        <w:t>第十条</w:t>
      </w:r>
      <w:r>
        <w:rPr>
          <w:rFonts w:hint="eastAsia" w:eastAsia="仿宋_GB2312" w:cs="Times New Roman"/>
          <w:sz w:val="32"/>
          <w:highlight w:val="none"/>
          <w:lang w:val="en-US" w:eastAsia="zh-CN"/>
        </w:rPr>
        <w:t xml:space="preserve">  省级工业和信息化主管部门组织开展先进级智能工厂培育工作，主要程序如下：</w:t>
      </w:r>
    </w:p>
    <w:p w14:paraId="2240053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（一）符合条件的智能工厂建设单位按照年度通知要求提出申请。</w:t>
      </w:r>
    </w:p>
    <w:p w14:paraId="3E529D4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（二）市级工业和信息化主管部门依据标准规范进行初审后，择优向省级工业和信息化主管部门推荐。</w:t>
      </w:r>
    </w:p>
    <w:p w14:paraId="629F7E28">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（三）省级工业和信息化主管部门依据标准规范，公平公正开展专家评审、现场抽查和公示。</w:t>
      </w:r>
    </w:p>
    <w:p w14:paraId="174337A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（四）公示无异议的，由省级工业和信息化主管部门发布名单，并报送工业和信息化部备案。</w:t>
      </w:r>
    </w:p>
    <w:p w14:paraId="0D2E51FD">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val="en-US" w:eastAsia="zh-CN"/>
        </w:rPr>
        <w:t xml:space="preserve"> 第十一条</w:t>
      </w:r>
      <w:r>
        <w:rPr>
          <w:rFonts w:hint="eastAsia" w:eastAsia="仿宋_GB2312" w:cs="Times New Roman"/>
          <w:sz w:val="32"/>
          <w:highlight w:val="none"/>
          <w:lang w:val="en-US" w:eastAsia="zh-CN"/>
        </w:rPr>
        <w:t xml:space="preserve">  卓越级智能工厂推荐程序：</w:t>
      </w:r>
    </w:p>
    <w:p w14:paraId="30D0058B">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（一）先进级智能工厂建设单位按照年度通知要求提出申请。</w:t>
      </w:r>
    </w:p>
    <w:p w14:paraId="6ECCC2CF">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（二）各市区工业和信息化主管部门会同市级发展改革、财政、国资、市场监管、数据主管部门依据标准规范进行初审后，择优向省级工业和信息化主管部门推荐。</w:t>
      </w:r>
    </w:p>
    <w:p w14:paraId="1C64E840">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eastAsia="zh-CN"/>
        </w:rPr>
      </w:pPr>
      <w:r>
        <w:rPr>
          <w:rFonts w:hint="eastAsia" w:eastAsia="仿宋_GB2312" w:cs="Times New Roman"/>
          <w:sz w:val="32"/>
          <w:highlight w:val="none"/>
          <w:lang w:val="en-US" w:eastAsia="zh-CN"/>
        </w:rPr>
        <w:t>（三）省级工业和信息化主管部门会同省级发展改革、财政、国资、市场监管、数据主管部门</w:t>
      </w:r>
      <w:r>
        <w:rPr>
          <w:rFonts w:hint="eastAsia" w:eastAsia="仿宋_GB2312" w:cs="Times New Roman"/>
          <w:sz w:val="32"/>
          <w:highlight w:val="none"/>
          <w:lang w:eastAsia="zh-CN"/>
        </w:rPr>
        <w:t>，公平公开开展专家推荐评审，现场抽查和公示。</w:t>
      </w:r>
    </w:p>
    <w:p w14:paraId="30D8DFE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（四）公示无异议的，由省级工业和信息化主管部门向工业和信息化部报送卓越级智能工厂推荐名单。</w:t>
      </w:r>
    </w:p>
    <w:p w14:paraId="487CC11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ascii="黑体" w:hAnsi="黑体" w:eastAsia="黑体" w:cs="黑体"/>
          <w:sz w:val="32"/>
          <w:highlight w:val="none"/>
          <w:lang w:val="en-US" w:eastAsia="zh-CN"/>
        </w:rPr>
        <w:t>第十二条</w:t>
      </w:r>
      <w:r>
        <w:rPr>
          <w:rFonts w:hint="eastAsia" w:eastAsia="仿宋_GB2312" w:cs="Times New Roman"/>
          <w:sz w:val="32"/>
          <w:highlight w:val="none"/>
          <w:lang w:val="en-US" w:eastAsia="zh-CN"/>
        </w:rPr>
        <w:t>  领航级智能工厂推荐程序：</w:t>
      </w:r>
    </w:p>
    <w:p w14:paraId="70EA8082">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卓越级智能工厂建设单位按照年度通知要求提出申请。</w:t>
      </w:r>
    </w:p>
    <w:p w14:paraId="4555EC98">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各市区工业和信息化主管部门会同本级发展改革、财政、国资、市场监管、数据主管部门依据标准规范进行初审后，择优向省级工业和信息化主管部门推荐。</w:t>
      </w:r>
    </w:p>
    <w:p w14:paraId="2496B874">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eastAsia="zh-CN"/>
        </w:rPr>
      </w:pPr>
      <w:r>
        <w:rPr>
          <w:rFonts w:hint="eastAsia" w:eastAsia="仿宋_GB2312" w:cs="Times New Roman"/>
          <w:sz w:val="32"/>
          <w:highlight w:val="none"/>
          <w:lang w:val="en-US" w:eastAsia="zh-CN"/>
        </w:rPr>
        <w:t>（三）省级工业和信息化主管部门会同省级发展改革、财政、国资、市场监管、数据主管部门</w:t>
      </w:r>
      <w:r>
        <w:rPr>
          <w:rFonts w:hint="eastAsia" w:eastAsia="仿宋_GB2312" w:cs="Times New Roman"/>
          <w:sz w:val="32"/>
          <w:highlight w:val="none"/>
          <w:lang w:eastAsia="zh-CN"/>
        </w:rPr>
        <w:t>，公平公开开展专家推荐评审，现场抽查和公示。</w:t>
      </w:r>
    </w:p>
    <w:p w14:paraId="55002532">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eastAsia" w:eastAsia="仿宋_GB2312" w:cs="Times New Roman"/>
          <w:sz w:val="32"/>
          <w:highlight w:val="none"/>
          <w:lang w:val="en-US" w:eastAsia="zh-CN"/>
        </w:rPr>
        <w:t>（四）公示无异议的，由省级工业和信息化主管部门向工业和信息化部报送领航级智能工厂推荐名单。</w:t>
      </w:r>
    </w:p>
    <w:p w14:paraId="4712182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黑体" w:hAnsi="黑体" w:eastAsia="黑体" w:cs="黑体"/>
          <w:sz w:val="32"/>
          <w:highlight w:val="none"/>
          <w:lang w:val="en-US" w:eastAsia="zh-CN"/>
        </w:rPr>
      </w:pPr>
    </w:p>
    <w:p w14:paraId="168E93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firstLine="0" w:firstLineChars="0"/>
        <w:jc w:val="center"/>
        <w:textAlignment w:val="auto"/>
        <w:rPr>
          <w:rFonts w:hint="default" w:ascii="黑体" w:hAnsi="黑体" w:eastAsia="黑体" w:cs="黑体"/>
          <w:b w:val="0"/>
          <w:bCs/>
          <w:i w:val="0"/>
          <w:iCs w:val="0"/>
          <w:caps w:val="0"/>
          <w:color w:val="auto"/>
          <w:spacing w:val="0"/>
          <w:kern w:val="0"/>
          <w:sz w:val="32"/>
          <w:szCs w:val="32"/>
          <w:highlight w:val="none"/>
          <w:lang w:val="en-US" w:eastAsia="zh-CN" w:bidi="ar"/>
        </w:rPr>
      </w:pPr>
      <w:r>
        <w:rPr>
          <w:rFonts w:hint="default" w:ascii="黑体" w:hAnsi="黑体" w:eastAsia="黑体" w:cs="黑体"/>
          <w:b w:val="0"/>
          <w:bCs/>
          <w:i w:val="0"/>
          <w:iCs w:val="0"/>
          <w:caps w:val="0"/>
          <w:color w:val="auto"/>
          <w:spacing w:val="0"/>
          <w:kern w:val="2"/>
          <w:sz w:val="32"/>
          <w:szCs w:val="32"/>
          <w:highlight w:val="none"/>
          <w:lang w:val="en-US" w:eastAsia="zh-CN" w:bidi="ar-SA"/>
        </w:rPr>
        <w:t>第</w:t>
      </w:r>
      <w:r>
        <w:rPr>
          <w:rFonts w:hint="eastAsia" w:ascii="黑体" w:hAnsi="黑体" w:eastAsia="黑体" w:cs="黑体"/>
          <w:b w:val="0"/>
          <w:bCs/>
          <w:i w:val="0"/>
          <w:iCs w:val="0"/>
          <w:caps w:val="0"/>
          <w:color w:val="auto"/>
          <w:spacing w:val="0"/>
          <w:kern w:val="2"/>
          <w:sz w:val="32"/>
          <w:szCs w:val="32"/>
          <w:highlight w:val="none"/>
          <w:lang w:val="en-US" w:eastAsia="zh-CN" w:bidi="ar-SA"/>
        </w:rPr>
        <w:t>四</w:t>
      </w:r>
      <w:r>
        <w:rPr>
          <w:rFonts w:hint="default" w:ascii="黑体" w:hAnsi="黑体" w:eastAsia="黑体" w:cs="黑体"/>
          <w:b w:val="0"/>
          <w:bCs/>
          <w:i w:val="0"/>
          <w:iCs w:val="0"/>
          <w:caps w:val="0"/>
          <w:color w:val="auto"/>
          <w:spacing w:val="0"/>
          <w:kern w:val="2"/>
          <w:sz w:val="32"/>
          <w:szCs w:val="32"/>
          <w:highlight w:val="none"/>
          <w:lang w:val="en-US" w:eastAsia="zh-CN" w:bidi="ar-SA"/>
        </w:rPr>
        <w:t>章 动态管理</w:t>
      </w:r>
    </w:p>
    <w:p w14:paraId="2DA02685">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480" w:firstLineChars="200"/>
        <w:textAlignment w:val="auto"/>
        <w:rPr>
          <w:rFonts w:hint="default" w:ascii="Times New Roman" w:hAnsi="Times New Roman" w:eastAsia="仿宋_GB2312" w:cs="Times New Roman"/>
          <w:sz w:val="24"/>
          <w:szCs w:val="21"/>
          <w:highlight w:val="none"/>
          <w:lang w:eastAsia="zh-CN"/>
        </w:rPr>
      </w:pPr>
    </w:p>
    <w:p w14:paraId="297A2415">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highlight w:val="none"/>
          <w:u w:val="none"/>
          <w:lang w:eastAsia="zh-CN"/>
        </w:rPr>
      </w:pPr>
      <w:r>
        <w:rPr>
          <w:rFonts w:hint="eastAsia" w:ascii="黑体" w:hAnsi="黑体" w:eastAsia="黑体" w:cs="黑体"/>
          <w:sz w:val="32"/>
          <w:highlight w:val="none"/>
          <w:lang w:val="en-US" w:eastAsia="zh-CN"/>
        </w:rPr>
        <w:t xml:space="preserve">第十三条 </w:t>
      </w:r>
      <w:r>
        <w:rPr>
          <w:rFonts w:hint="eastAsia" w:eastAsia="仿宋_GB2312" w:cs="Times New Roman"/>
          <w:sz w:val="32"/>
          <w:highlight w:val="none"/>
          <w:u w:val="none"/>
          <w:lang w:val="en-US" w:eastAsia="zh-CN"/>
        </w:rPr>
        <w:t xml:space="preserve"> 各级工业和信息化主管部门对智能工厂梯度培育情况开展动态管理。建设单位在有效期内</w:t>
      </w:r>
      <w:r>
        <w:rPr>
          <w:rFonts w:hint="eastAsia" w:eastAsia="仿宋_GB2312" w:cs="Times New Roman"/>
          <w:sz w:val="32"/>
          <w:highlight w:val="none"/>
          <w:u w:val="none"/>
          <w:lang w:eastAsia="zh-CN"/>
        </w:rPr>
        <w:t>经营状况</w:t>
      </w:r>
      <w:r>
        <w:rPr>
          <w:rFonts w:hint="default" w:ascii="Times New Roman" w:hAnsi="Times New Roman" w:eastAsia="仿宋_GB2312" w:cs="Times New Roman"/>
          <w:sz w:val="32"/>
          <w:highlight w:val="none"/>
          <w:u w:val="none"/>
          <w:lang w:eastAsia="zh-CN"/>
        </w:rPr>
        <w:t>发生</w:t>
      </w:r>
      <w:r>
        <w:rPr>
          <w:rFonts w:hint="eastAsia" w:eastAsia="仿宋_GB2312" w:cs="Times New Roman"/>
          <w:sz w:val="32"/>
          <w:highlight w:val="none"/>
          <w:u w:val="none"/>
          <w:lang w:eastAsia="zh-CN"/>
        </w:rPr>
        <w:t>重大变化的，应在</w:t>
      </w:r>
      <w:r>
        <w:rPr>
          <w:rFonts w:hint="eastAsia" w:eastAsia="仿宋_GB2312" w:cs="Times New Roman"/>
          <w:sz w:val="32"/>
          <w:highlight w:val="none"/>
          <w:u w:val="none"/>
          <w:lang w:val="en-US" w:eastAsia="zh-CN"/>
        </w:rPr>
        <w:t>3个月内</w:t>
      </w:r>
      <w:r>
        <w:rPr>
          <w:rFonts w:hint="eastAsia" w:eastAsia="仿宋_GB2312" w:cs="Times New Roman"/>
          <w:sz w:val="32"/>
          <w:highlight w:val="none"/>
          <w:u w:val="none"/>
          <w:lang w:eastAsia="zh-CN"/>
        </w:rPr>
        <w:t>上报备案</w:t>
      </w:r>
      <w:r>
        <w:rPr>
          <w:rFonts w:hint="default" w:ascii="Times New Roman" w:hAnsi="Times New Roman" w:eastAsia="仿宋_GB2312" w:cs="Times New Roman"/>
          <w:sz w:val="32"/>
          <w:highlight w:val="none"/>
          <w:u w:val="none"/>
          <w:lang w:eastAsia="zh-CN"/>
        </w:rPr>
        <w:t>。</w:t>
      </w:r>
    </w:p>
    <w:p w14:paraId="031F5C93">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default" w:ascii="Times New Roman" w:hAnsi="Times New Roman" w:eastAsia="仿宋_GB2312" w:cs="Times New Roman"/>
          <w:sz w:val="24"/>
          <w:szCs w:val="21"/>
          <w:highlight w:val="none"/>
          <w:u w:val="none"/>
          <w:lang w:val="en-US" w:eastAsia="zh-CN"/>
        </w:rPr>
      </w:pPr>
      <w:r>
        <w:rPr>
          <w:rFonts w:hint="eastAsia" w:ascii="黑体" w:hAnsi="黑体" w:eastAsia="黑体" w:cs="黑体"/>
          <w:sz w:val="32"/>
          <w:highlight w:val="none"/>
          <w:lang w:val="en-US" w:eastAsia="zh-CN"/>
        </w:rPr>
        <w:t xml:space="preserve">第十四条 </w:t>
      </w:r>
      <w:r>
        <w:rPr>
          <w:rFonts w:hint="eastAsia" w:eastAsia="仿宋_GB2312" w:cs="Times New Roman"/>
          <w:sz w:val="32"/>
          <w:highlight w:val="none"/>
          <w:u w:val="none"/>
          <w:lang w:val="en-US" w:eastAsia="zh-CN"/>
        </w:rPr>
        <w:t xml:space="preserve"> </w:t>
      </w:r>
      <w:r>
        <w:rPr>
          <w:rFonts w:hint="eastAsia" w:eastAsia="仿宋_GB2312" w:cs="Times New Roman"/>
          <w:sz w:val="32"/>
          <w:highlight w:val="none"/>
          <w:u w:val="none"/>
          <w:lang w:eastAsia="zh-CN"/>
        </w:rPr>
        <w:t>建设单位在智能工厂有效期内如发生较大安全（含网络、数据安全）、质量、环保等</w:t>
      </w:r>
      <w:r>
        <w:rPr>
          <w:rFonts w:hint="default" w:ascii="Times New Roman" w:hAnsi="Times New Roman" w:eastAsia="仿宋_GB2312" w:cs="Times New Roman"/>
          <w:sz w:val="32"/>
          <w:highlight w:val="none"/>
          <w:u w:val="none"/>
          <w:lang w:eastAsia="zh-CN"/>
        </w:rPr>
        <w:t>事故，</w:t>
      </w:r>
      <w:r>
        <w:rPr>
          <w:rFonts w:hint="eastAsia" w:eastAsia="仿宋_GB2312" w:cs="Times New Roman"/>
          <w:sz w:val="32"/>
          <w:highlight w:val="none"/>
          <w:u w:val="none"/>
          <w:lang w:eastAsia="zh-CN"/>
        </w:rPr>
        <w:t>或严重失信、偷漏税等违法违规行为，或智能工厂培育相关提交资料存在造假行为，</w:t>
      </w:r>
      <w:r>
        <w:rPr>
          <w:rFonts w:hint="eastAsia" w:eastAsia="仿宋_GB2312" w:cs="Times New Roman"/>
          <w:sz w:val="32"/>
          <w:highlight w:val="none"/>
          <w:lang w:eastAsia="zh-CN"/>
        </w:rPr>
        <w:t>由各级工业和信息化、国资、市场监管等主管部门进行相应处理。通过认定的取消认定，且至少</w:t>
      </w:r>
      <w:r>
        <w:rPr>
          <w:rFonts w:hint="eastAsia" w:eastAsia="仿宋_GB2312" w:cs="Times New Roman"/>
          <w:sz w:val="32"/>
          <w:highlight w:val="none"/>
          <w:lang w:val="en-US" w:eastAsia="zh-CN"/>
        </w:rPr>
        <w:t>3年内不得再次申报</w:t>
      </w:r>
      <w:r>
        <w:rPr>
          <w:rFonts w:hint="eastAsia" w:eastAsia="仿宋_GB2312" w:cs="Times New Roman"/>
          <w:sz w:val="32"/>
          <w:highlight w:val="none"/>
          <w:lang w:eastAsia="zh-CN"/>
        </w:rPr>
        <w:t>。</w:t>
      </w:r>
    </w:p>
    <w:p w14:paraId="6742BC0D">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default" w:ascii="黑体" w:hAnsi="黑体" w:eastAsia="黑体" w:cs="黑体"/>
          <w:sz w:val="32"/>
          <w:highlight w:val="none"/>
          <w:u w:val="none"/>
          <w:lang w:eastAsia="zh-CN"/>
        </w:rPr>
        <w:t>第十</w:t>
      </w:r>
      <w:r>
        <w:rPr>
          <w:rFonts w:hint="eastAsia" w:ascii="黑体" w:hAnsi="黑体" w:eastAsia="黑体" w:cs="黑体"/>
          <w:sz w:val="32"/>
          <w:highlight w:val="none"/>
          <w:u w:val="none"/>
          <w:lang w:eastAsia="zh-CN"/>
        </w:rPr>
        <w:t>五</w:t>
      </w:r>
      <w:r>
        <w:rPr>
          <w:rFonts w:hint="default" w:ascii="黑体" w:hAnsi="黑体" w:eastAsia="黑体" w:cs="黑体"/>
          <w:sz w:val="32"/>
          <w:highlight w:val="none"/>
          <w:u w:val="none"/>
          <w:lang w:eastAsia="zh-CN"/>
        </w:rPr>
        <w:t>条</w:t>
      </w:r>
      <w:r>
        <w:rPr>
          <w:rFonts w:hint="eastAsia" w:ascii="Times New Roman" w:hAnsi="Times New Roman" w:eastAsia="仿宋_GB2312" w:cs="Times New Roman"/>
          <w:sz w:val="32"/>
          <w:highlight w:val="none"/>
          <w:u w:val="none"/>
          <w:lang w:val="en-US" w:eastAsia="zh-CN"/>
        </w:rPr>
        <w:t xml:space="preserve"> </w:t>
      </w:r>
      <w:r>
        <w:rPr>
          <w:rFonts w:hint="eastAsia" w:ascii="华文仿宋" w:hAnsi="华文仿宋" w:eastAsia="华文仿宋" w:cs="华文仿宋"/>
          <w:sz w:val="32"/>
          <w:szCs w:val="32"/>
          <w:lang w:val="en-US" w:eastAsia="zh-CN"/>
        </w:rPr>
        <w:t xml:space="preserve"> </w:t>
      </w:r>
      <w:r>
        <w:rPr>
          <w:rFonts w:hint="eastAsia" w:eastAsia="仿宋_GB2312" w:cs="Times New Roman"/>
          <w:sz w:val="32"/>
          <w:highlight w:val="none"/>
          <w:lang w:val="en-US" w:eastAsia="zh-CN"/>
        </w:rPr>
        <w:t>先进级智能工厂有效期3年，建设单位应在有效期结束3个月前发起复核申请。省级工业和信息化主管部门</w:t>
      </w:r>
      <w:r>
        <w:rPr>
          <w:rFonts w:hint="default" w:ascii="Times New Roman" w:hAnsi="Times New Roman" w:eastAsia="仿宋_GB2312" w:cs="Times New Roman"/>
          <w:sz w:val="32"/>
          <w:highlight w:val="none"/>
          <w:u w:val="none"/>
          <w:lang w:eastAsia="zh-CN"/>
        </w:rPr>
        <w:t>委托</w:t>
      </w:r>
      <w:r>
        <w:rPr>
          <w:rFonts w:hint="eastAsia" w:eastAsia="仿宋_GB2312" w:cs="Times New Roman"/>
          <w:sz w:val="32"/>
          <w:highlight w:val="none"/>
          <w:u w:val="none"/>
          <w:lang w:eastAsia="zh-CN"/>
        </w:rPr>
        <w:t>具备条件的</w:t>
      </w:r>
      <w:r>
        <w:rPr>
          <w:rFonts w:hint="default" w:ascii="Times New Roman" w:hAnsi="Times New Roman" w:eastAsia="仿宋_GB2312" w:cs="Times New Roman"/>
          <w:sz w:val="32"/>
          <w:highlight w:val="none"/>
          <w:u w:val="none"/>
          <w:lang w:eastAsia="zh-CN"/>
        </w:rPr>
        <w:t>第三方</w:t>
      </w:r>
      <w:r>
        <w:rPr>
          <w:rFonts w:hint="eastAsia" w:eastAsia="仿宋_GB2312" w:cs="Times New Roman"/>
          <w:sz w:val="32"/>
          <w:highlight w:val="none"/>
          <w:u w:val="none"/>
          <w:lang w:eastAsia="zh-CN"/>
        </w:rPr>
        <w:t>支撑服务</w:t>
      </w:r>
      <w:r>
        <w:rPr>
          <w:rFonts w:hint="default" w:ascii="Times New Roman" w:hAnsi="Times New Roman" w:eastAsia="仿宋_GB2312" w:cs="Times New Roman"/>
          <w:sz w:val="32"/>
          <w:highlight w:val="none"/>
          <w:u w:val="none"/>
          <w:lang w:eastAsia="zh-CN"/>
        </w:rPr>
        <w:t>机构</w:t>
      </w:r>
      <w:r>
        <w:rPr>
          <w:rFonts w:hint="eastAsia" w:eastAsia="仿宋_GB2312" w:cs="Times New Roman"/>
          <w:sz w:val="32"/>
          <w:highlight w:val="none"/>
          <w:u w:val="none"/>
          <w:lang w:eastAsia="zh-CN"/>
        </w:rPr>
        <w:t>依据国家相关标准</w:t>
      </w:r>
      <w:r>
        <w:rPr>
          <w:rFonts w:hint="default" w:ascii="Times New Roman" w:hAnsi="Times New Roman" w:eastAsia="仿宋_GB2312" w:cs="Times New Roman"/>
          <w:sz w:val="32"/>
          <w:highlight w:val="none"/>
          <w:u w:val="none"/>
          <w:lang w:eastAsia="zh-CN"/>
        </w:rPr>
        <w:t>对</w:t>
      </w:r>
      <w:r>
        <w:rPr>
          <w:rFonts w:hint="eastAsia" w:eastAsia="仿宋_GB2312" w:cs="Times New Roman"/>
          <w:sz w:val="32"/>
          <w:highlight w:val="none"/>
          <w:u w:val="none"/>
          <w:lang w:eastAsia="zh-CN"/>
        </w:rPr>
        <w:t>企业智能制造能力水平</w:t>
      </w:r>
      <w:r>
        <w:rPr>
          <w:rFonts w:hint="default" w:ascii="Times New Roman" w:hAnsi="Times New Roman" w:eastAsia="仿宋_GB2312" w:cs="Times New Roman"/>
          <w:sz w:val="32"/>
          <w:highlight w:val="none"/>
          <w:u w:val="none"/>
          <w:lang w:eastAsia="zh-CN"/>
        </w:rPr>
        <w:t>开展</w:t>
      </w:r>
      <w:r>
        <w:rPr>
          <w:rFonts w:hint="eastAsia" w:eastAsia="仿宋_GB2312" w:cs="Times New Roman"/>
          <w:sz w:val="32"/>
          <w:highlight w:val="none"/>
          <w:u w:val="none"/>
          <w:lang w:eastAsia="zh-CN"/>
        </w:rPr>
        <w:t>复核</w:t>
      </w:r>
      <w:r>
        <w:rPr>
          <w:rFonts w:hint="default" w:ascii="Times New Roman" w:hAnsi="Times New Roman" w:eastAsia="仿宋_GB2312" w:cs="Times New Roman"/>
          <w:sz w:val="32"/>
          <w:highlight w:val="none"/>
          <w:u w:val="none"/>
          <w:lang w:eastAsia="zh-CN"/>
        </w:rPr>
        <w:t>评估</w:t>
      </w:r>
      <w:r>
        <w:rPr>
          <w:rFonts w:hint="eastAsia" w:eastAsia="仿宋_GB2312" w:cs="Times New Roman"/>
          <w:sz w:val="32"/>
          <w:highlight w:val="none"/>
          <w:u w:val="none"/>
          <w:lang w:eastAsia="zh-CN"/>
        </w:rPr>
        <w:t>工作</w:t>
      </w:r>
      <w:r>
        <w:rPr>
          <w:rFonts w:hint="default" w:ascii="Times New Roman" w:hAnsi="Times New Roman" w:eastAsia="仿宋_GB2312" w:cs="Times New Roman"/>
          <w:sz w:val="32"/>
          <w:highlight w:val="none"/>
          <w:u w:val="none"/>
          <w:lang w:eastAsia="zh-CN"/>
        </w:rPr>
        <w:t>，</w:t>
      </w:r>
      <w:r>
        <w:rPr>
          <w:rFonts w:hint="eastAsia" w:eastAsia="仿宋_GB2312" w:cs="Times New Roman"/>
          <w:sz w:val="32"/>
          <w:highlight w:val="none"/>
          <w:lang w:val="en-US" w:eastAsia="zh-CN"/>
        </w:rPr>
        <w:t>复核通过的有效期继续延长3年。基础级智能工厂有效期由市级工业和信息化主管部门根据情况另行确定，并负责动态管理具体工作。</w:t>
      </w:r>
      <w:r>
        <w:rPr>
          <w:rFonts w:hint="eastAsia" w:eastAsia="仿宋_GB2312" w:cs="Times New Roman"/>
          <w:sz w:val="32"/>
          <w:highlight w:val="none"/>
          <w:u w:val="none"/>
          <w:lang w:val="en-US" w:eastAsia="zh-CN"/>
        </w:rPr>
        <w:t>卓越级和领航级智能工厂成效评价管理参考工业和信息化部相关规定执行。</w:t>
      </w:r>
    </w:p>
    <w:p w14:paraId="6116E8D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Chars="0" w:right="0" w:rightChars="0"/>
        <w:jc w:val="both"/>
        <w:textAlignment w:val="auto"/>
        <w:rPr>
          <w:rFonts w:hint="default" w:ascii="黑体" w:hAnsi="黑体" w:eastAsia="黑体" w:cs="黑体"/>
          <w:b w:val="0"/>
          <w:bCs/>
          <w:i w:val="0"/>
          <w:iCs w:val="0"/>
          <w:caps w:val="0"/>
          <w:color w:val="auto"/>
          <w:spacing w:val="0"/>
          <w:kern w:val="2"/>
          <w:sz w:val="32"/>
          <w:szCs w:val="32"/>
          <w:highlight w:val="none"/>
          <w:lang w:val="en-US" w:eastAsia="zh-CN" w:bidi="ar-SA"/>
        </w:rPr>
      </w:pPr>
    </w:p>
    <w:p w14:paraId="34EFC91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Chars="0" w:right="0" w:rightChars="0"/>
        <w:jc w:val="center"/>
        <w:textAlignment w:val="auto"/>
        <w:rPr>
          <w:rFonts w:hint="default" w:ascii="黑体" w:hAnsi="黑体" w:eastAsia="黑体" w:cs="黑体"/>
          <w:b w:val="0"/>
          <w:bCs/>
          <w:i w:val="0"/>
          <w:iCs w:val="0"/>
          <w:caps w:val="0"/>
          <w:color w:val="auto"/>
          <w:spacing w:val="0"/>
          <w:kern w:val="0"/>
          <w:sz w:val="32"/>
          <w:szCs w:val="32"/>
          <w:highlight w:val="none"/>
          <w:lang w:val="en-US" w:eastAsia="zh-CN" w:bidi="ar"/>
        </w:rPr>
      </w:pPr>
      <w:r>
        <w:rPr>
          <w:rFonts w:hint="eastAsia" w:ascii="黑体" w:hAnsi="黑体" w:eastAsia="黑体" w:cs="黑体"/>
          <w:b w:val="0"/>
          <w:bCs/>
          <w:i w:val="0"/>
          <w:iCs w:val="0"/>
          <w:caps w:val="0"/>
          <w:color w:val="auto"/>
          <w:spacing w:val="0"/>
          <w:kern w:val="2"/>
          <w:sz w:val="32"/>
          <w:szCs w:val="32"/>
          <w:highlight w:val="none"/>
          <w:lang w:val="en-US" w:eastAsia="zh-CN" w:bidi="ar-SA"/>
        </w:rPr>
        <w:t xml:space="preserve">第五章 </w:t>
      </w:r>
      <w:r>
        <w:rPr>
          <w:rFonts w:hint="default" w:ascii="黑体" w:hAnsi="黑体" w:eastAsia="黑体" w:cs="黑体"/>
          <w:b w:val="0"/>
          <w:bCs/>
          <w:i w:val="0"/>
          <w:iCs w:val="0"/>
          <w:caps w:val="0"/>
          <w:color w:val="auto"/>
          <w:spacing w:val="0"/>
          <w:kern w:val="2"/>
          <w:sz w:val="32"/>
          <w:szCs w:val="32"/>
          <w:highlight w:val="none"/>
          <w:lang w:val="en-US" w:eastAsia="zh-CN" w:bidi="ar-SA"/>
        </w:rPr>
        <w:t>支持措施</w:t>
      </w:r>
    </w:p>
    <w:p w14:paraId="49D3710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rPr>
          <w:rFonts w:hint="default" w:ascii="黑体" w:hAnsi="黑体" w:eastAsia="黑体" w:cs="黑体"/>
          <w:i w:val="0"/>
          <w:iCs w:val="0"/>
          <w:caps w:val="0"/>
          <w:color w:val="auto"/>
          <w:spacing w:val="0"/>
          <w:kern w:val="0"/>
          <w:sz w:val="32"/>
          <w:szCs w:val="32"/>
          <w:highlight w:val="none"/>
          <w:lang w:val="en-US" w:eastAsia="zh-CN" w:bidi="ar"/>
        </w:rPr>
      </w:pPr>
    </w:p>
    <w:p w14:paraId="65143DE4">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ascii="黑体" w:hAnsi="黑体" w:eastAsia="黑体" w:cs="黑体"/>
          <w:sz w:val="32"/>
          <w:highlight w:val="none"/>
          <w:lang w:val="en-US" w:eastAsia="zh-CN"/>
        </w:rPr>
      </w:pPr>
      <w:r>
        <w:rPr>
          <w:rFonts w:hint="default" w:ascii="黑体" w:hAnsi="黑体" w:eastAsia="黑体" w:cs="黑体"/>
          <w:sz w:val="32"/>
          <w:highlight w:val="none"/>
          <w:lang w:eastAsia="zh-CN"/>
        </w:rPr>
        <w:t>第十</w:t>
      </w:r>
      <w:r>
        <w:rPr>
          <w:rFonts w:hint="eastAsia" w:ascii="黑体" w:hAnsi="黑体" w:eastAsia="黑体" w:cs="黑体"/>
          <w:sz w:val="32"/>
          <w:highlight w:val="none"/>
          <w:lang w:eastAsia="zh-CN"/>
        </w:rPr>
        <w:t>六</w:t>
      </w:r>
      <w:r>
        <w:rPr>
          <w:rFonts w:hint="default" w:ascii="黑体" w:hAnsi="黑体" w:eastAsia="黑体" w:cs="黑体"/>
          <w:sz w:val="32"/>
          <w:highlight w:val="none"/>
          <w:lang w:eastAsia="zh-CN"/>
        </w:rPr>
        <w:t>条</w:t>
      </w:r>
      <w:r>
        <w:rPr>
          <w:rFonts w:hint="eastAsia" w:ascii="黑体" w:hAnsi="黑体" w:eastAsia="黑体" w:cs="黑体"/>
          <w:sz w:val="32"/>
          <w:highlight w:val="none"/>
          <w:lang w:val="en-US" w:eastAsia="zh-CN"/>
        </w:rPr>
        <w:t xml:space="preserve">  </w:t>
      </w:r>
      <w:r>
        <w:rPr>
          <w:rFonts w:hint="eastAsia" w:ascii="Times New Roman" w:hAnsi="Times New Roman" w:eastAsia="仿宋_GB2312" w:cs="Times New Roman"/>
          <w:sz w:val="32"/>
          <w:lang w:val="en-US" w:eastAsia="zh-CN"/>
        </w:rPr>
        <w:t>省、市、区（县）各级相关部门加强协同联动，统筹运用产业、金融等政策工具支持智能工厂梯度培育，提高政策精准性和有效性。</w:t>
      </w:r>
    </w:p>
    <w:p w14:paraId="0E5E56AC">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eastAsia" w:eastAsia="仿宋_GB2312" w:cs="Times New Roman"/>
          <w:sz w:val="32"/>
          <w:highlight w:val="none"/>
          <w:lang w:val="en-US" w:eastAsia="zh-CN"/>
        </w:rPr>
      </w:pPr>
      <w:r>
        <w:rPr>
          <w:rFonts w:hint="default" w:ascii="黑体" w:hAnsi="黑体" w:eastAsia="黑体" w:cs="黑体"/>
          <w:sz w:val="32"/>
          <w:highlight w:val="none"/>
          <w:lang w:eastAsia="zh-CN"/>
        </w:rPr>
        <w:t>第十</w:t>
      </w:r>
      <w:r>
        <w:rPr>
          <w:rFonts w:hint="eastAsia" w:ascii="黑体" w:hAnsi="黑体" w:eastAsia="黑体" w:cs="黑体"/>
          <w:sz w:val="32"/>
          <w:highlight w:val="none"/>
          <w:lang w:eastAsia="zh-CN"/>
        </w:rPr>
        <w:t>七</w:t>
      </w:r>
      <w:r>
        <w:rPr>
          <w:rFonts w:hint="default" w:ascii="黑体" w:hAnsi="黑体" w:eastAsia="黑体" w:cs="黑体"/>
          <w:sz w:val="32"/>
          <w:highlight w:val="none"/>
          <w:lang w:eastAsia="zh-CN"/>
        </w:rPr>
        <w:t>条</w:t>
      </w:r>
      <w:r>
        <w:rPr>
          <w:rFonts w:hint="eastAsia" w:ascii="Times New Roman" w:hAnsi="Times New Roman" w:eastAsia="仿宋_GB2312" w:cs="Times New Roman"/>
          <w:sz w:val="32"/>
          <w:highlight w:val="none"/>
          <w:lang w:val="en-US" w:eastAsia="zh-CN"/>
        </w:rPr>
        <w:t xml:space="preserve"> </w:t>
      </w:r>
      <w:r>
        <w:rPr>
          <w:rFonts w:hint="eastAsia" w:ascii="Times New Roman" w:hAnsi="Times New Roman" w:eastAsia="仿宋_GB2312" w:cs="Times New Roman"/>
          <w:sz w:val="32"/>
        </w:rPr>
        <w:t>用好</w:t>
      </w:r>
      <w:r>
        <w:rPr>
          <w:rFonts w:hint="eastAsia" w:eastAsia="仿宋_GB2312" w:cs="Times New Roman"/>
          <w:sz w:val="32"/>
          <w:lang w:eastAsia="zh-CN"/>
        </w:rPr>
        <w:t>省级</w:t>
      </w:r>
      <w:r>
        <w:rPr>
          <w:rFonts w:hint="eastAsia" w:ascii="Times New Roman" w:hAnsi="Times New Roman" w:eastAsia="仿宋_GB2312" w:cs="Times New Roman"/>
          <w:sz w:val="32"/>
        </w:rPr>
        <w:t>制造业高质量发展</w:t>
      </w:r>
      <w:r>
        <w:rPr>
          <w:rFonts w:hint="eastAsia" w:eastAsia="仿宋_GB2312" w:cs="Times New Roman"/>
          <w:sz w:val="32"/>
          <w:lang w:eastAsia="zh-CN"/>
        </w:rPr>
        <w:t>相关</w:t>
      </w:r>
      <w:r>
        <w:rPr>
          <w:rFonts w:hint="eastAsia" w:ascii="Times New Roman" w:hAnsi="Times New Roman" w:eastAsia="仿宋_GB2312" w:cs="Times New Roman"/>
          <w:sz w:val="32"/>
        </w:rPr>
        <w:t>政策，对符合条件的智能</w:t>
      </w:r>
      <w:r>
        <w:rPr>
          <w:rFonts w:hint="eastAsia" w:eastAsia="仿宋_GB2312" w:cs="Times New Roman"/>
          <w:sz w:val="32"/>
          <w:lang w:eastAsia="zh-CN"/>
        </w:rPr>
        <w:t>工厂建设</w:t>
      </w:r>
      <w:r>
        <w:rPr>
          <w:rFonts w:hint="eastAsia" w:ascii="Times New Roman" w:hAnsi="Times New Roman" w:eastAsia="仿宋_GB2312" w:cs="Times New Roman"/>
          <w:sz w:val="32"/>
        </w:rPr>
        <w:t>项目给予支持。鼓励各</w:t>
      </w:r>
      <w:r>
        <w:rPr>
          <w:rFonts w:hint="eastAsia" w:eastAsia="仿宋_GB2312" w:cs="Times New Roman"/>
          <w:sz w:val="32"/>
          <w:lang w:eastAsia="zh-CN"/>
        </w:rPr>
        <w:t>市</w:t>
      </w:r>
      <w:r>
        <w:rPr>
          <w:rFonts w:hint="eastAsia" w:ascii="Times New Roman" w:hAnsi="Times New Roman" w:eastAsia="仿宋_GB2312" w:cs="Times New Roman"/>
          <w:sz w:val="32"/>
        </w:rPr>
        <w:t>区工业和信息化主管部门制定促进智能工厂梯度培育的相关支持政策</w:t>
      </w:r>
      <w:r>
        <w:rPr>
          <w:rFonts w:hint="eastAsia" w:ascii="Times New Roman" w:hAnsi="Times New Roman" w:eastAsia="仿宋_GB2312" w:cs="Times New Roman"/>
          <w:sz w:val="32"/>
          <w:lang w:eastAsia="zh-CN"/>
        </w:rPr>
        <w:t>。</w:t>
      </w:r>
    </w:p>
    <w:p w14:paraId="25B16441">
      <w:pPr>
        <w:pStyle w:val="2"/>
        <w:rPr>
          <w:rFonts w:hint="default"/>
          <w:lang w:val="en-US" w:eastAsia="zh-CN"/>
        </w:rPr>
      </w:pPr>
    </w:p>
    <w:p w14:paraId="0ADA54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Autospacing="0" w:line="560" w:lineRule="exact"/>
        <w:ind w:left="0" w:leftChars="0" w:right="0" w:firstLine="0" w:firstLineChars="0"/>
        <w:jc w:val="center"/>
        <w:textAlignment w:val="auto"/>
        <w:rPr>
          <w:rFonts w:hint="default" w:ascii="黑体" w:hAnsi="黑体" w:eastAsia="黑体" w:cs="黑体"/>
          <w:b w:val="0"/>
          <w:bCs/>
          <w:i w:val="0"/>
          <w:iCs w:val="0"/>
          <w:caps w:val="0"/>
          <w:color w:val="auto"/>
          <w:spacing w:val="0"/>
          <w:kern w:val="2"/>
          <w:sz w:val="32"/>
          <w:szCs w:val="32"/>
          <w:highlight w:val="none"/>
          <w:lang w:val="en-US" w:eastAsia="zh-CN" w:bidi="ar-SA"/>
        </w:rPr>
      </w:pPr>
      <w:r>
        <w:rPr>
          <w:rFonts w:hint="default" w:ascii="黑体" w:hAnsi="黑体" w:eastAsia="黑体" w:cs="黑体"/>
          <w:b w:val="0"/>
          <w:bCs/>
          <w:i w:val="0"/>
          <w:iCs w:val="0"/>
          <w:caps w:val="0"/>
          <w:color w:val="auto"/>
          <w:spacing w:val="0"/>
          <w:kern w:val="2"/>
          <w:sz w:val="32"/>
          <w:szCs w:val="32"/>
          <w:highlight w:val="none"/>
          <w:lang w:val="en-US" w:eastAsia="zh-CN" w:bidi="ar-SA"/>
        </w:rPr>
        <w:t>第六章 附则</w:t>
      </w:r>
    </w:p>
    <w:p w14:paraId="495B1BEC">
      <w:pPr>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textAlignment w:val="auto"/>
        <w:rPr>
          <w:rFonts w:hint="default" w:ascii="Times New Roman" w:hAnsi="Times New Roman" w:eastAsia="仿宋_GB2312" w:cs="Times New Roman"/>
          <w:sz w:val="32"/>
          <w:lang w:val="en-US" w:eastAsia="zh-CN"/>
        </w:rPr>
      </w:pPr>
    </w:p>
    <w:p w14:paraId="51451E39">
      <w:r>
        <w:rPr>
          <w:rFonts w:hint="eastAsia" w:ascii="黑体" w:hAnsi="黑体" w:eastAsia="黑体" w:cs="黑体"/>
          <w:sz w:val="32"/>
          <w:highlight w:val="none"/>
          <w:lang w:eastAsia="zh-CN"/>
        </w:rPr>
        <w:t>第十八条</w:t>
      </w:r>
      <w:r>
        <w:rPr>
          <w:rFonts w:hint="eastAsia" w:eastAsia="仿宋_GB2312" w:cs="Times New Roman"/>
          <w:sz w:val="32"/>
          <w:lang w:val="en-US" w:eastAsia="zh-CN"/>
        </w:rPr>
        <w:t xml:space="preserve">  </w:t>
      </w:r>
      <w:r>
        <w:rPr>
          <w:rFonts w:hint="default" w:ascii="Times New Roman" w:hAnsi="Times New Roman" w:eastAsia="仿宋_GB2312" w:cs="Times New Roman"/>
          <w:sz w:val="32"/>
          <w:lang w:eastAsia="zh-CN"/>
        </w:rPr>
        <w:t>本办法由</w:t>
      </w:r>
      <w:r>
        <w:rPr>
          <w:rFonts w:hint="eastAsia" w:ascii="Times New Roman" w:hAnsi="Times New Roman" w:eastAsia="仿宋_GB2312" w:cs="Times New Roman"/>
          <w:sz w:val="32"/>
          <w:lang w:eastAsia="zh-CN"/>
        </w:rPr>
        <w:t>省工业和信息化厅</w:t>
      </w:r>
      <w:r>
        <w:rPr>
          <w:rFonts w:hint="default" w:ascii="Times New Roman" w:hAnsi="Times New Roman" w:eastAsia="仿宋_GB2312" w:cs="Times New Roman"/>
          <w:sz w:val="32"/>
          <w:lang w:eastAsia="zh-CN"/>
        </w:rPr>
        <w:t>负责解释，自</w:t>
      </w:r>
      <w:r>
        <w:rPr>
          <w:rFonts w:hint="eastAsia" w:ascii="Times New Roman" w:hAnsi="Times New Roman" w:eastAsia="仿宋_GB2312" w:cs="Times New Roman"/>
          <w:sz w:val="32"/>
          <w:lang w:eastAsia="zh-CN"/>
        </w:rPr>
        <w:t>印发</w:t>
      </w:r>
      <w:r>
        <w:rPr>
          <w:rFonts w:hint="default" w:ascii="Times New Roman" w:hAnsi="Times New Roman" w:eastAsia="仿宋_GB2312" w:cs="Times New Roman"/>
          <w:sz w:val="32"/>
          <w:lang w:eastAsia="zh-CN"/>
        </w:rPr>
        <w:t>布之日起施行。</w:t>
      </w:r>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国标楷体">
    <w:altName w:val="楷体_GB2312"/>
    <w:panose1 w:val="020005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5FE36D"/>
    <w:multiLevelType w:val="singleLevel"/>
    <w:tmpl w:val="DA5FE36D"/>
    <w:lvl w:ilvl="0" w:tentative="0">
      <w:start w:val="1"/>
      <w:numFmt w:val="chineseCounting"/>
      <w:suff w:val="space"/>
      <w:lvlText w:val="第%1章"/>
      <w:lvlJc w:val="left"/>
      <w:rPr>
        <w:rFonts w:hint="eastAsia"/>
      </w:rPr>
    </w:lvl>
  </w:abstractNum>
  <w:abstractNum w:abstractNumId="1">
    <w:nsid w:val="F4DAE718"/>
    <w:multiLevelType w:val="singleLevel"/>
    <w:tmpl w:val="F4DAE71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796672"/>
    <w:rsid w:val="29477D78"/>
    <w:rsid w:val="34796672"/>
    <w:rsid w:val="4C04246E"/>
    <w:rsid w:val="75716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autoSpaceDE w:val="0"/>
      <w:autoSpaceDN w:val="0"/>
      <w:jc w:val="left"/>
    </w:pPr>
    <w:rPr>
      <w:rFonts w:ascii="Noto Sans CJK JP Regular" w:hAnsi="Noto Sans CJK JP Regular" w:eastAsia="Noto Sans CJK JP Regular" w:cs="Noto Sans CJK JP Regular"/>
      <w:kern w:val="0"/>
      <w:sz w:val="32"/>
      <w:szCs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2026-09-14T01:21:00Z</dcterms:created>
  <dc:creator>WPS_1508635159</dc:creator>
  <cp:lastModifiedBy>WPS_1508635159</cp:lastModifiedBy>
  <dcterms:modified xsi:type="dcterms:W3CDTF">2026-09-14T01:21:39Z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5C9B1D4651FE4A54B2303FCFE80B5D88_11</vt:lpwstr>
  </property>
  <property fmtid="{D5CDD505-2E9C-101B-9397-08002B2CF9AE}" pid="4" name="KSOTemplateDocerSaveRecord">
    <vt:lpwstr>eyJoZGlkIjoiNzBhNWUzN2FjZDhmY2Y5MGNhMjU3NjgxODdmZjI0ZjEiLCJ1c2VySWQiOiIzMTU1MzA4ODgifQ==</vt:lpwstr>
  </property>
</Properties>
</file>