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autoSpaceDE w:val="0"/>
        <w:autoSpaceDN/>
        <w:bidi w:val="0"/>
        <w:adjustRightInd w:val="0"/>
        <w:snapToGrid w:val="0"/>
        <w:spacing w:before="0" w:beforeAutospacing="0" w:after="0" w:afterAutospacing="0" w:line="576" w:lineRule="exact"/>
        <w:jc w:val="center"/>
        <w:textAlignment w:val="auto"/>
        <w:rPr>
          <w:rFonts w:hint="eastAsia" w:ascii="Times New Roman" w:hAnsi="Times New Roman" w:eastAsia="方正小标宋简体" w:cs="Times New Roman"/>
          <w:spacing w:val="-11"/>
          <w:kern w:val="0"/>
          <w:sz w:val="44"/>
          <w:szCs w:val="44"/>
          <w:lang w:val="en-US" w:eastAsia="zh-CN" w:bidi="ar-SA"/>
        </w:rPr>
      </w:pPr>
      <w:r>
        <w:rPr>
          <w:rFonts w:hint="eastAsia" w:ascii="Times New Roman" w:hAnsi="Times New Roman" w:eastAsia="方正小标宋简体" w:cs="Times New Roman"/>
          <w:spacing w:val="-11"/>
          <w:kern w:val="0"/>
          <w:sz w:val="44"/>
          <w:szCs w:val="44"/>
          <w:lang w:val="en-US" w:eastAsia="zh-CN" w:bidi="ar-SA"/>
        </w:rPr>
        <w:t>九江市化工行业投资项目管理</w:t>
      </w:r>
      <w:r>
        <w:rPr>
          <w:rFonts w:hint="eastAsia" w:ascii="Times New Roman" w:hAnsi="Times New Roman" w:eastAsia="方正小标宋简体" w:cs="Times New Roman"/>
          <w:spacing w:val="-11"/>
          <w:kern w:val="0"/>
          <w:sz w:val="44"/>
          <w:szCs w:val="44"/>
          <w:lang w:val="en-US" w:eastAsia="zh-CN" w:bidi="ar-SA"/>
        </w:rPr>
        <w:t>办法</w:t>
      </w:r>
      <w:r>
        <w:rPr>
          <w:rFonts w:hint="eastAsia" w:ascii="Times New Roman" w:hAnsi="Times New Roman" w:eastAsia="方正小标宋简体" w:cs="Times New Roman"/>
          <w:spacing w:val="-11"/>
          <w:kern w:val="0"/>
          <w:sz w:val="44"/>
          <w:szCs w:val="44"/>
          <w:lang w:val="en-US" w:eastAsia="zh-CN" w:bidi="ar-SA"/>
        </w:rPr>
        <w:t>（试行）</w:t>
      </w:r>
    </w:p>
    <w:p>
      <w:pPr>
        <w:keepNext w:val="0"/>
        <w:keepLines w:val="0"/>
        <w:pageBreakBefore w:val="0"/>
        <w:widowControl w:val="0"/>
        <w:kinsoku/>
        <w:wordWrap/>
        <w:overflowPunct w:val="0"/>
        <w:topLinePunct w:val="0"/>
        <w:autoSpaceDE/>
        <w:autoSpaceDN/>
        <w:bidi w:val="0"/>
        <w:adjustRightInd/>
        <w:snapToGrid/>
        <w:spacing w:line="576" w:lineRule="exact"/>
        <w:jc w:val="center"/>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w w:val="98"/>
          <w:sz w:val="32"/>
          <w:szCs w:val="32"/>
          <w:lang w:val="en-US" w:eastAsia="zh-CN"/>
        </w:rPr>
        <w:t>（征求意见稿）</w:t>
      </w:r>
    </w:p>
    <w:p>
      <w:pPr>
        <w:keepNext w:val="0"/>
        <w:keepLines w:val="0"/>
        <w:pageBreakBefore w:val="0"/>
        <w:widowControl w:val="0"/>
        <w:shd w:val="clear" w:color="auto" w:fill="FFFFFF"/>
        <w:kinsoku/>
        <w:wordWrap/>
        <w:topLinePunct w:val="0"/>
        <w:autoSpaceDE w:val="0"/>
        <w:autoSpaceDN/>
        <w:bidi w:val="0"/>
        <w:adjustRightInd w:val="0"/>
        <w:snapToGrid w:val="0"/>
        <w:spacing w:before="0" w:beforeAutospacing="0" w:after="0" w:afterAutospacing="0" w:line="576" w:lineRule="exact"/>
        <w:jc w:val="center"/>
        <w:textAlignment w:val="auto"/>
        <w:outlineLvl w:val="0"/>
        <w:rPr>
          <w:rFonts w:hint="eastAsia" w:ascii="仿宋_GB2312" w:hAnsi="仿宋_GB2312" w:eastAsia="仿宋_GB2312" w:cs="仿宋_GB2312"/>
          <w:b w:val="0"/>
          <w:bCs/>
          <w:kern w:val="44"/>
          <w:sz w:val="32"/>
          <w:szCs w:val="32"/>
          <w:lang w:val="en-US" w:eastAsia="zh-CN" w:bidi="ar-SA"/>
        </w:rPr>
      </w:pPr>
    </w:p>
    <w:p>
      <w:pPr>
        <w:keepNext w:val="0"/>
        <w:keepLines w:val="0"/>
        <w:pageBreakBefore w:val="0"/>
        <w:widowControl w:val="0"/>
        <w:shd w:val="clear" w:color="auto" w:fill="FFFFFF"/>
        <w:kinsoku/>
        <w:wordWrap/>
        <w:topLinePunct w:val="0"/>
        <w:autoSpaceDE w:val="0"/>
        <w:autoSpaceDN/>
        <w:bidi w:val="0"/>
        <w:adjustRightInd w:val="0"/>
        <w:snapToGrid w:val="0"/>
        <w:spacing w:before="0" w:beforeAutospacing="0" w:after="0" w:afterAutospacing="0" w:line="576" w:lineRule="exact"/>
        <w:jc w:val="center"/>
        <w:textAlignment w:val="auto"/>
        <w:outlineLvl w:val="0"/>
        <w:rPr>
          <w:rFonts w:hint="eastAsia" w:ascii="宋体" w:hAnsi="宋体" w:eastAsia="宋体" w:cs="宋体"/>
          <w:b/>
          <w:bCs/>
          <w:kern w:val="44"/>
          <w:sz w:val="48"/>
          <w:szCs w:val="48"/>
          <w:lang w:val="en-US" w:eastAsia="zh-CN" w:bidi="ar"/>
        </w:rPr>
      </w:pPr>
      <w:r>
        <w:rPr>
          <w:rFonts w:hint="eastAsia" w:ascii="Times New Roman" w:hAnsi="Times New Roman" w:eastAsia="黑体" w:cs="Times New Roman"/>
          <w:b w:val="0"/>
          <w:bCs/>
          <w:kern w:val="44"/>
          <w:sz w:val="32"/>
          <w:szCs w:val="32"/>
          <w:lang w:val="en-US" w:eastAsia="zh-CN" w:bidi="ar-SA"/>
        </w:rPr>
        <w:t>第一章 总 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第一条 为完整、准确、全面贯彻新发展理念，进一步加强和规范全市化工行业投资项目管理，根据《中华人民共和国危险化学品安全法》，工业和信息化部等六部门联合印发的《化工园区建设标准和认定管理办法（试行）》（工信部联原〔2021〕220号）《江西省化工行业规范化管理办法》（赣工信规字〔2025〕1号）等有关规定，结合本市实际，制定本办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第二条 本办法所称化工行业投资项目，是指在本市行政区域内，企业实施的化工行业新建、扩建、改建、技术改造等固定资产投资项目。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本办法所称新建，是指从无到有开始建设的化工项目；原有基础很小且新增固定资产价值超原值3倍以上的化工项目也视为新建。</w:t>
      </w:r>
    </w:p>
    <w:p>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sz w:val="32"/>
          <w:szCs w:val="32"/>
          <w:lang w:val="en-US" w:eastAsia="zh-CN"/>
        </w:rPr>
        <w:t>本办法所称扩建，</w:t>
      </w:r>
      <w:r>
        <w:rPr>
          <w:rFonts w:hint="eastAsia" w:ascii="仿宋_GB2312" w:hAnsi="仿宋_GB2312" w:eastAsia="仿宋_GB2312" w:cs="仿宋_GB2312"/>
          <w:b w:val="0"/>
          <w:bCs w:val="0"/>
          <w:color w:val="000000"/>
          <w:kern w:val="0"/>
          <w:sz w:val="32"/>
          <w:szCs w:val="32"/>
          <w:lang w:val="en-US" w:eastAsia="zh-CN" w:bidi="ar"/>
        </w:rPr>
        <w:t>是指在原厂区范围或其他地点，为扩大原有产品的生产能力（或效益）或增加新的产品生产能力，而增建的生产车间（或主要工程）、分厂、独立的生产线等投资行为。</w:t>
      </w:r>
    </w:p>
    <w:p>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kern w:val="0"/>
          <w:sz w:val="32"/>
          <w:szCs w:val="32"/>
          <w:lang w:val="en-US" w:eastAsia="zh-CN" w:bidi="ar"/>
        </w:rPr>
        <w:t>本办法所称改建，指现有企业为适应市场变化需要改变主要产品种类，或因原有生产作业线各工序之间能力不平衡，为填平补齐充分发挥原有生产能力而增建但不增加主要产品生产能力的建设项目的</w:t>
      </w:r>
      <w:r>
        <w:rPr>
          <w:rFonts w:hint="eastAsia" w:ascii="仿宋_GB2312" w:hAnsi="仿宋_GB2312" w:eastAsia="仿宋_GB2312" w:cs="仿宋_GB2312"/>
          <w:b w:val="0"/>
          <w:bCs w:val="0"/>
          <w:color w:val="000000"/>
          <w:sz w:val="32"/>
          <w:szCs w:val="32"/>
          <w:lang w:val="en-US" w:eastAsia="zh-CN"/>
        </w:rPr>
        <w:t>投资行为。</w:t>
      </w:r>
    </w:p>
    <w:p>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本办法所称技术改造，是指现有企业采用新技术、新工艺、新设备、新材料，对现有设施、工艺条件及生产服务等进行改造提升，实现内涵式发展的投资行为。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firstLine="640" w:firstLineChars="200"/>
        <w:jc w:val="left"/>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lang w:val="en-US" w:eastAsia="zh-CN"/>
        </w:rPr>
        <w:t>第三条  本办法适用于本市行政区域内化工行业投资项目的准入、布局、审批、建设等。</w:t>
      </w:r>
    </w:p>
    <w:p>
      <w:pPr>
        <w:pStyle w:val="3"/>
        <w:keepNext w:val="0"/>
        <w:keepLines w:val="0"/>
        <w:pageBreakBefore w:val="0"/>
        <w:widowControl w:val="0"/>
        <w:shd w:val="clear" w:color="auto" w:fill="FFFFFF"/>
        <w:kinsoku/>
        <w:wordWrap/>
        <w:topLinePunct w:val="0"/>
        <w:autoSpaceDE w:val="0"/>
        <w:autoSpaceDN/>
        <w:bidi w:val="0"/>
        <w:adjustRightInd w:val="0"/>
        <w:snapToGrid w:val="0"/>
        <w:spacing w:before="0" w:beforeAutospacing="0" w:after="0" w:afterAutospacing="0" w:line="576" w:lineRule="exact"/>
        <w:jc w:val="center"/>
        <w:textAlignment w:val="auto"/>
        <w:outlineLvl w:val="0"/>
        <w:rPr>
          <w:rFonts w:hint="eastAsia" w:ascii="Times New Roman" w:hAnsi="Times New Roman" w:eastAsia="黑体" w:cs="Times New Roman"/>
          <w:b w:val="0"/>
          <w:sz w:val="32"/>
          <w:szCs w:val="32"/>
          <w:lang w:val="en-US" w:eastAsia="zh-CN" w:bidi="ar-SA"/>
        </w:rPr>
      </w:pPr>
      <w:r>
        <w:rPr>
          <w:rFonts w:hint="eastAsia" w:ascii="Times New Roman" w:hAnsi="Times New Roman" w:eastAsia="黑体" w:cs="Times New Roman"/>
          <w:b w:val="0"/>
          <w:sz w:val="32"/>
          <w:szCs w:val="32"/>
          <w:lang w:val="en-US" w:eastAsia="zh-CN" w:bidi="ar-SA"/>
        </w:rPr>
        <w:t>第二章 化工投资项目规范化管理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第四条 严格执行《中华人民共和国长江保护法》、长江经济带发展负面清单等要求，严禁在长江干支流及重要湖泊岸线1公里范围内新建、扩建化工项目；严禁以改建、技术改造等名义变相在长江干支流及重要湖泊岸线1公里范围内新建、扩建化工项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第五条 严格执行《产业结构调整指导目录（2024 年本）》。支持建设国家《产业结构调整指导目录（2024版》鼓励类项目，严禁建设淘汰类项目。对属于《产业结构调整指导目录（2024版》限制类的新建项目，投资管理部门不予审批、核准，自然资源、建设、生态环境、水利、市场监管、消防、海关等部门不得办理有关手续；对能效未达到最新版《工业重点领域能效标杆水平和基准水平》中标杆水平的新建项目，参照限制类管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第六条 新建、扩建化工生产项目必须经市发改、工信、应急、生态环境、自然资源等五部门联合窗口指导通过后，方可予以立项。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第七条 新建危险化学品生产项目必须进入一般风险或较低风险的化工园区（与其他行业生产装置配套建设的项目除外），引导其他石化化工项目在化工园区发展。除为化工企业提供配套服务的企业外，非化工企业禁止进入化工园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第八条  经认定的化工重点监测点企业，在项目审批、建设和管理方面，参照一般风险或较低风险化工园区内企业执行；国家有其他规定的，从其规定。</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rightChars="0" w:firstLine="640" w:firstLineChars="200"/>
        <w:jc w:val="left"/>
        <w:textAlignment w:val="auto"/>
        <w:outlineLvl w:val="2"/>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kern w:val="0"/>
          <w:sz w:val="32"/>
          <w:szCs w:val="32"/>
          <w:lang w:val="en-US" w:eastAsia="zh-CN" w:bidi="ar"/>
        </w:rPr>
        <w:t xml:space="preserve">第九条  </w:t>
      </w:r>
      <w:r>
        <w:rPr>
          <w:rFonts w:hint="eastAsia" w:ascii="仿宋_GB2312" w:hAnsi="仿宋_GB2312" w:eastAsia="仿宋_GB2312" w:cs="仿宋_GB2312"/>
          <w:b w:val="0"/>
          <w:bCs w:val="0"/>
          <w:color w:val="000000"/>
          <w:sz w:val="32"/>
          <w:szCs w:val="32"/>
          <w:lang w:val="en-US" w:eastAsia="zh-CN"/>
        </w:rPr>
        <w:t>化工园区外未认定为化工重点监测点的危险化学品生产企业，对在役危险化学品生产装置（设施），更新危险化学品种类的，应符合以下条件：</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rightChars="0" w:firstLine="640" w:firstLineChars="200"/>
        <w:jc w:val="left"/>
        <w:textAlignment w:val="auto"/>
        <w:outlineLvl w:val="2"/>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kern w:val="0"/>
          <w:sz w:val="32"/>
          <w:szCs w:val="32"/>
          <w:lang w:val="en-US" w:eastAsia="zh-CN" w:bidi="ar"/>
        </w:rPr>
        <w:t>（一）</w:t>
      </w:r>
      <w:r>
        <w:rPr>
          <w:rFonts w:hint="eastAsia" w:ascii="仿宋_GB2312" w:hAnsi="仿宋_GB2312" w:eastAsia="仿宋_GB2312" w:cs="仿宋_GB2312"/>
          <w:b w:val="0"/>
          <w:bCs w:val="0"/>
          <w:color w:val="000000"/>
          <w:sz w:val="32"/>
          <w:szCs w:val="32"/>
          <w:lang w:val="en-US" w:eastAsia="zh-CN"/>
        </w:rPr>
        <w:t>主要污染物排放总量不增加；</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rightChars="0" w:firstLine="640" w:firstLineChars="200"/>
        <w:jc w:val="left"/>
        <w:textAlignment w:val="auto"/>
        <w:outlineLvl w:val="2"/>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（二）企业安全生产标准化等级已达到二级；</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rightChars="0" w:firstLine="640" w:firstLineChars="200"/>
        <w:jc w:val="left"/>
        <w:textAlignment w:val="auto"/>
        <w:outlineLvl w:val="2"/>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（三）在原址上进行，可进行部分生产装置（设施）的改造提升，主要产品产能不超过被替换产品产能；</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rightChars="0" w:firstLine="640" w:firstLineChars="200"/>
        <w:jc w:val="left"/>
        <w:textAlignment w:val="auto"/>
        <w:outlineLvl w:val="2"/>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（四）产品更新项目不得涉及剧毒化学品生产，不得新增涉及硝化、氯化、氟化、重氮化、过氧化、光气化等六类危险化工工艺，不得新增一、二级重大危险源；</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rightChars="0" w:firstLine="640" w:firstLineChars="200"/>
        <w:jc w:val="left"/>
        <w:textAlignment w:val="auto"/>
        <w:outlineLvl w:val="2"/>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（五）原则上更新后产品与被替换产品应属于《2017国民经济行业分类》（GB/T4754—2017）同一小类。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第十条 符合下列情形之一的非危险化学品生产项目，除国家另有规定外，可在较低风险或一般风险化工园区、化工集中区、化工重点监测点之外的合规产业园区内实施。所建项目应符合当地规划环评、产业规划要求，属于技术水平国内先进，经济效益前景良好，原则上投资额不低于2千万的与当地产业链配套的强链延链补链项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（一）环境影响评价类别为报告表、登记表的非危险化学品生产项目；</w:t>
      </w:r>
    </w:p>
    <w:p>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（二）生产工艺为物理过程，不涉及化学反应，整个工艺过程不涉及剧毒品、重点监管的危险化学品，中间产品和产品未列入《危险化学品目录》或经鉴定不属于危险化学品的生产项目；</w:t>
      </w:r>
    </w:p>
    <w:p>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三）新建有色金属加工冶炼项目配套制酸；加氢站、制氢加氢一体站、加氢站30公里内配套电解水制氢的供气站、太阳能和风能等可再生能源制氢、“风-光-氢一体化”项目；不涉及易燃气体的的配套空分装置。</w:t>
      </w:r>
    </w:p>
    <w:p>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第十一条 在非化工园区建设的非危险化学品生产项目，应入驻合规园区内专属区域，严禁零散布点、分散落户、无序建设。</w:t>
      </w:r>
    </w:p>
    <w:p>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第十二条 化工项目必须严格按照审批内容实施，严禁未批先建、批建不符、违规选址、变相建设。</w:t>
      </w:r>
    </w:p>
    <w:p>
      <w:pPr>
        <w:pageBreakBefore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第十三条 项目建设单位依法履行主体责任，严格遵守产业政策、安全环保、节能降耗、规划选址等各项规定，全面落实安全设施、污染治理设施与主体工程同时设计、同时施工、同时投入使用制度。</w:t>
      </w:r>
    </w:p>
    <w:p>
      <w:pPr>
        <w:pStyle w:val="3"/>
        <w:keepNext w:val="0"/>
        <w:keepLines w:val="0"/>
        <w:pageBreakBefore w:val="0"/>
        <w:widowControl w:val="0"/>
        <w:shd w:val="clear" w:color="auto" w:fill="FFFFFF"/>
        <w:kinsoku/>
        <w:wordWrap/>
        <w:topLinePunct w:val="0"/>
        <w:autoSpaceDE w:val="0"/>
        <w:autoSpaceDN/>
        <w:bidi w:val="0"/>
        <w:adjustRightInd w:val="0"/>
        <w:snapToGrid w:val="0"/>
        <w:spacing w:before="0" w:beforeAutospacing="0" w:after="0" w:afterAutospacing="0" w:line="576" w:lineRule="exact"/>
        <w:jc w:val="center"/>
        <w:textAlignment w:val="auto"/>
        <w:outlineLvl w:val="0"/>
        <w:rPr>
          <w:rFonts w:hint="eastAsia" w:ascii="Times New Roman" w:hAnsi="Times New Roman" w:eastAsia="黑体" w:cs="Times New Roman"/>
          <w:b w:val="0"/>
          <w:sz w:val="32"/>
          <w:szCs w:val="32"/>
          <w:lang w:val="en-US" w:eastAsia="zh-CN" w:bidi="ar-SA"/>
        </w:rPr>
      </w:pPr>
      <w:r>
        <w:rPr>
          <w:rFonts w:hint="eastAsia" w:ascii="Times New Roman" w:hAnsi="Times New Roman" w:eastAsia="黑体" w:cs="Times New Roman"/>
          <w:b w:val="0"/>
          <w:sz w:val="32"/>
          <w:szCs w:val="32"/>
          <w:lang w:val="en-US" w:eastAsia="zh-CN" w:bidi="ar-SA"/>
        </w:rPr>
        <w:t>第三章 附 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第十四条 本规定由市工业和信息化局、市发展和改革委员会、市生态环境局、市应急管理局、市自然资源局按职责分工解释。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第十五条 本规定自 2026 年 月 日起施行，有效期至 2028 年 月 日。施行期间如国家、省出台新规定，从其规定。</w:t>
      </w:r>
    </w:p>
    <w:p>
      <w:pPr>
        <w:keepNext w:val="0"/>
        <w:keepLines w:val="0"/>
        <w:pageBreakBefore w:val="0"/>
        <w:kinsoku/>
        <w:wordWrap/>
        <w:topLinePunct w:val="0"/>
        <w:autoSpaceDN/>
        <w:bidi w:val="0"/>
        <w:spacing w:line="576" w:lineRule="exact"/>
        <w:textAlignment w:val="auto"/>
        <w:rPr>
          <w:rFonts w:hint="eastAsia" w:ascii="仿宋_GB2312" w:hAnsi="仿宋_GB2312" w:eastAsia="仿宋_GB2312" w:cs="仿宋_GB2312"/>
          <w:b w:val="0"/>
          <w:bCs w:val="0"/>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附件：化工项目预判表（供项目引入地区参考使用）</w:t>
      </w:r>
    </w:p>
    <w:p>
      <w:pPr>
        <w:pStyle w:val="2"/>
        <w:rPr>
          <w:rFonts w:hint="eastAsia"/>
          <w:lang w:val="en-US" w:eastAsia="zh-CN"/>
        </w:rPr>
      </w:pPr>
    </w:p>
    <w:p>
      <w:pPr>
        <w:numPr>
          <w:ilvl w:val="0"/>
          <w:numId w:val="0"/>
        </w:numPr>
        <w:rPr>
          <w:rFonts w:hint="eastAsia" w:ascii="仿宋" w:hAnsi="仿宋" w:eastAsia="仿宋" w:cs="仿宋"/>
          <w:sz w:val="28"/>
          <w:szCs w:val="28"/>
          <w:lang w:val="en-US" w:eastAsia="zh-CN"/>
        </w:rPr>
      </w:pPr>
    </w:p>
    <w:p>
      <w:pPr>
        <w:numPr>
          <w:ilvl w:val="0"/>
          <w:numId w:val="0"/>
        </w:numPr>
        <w:rPr>
          <w:rFonts w:hint="eastAsia" w:ascii="仿宋" w:hAnsi="仿宋" w:eastAsia="仿宋" w:cs="仿宋"/>
          <w:sz w:val="28"/>
          <w:szCs w:val="28"/>
          <w:lang w:val="en-US" w:eastAsia="zh-CN"/>
        </w:rPr>
      </w:pPr>
    </w:p>
    <w:p>
      <w:pPr>
        <w:pStyle w:val="2"/>
        <w:rPr>
          <w:rFonts w:hint="eastAsia" w:ascii="仿宋" w:hAnsi="仿宋" w:eastAsia="仿宋" w:cs="仿宋"/>
          <w:sz w:val="28"/>
          <w:szCs w:val="28"/>
          <w:lang w:val="en-US" w:eastAsia="zh-CN"/>
        </w:rPr>
      </w:pPr>
    </w:p>
    <w:p>
      <w:pPr>
        <w:rPr>
          <w:rFonts w:hint="eastAsia" w:ascii="仿宋" w:hAnsi="仿宋" w:eastAsia="仿宋" w:cs="仿宋"/>
          <w:sz w:val="28"/>
          <w:szCs w:val="28"/>
          <w:lang w:val="en-US" w:eastAsia="zh-CN"/>
        </w:rPr>
      </w:pPr>
    </w:p>
    <w:p>
      <w:pPr>
        <w:pStyle w:val="2"/>
        <w:rPr>
          <w:rFonts w:hint="eastAsia" w:ascii="仿宋" w:hAnsi="仿宋" w:eastAsia="仿宋" w:cs="仿宋"/>
          <w:sz w:val="28"/>
          <w:szCs w:val="28"/>
          <w:lang w:val="en-US" w:eastAsia="zh-CN"/>
        </w:rPr>
      </w:pPr>
    </w:p>
    <w:p>
      <w:pPr>
        <w:rPr>
          <w:rFonts w:hint="eastAsia" w:ascii="仿宋" w:hAnsi="仿宋" w:eastAsia="仿宋" w:cs="仿宋"/>
          <w:sz w:val="28"/>
          <w:szCs w:val="28"/>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76" w:lineRule="exact"/>
        <w:jc w:val="both"/>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val="en-US" w:eastAsia="zh-CN"/>
        </w:rPr>
        <w:t>附件</w:t>
      </w:r>
    </w:p>
    <w:p>
      <w:pPr>
        <w:keepNext w:val="0"/>
        <w:keepLines w:val="0"/>
        <w:pageBreakBefore w:val="0"/>
        <w:widowControl w:val="0"/>
        <w:suppressLineNumbers w:val="0"/>
        <w:shd w:val="clear" w:color="auto" w:fill="FFFFFF"/>
        <w:kinsoku/>
        <w:wordWrap/>
        <w:topLinePunct w:val="0"/>
        <w:autoSpaceDN/>
        <w:bidi w:val="0"/>
        <w:adjustRightInd w:val="0"/>
        <w:snapToGrid w:val="0"/>
        <w:spacing w:before="0" w:beforeAutospacing="0" w:after="0" w:afterAutospacing="0" w:line="576" w:lineRule="exact"/>
        <w:ind w:right="0"/>
        <w:jc w:val="center"/>
        <w:textAlignment w:val="auto"/>
        <w:rPr>
          <w:rFonts w:hint="eastAsia" w:ascii="Times New Roman" w:hAnsi="Times New Roman" w:eastAsia="方正小标宋简体" w:cs="Times New Roman"/>
          <w:kern w:val="0"/>
          <w:sz w:val="44"/>
          <w:szCs w:val="44"/>
          <w:lang w:val="en-US" w:eastAsia="zh-CN" w:bidi="ar-SA"/>
        </w:rPr>
      </w:pPr>
      <w:r>
        <w:rPr>
          <w:rFonts w:hint="eastAsia" w:ascii="Times New Roman" w:hAnsi="Times New Roman" w:eastAsia="方正小标宋简体" w:cs="Times New Roman"/>
          <w:kern w:val="0"/>
          <w:sz w:val="44"/>
          <w:szCs w:val="44"/>
          <w:lang w:val="en-US" w:eastAsia="zh-CN" w:bidi="ar-SA"/>
        </w:rPr>
        <w:t>化工项目预判表</w:t>
      </w:r>
    </w:p>
    <w:p>
      <w:pPr>
        <w:keepNext w:val="0"/>
        <w:keepLines w:val="0"/>
        <w:pageBreakBefore w:val="0"/>
        <w:widowControl w:val="0"/>
        <w:kinsoku/>
        <w:wordWrap/>
        <w:overflowPunct w:val="0"/>
        <w:topLinePunct w:val="0"/>
        <w:autoSpaceDE/>
        <w:autoSpaceDN/>
        <w:bidi w:val="0"/>
        <w:adjustRightInd/>
        <w:snapToGrid/>
        <w:spacing w:line="576" w:lineRule="exact"/>
        <w:jc w:val="center"/>
        <w:textAlignment w:val="auto"/>
        <w:rPr>
          <w:rFonts w:hint="eastAsia" w:ascii="楷体_GB2312" w:hAnsi="楷体_GB2312" w:eastAsia="楷体_GB2312" w:cs="楷体_GB2312"/>
          <w:b w:val="0"/>
          <w:bCs w:val="0"/>
          <w:w w:val="98"/>
          <w:sz w:val="32"/>
          <w:szCs w:val="32"/>
          <w:lang w:val="en-US" w:eastAsia="zh-CN"/>
        </w:rPr>
      </w:pPr>
      <w:r>
        <w:rPr>
          <w:rFonts w:hint="eastAsia" w:ascii="楷体_GB2312" w:hAnsi="楷体_GB2312" w:eastAsia="楷体_GB2312" w:cs="楷体_GB2312"/>
          <w:b w:val="0"/>
          <w:bCs w:val="0"/>
          <w:w w:val="98"/>
          <w:sz w:val="32"/>
          <w:szCs w:val="32"/>
          <w:lang w:val="en-US" w:eastAsia="zh-CN"/>
        </w:rPr>
        <w:t>（供项目引入地区参考使用）</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2" w:firstLineChars="200"/>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一、基础信息栏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项目名</w:t>
      </w:r>
      <w:bookmarkStart w:id="0" w:name="_GoBack"/>
      <w:bookmarkEnd w:id="0"/>
      <w:r>
        <w:rPr>
          <w:rFonts w:hint="eastAsia" w:ascii="仿宋" w:hAnsi="仿宋" w:eastAsia="仿宋" w:cs="仿宋"/>
          <w:sz w:val="28"/>
          <w:szCs w:val="28"/>
          <w:lang w:val="en-US" w:eastAsia="zh-CN"/>
        </w:rPr>
        <w:t>称：________________________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建设地点：________________________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主要产品：________________________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主要原料：________________________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核心工艺简述：____________________</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二、行业分类判定（GB/T 4754—2017）</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属于 C25 石油、煤炭及其他燃料加工业（列明行业种类和代码）</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属于 C26 化学原料和化学制品制造业（列明行业种类和代码）</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其他行业（列明行业种类和代码，并说明理由）</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判定结论 □ 初步判定为化工项目 □ 暂不判定为化工项目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三、工艺核心判定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1. 是否发生化学反应</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有合成、裂解、聚合、酯化、氧化、还原、中和、发酵、催化等化学反应</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仅物理过程：混合、搅拌、粉碎、溶解、分装、简单提纯、熔融、拉丝、成型</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2. 是否涉及危险化学品</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使用列入《危险化学品目录》的原料</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生产/独立产生列入《危险化学品目录》的中间产品或最终产品</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不涉及危险化学品</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判定结论 □ 满足化工工艺特征 □ 不满足化工工艺特征</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四、产业政策与管理目录判定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列入《产业结构调整指导目录》中化工类鼓励/限制/淘汰类</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属于《建设项目环境影响评价分类管理名录》中 “化工” 类别</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属于应急管理部门明确的危险化学品生产/储存项目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不属于上述目录范围</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判定结论 □ 按政策应按化工项目管理 □ 暂不按化工项目管理</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五、常见边界情形</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（一）通常认定为化工项目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生产基础化工原料、化肥、农药、涂料、染料、颜料、胶粘剂、合成树脂等</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煤制油、煤制气、煤制甲醇、煤制烯烃</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石油炼制、芳烃、PTA、乙二醇等石化产业链项目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废催化剂、废矿物油、废化工原料综合利用</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医药中间体、化学原料药合成项目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有化学反应的新材料、精细化学品项目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（二）通常不认定为化工项目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仅物理加工：塑料拉丝、造粒、注塑、吹膜、挤板</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化纤纺丝、织造、印染（不含化纤单体合成）</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单纯仓储、装卸、运输危险化学品（无生产）</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日用化妆品、肥皂、洗涤剂（简单复配）</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食品添加剂、饲料添加剂仅物理复配</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橡胶制品仅成型、硫化加工（无生胶合成）</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边界判定：□ 倾向化工项目 □ 倾向非化工项目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六、综合最终认定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综合结论</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认定为化工项目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不认定为化工项目</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边界模糊，需主管部门（发改/工信/生态环境/应急）确认需补充材料</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工艺流程图</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物料平衡图</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原料及产品 MSDS（化学品安全说明书）</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行业代码说明</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60" w:firstLineChars="200"/>
        <w:textAlignment w:val="auto"/>
        <w:rPr>
          <w:rFonts w:hint="eastAsia" w:ascii="仿宋" w:hAnsi="仿宋" w:eastAsia="仿宋" w:cs="仿宋"/>
          <w:b w:val="0"/>
          <w:bCs w:val="0"/>
          <w:color w:val="000000"/>
          <w:kern w:val="0"/>
          <w:sz w:val="28"/>
          <w:szCs w:val="28"/>
          <w:lang w:val="en-US" w:eastAsia="zh-CN" w:bidi="ar"/>
        </w:rPr>
      </w:pPr>
      <w:r>
        <w:rPr>
          <w:rFonts w:hint="eastAsia" w:ascii="仿宋" w:hAnsi="仿宋" w:eastAsia="仿宋" w:cs="仿宋"/>
          <w:sz w:val="28"/>
          <w:szCs w:val="28"/>
          <w:lang w:val="en-US" w:eastAsia="zh-CN"/>
        </w:rPr>
        <w:t>□ 环评/安评预分析材料</w:t>
      </w:r>
    </w:p>
    <w:sectPr>
      <w:pgSz w:w="11906" w:h="16838"/>
      <w:pgMar w:top="2098" w:right="1587"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A1587"/>
    <w:rsid w:val="13BD1BBC"/>
    <w:rsid w:val="1FF8626F"/>
    <w:rsid w:val="295D1246"/>
    <w:rsid w:val="2E7634D3"/>
    <w:rsid w:val="2FC8507F"/>
    <w:rsid w:val="353B093B"/>
    <w:rsid w:val="4CB91BA7"/>
    <w:rsid w:val="682A1587"/>
    <w:rsid w:val="DF8C41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Heading2"/>
    <w:next w:val="1"/>
    <w:qFormat/>
    <w:uiPriority w:val="0"/>
    <w:pPr>
      <w:keepNext/>
      <w:keepLines/>
      <w:widowControl w:val="0"/>
      <w:spacing w:before="260" w:beforeLines="0" w:after="260" w:afterLines="0" w:line="416" w:lineRule="auto"/>
      <w:jc w:val="both"/>
    </w:pPr>
    <w:rPr>
      <w:rFonts w:ascii="Arial" w:hAnsi="Arial" w:eastAsia="黑体" w:cs="Times New Roman"/>
      <w:b/>
      <w:bCs/>
      <w:kern w:val="2"/>
      <w:sz w:val="32"/>
      <w:szCs w:val="32"/>
      <w:lang w:val="en-US" w:eastAsia="zh-CN" w:bidi="ar-SA"/>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2919</Words>
  <Characters>3087</Characters>
  <Lines>0</Lines>
  <Paragraphs>0</Paragraphs>
  <TotalTime>2</TotalTime>
  <ScaleCrop>false</ScaleCrop>
  <LinksUpToDate>false</LinksUpToDate>
  <CharactersWithSpaces>3176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2026-05-06T10:51:00Z</dcterms:created>
  <dc:creator>石头剪刀布</dc:creator>
  <cp:lastModifiedBy>卢莹</cp:lastModifiedBy>
  <dcterms:modified xsi:type="dcterms:W3CDTF">2026-05-09T10:04:51Z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78E424F26DE4432AA2DA848F174AFE16_11</vt:lpwstr>
  </property>
  <property fmtid="{D5CDD505-2E9C-101B-9397-08002B2CF9AE}" pid="4" name="KSOTemplateDocerSaveRecord">
    <vt:lpwstr>eyJoZGlkIjoiMjU0MzcwMzg5MjVjMGI2YmMwNjEyMTZmYTU4OWZhODgiLCJ1c2VySWQiOiI1NDQ3ODg1MDMifQ==</vt:lpwstr>
  </property>
</Properties>
</file>