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480" w:after="480" w:line="560" w:lineRule="exact"/>
        <w:ind w:left="0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b w:val="0"/>
          <w:bCs/>
          <w:sz w:val="44"/>
          <w:szCs w:val="44"/>
        </w:rPr>
        <w:t>《新疆维吾尔自治区首台（套）、首批次、首版次产品认定和保险补偿管理办法</w:t>
      </w:r>
      <w:r>
        <w:rPr>
          <w:rFonts w:hint="eastAsia" w:ascii="Times New Roman" w:hAnsi="Times New Roman" w:eastAsia="方正小标宋简体" w:cs="Times New Roman"/>
          <w:b w:val="0"/>
          <w:bCs/>
          <w:sz w:val="44"/>
          <w:szCs w:val="44"/>
          <w:lang w:eastAsia="zh-CN"/>
        </w:rPr>
        <w:t>（征求意见稿）</w:t>
      </w:r>
      <w:r>
        <w:rPr>
          <w:rFonts w:hint="default" w:ascii="Times New Roman" w:hAnsi="Times New Roman" w:eastAsia="方正小标宋简体" w:cs="Times New Roman"/>
          <w:b w:val="0"/>
          <w:bCs/>
          <w:sz w:val="44"/>
          <w:szCs w:val="44"/>
        </w:rPr>
        <w:t>》修订说明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outlineLvl w:val="1"/>
        <w:rPr>
          <w:rFonts w:hint="default" w:ascii="Times New Roman" w:hAnsi="Times New Roman" w:eastAsia="黑体" w:cs="Times New Roman"/>
          <w:b w:val="0"/>
          <w:bCs/>
          <w:sz w:val="32"/>
          <w:szCs w:val="32"/>
        </w:rPr>
      </w:pPr>
      <w:bookmarkStart w:id="0" w:name="heading_0"/>
      <w:r>
        <w:rPr>
          <w:rFonts w:hint="default" w:ascii="Times New Roman" w:hAnsi="Times New Roman" w:eastAsia="黑体" w:cs="Times New Roman"/>
          <w:b w:val="0"/>
          <w:bCs/>
          <w:sz w:val="32"/>
          <w:szCs w:val="32"/>
        </w:rPr>
        <w:t>一、修订背景</w:t>
      </w:r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《新疆维吾尔自治区首台（套）、首批次、首版次产品认定和奖励管理办法》（新工信规〔2021〕3号）有效期已届满。根据《公平竞争审查条例》（国务院令第783号）、《公平竞争审查条例实施办法》（市场监管总局令第99号）以及国家地方财政补贴负面清单管理机制相关工作要求，应当规范清理直接与行政认定、资格称号挂钩的选择性财政奖励。原办法设置的创新奖励，属于取得“三首”产品行政认定称号即给予财政奖补的情形，与现行财政管理、公平竞争审查制度要求不相适应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为落实工业和信息化部《关于进一步完善首台（套）重大技术装备首批次新材料保险补偿政策的意见》（工信部联重装〔2024〕89号）、《首台（套）重大技术装备首批次新材料保险补偿政策实施细则（试行）》（工信厅联重装〔2024〕64号）工作部署，衔接国家以保险补偿分散创新产品首用风险的政策导向，结合我区推进新型工业化、培育特色优势产业集群工作实际，开展本次办法修订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本次修订维持原办法认定工作体系、核心准入条件总体不变，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取消与行政认定称号直接挂钩的销售收入类创新奖励，财政资金聚焦保险补偿，补偿针对企业实际投保风险支出，不对取得认定称号直接给予资金奖励</w:t>
      </w:r>
      <w:r>
        <w:rPr>
          <w:rFonts w:hint="eastAsia" w:ascii="仿宋_GB2312" w:hAnsi="仿宋_GB2312" w:eastAsia="仿宋_GB2312" w:cs="仿宋_GB2312"/>
          <w:sz w:val="32"/>
          <w:szCs w:val="32"/>
        </w:rPr>
        <w:t>。同步更新上位政策依据，规范部门机构名称，补齐监管制度短板，理顺申报、审核、监管全流程，实现国家与自治区政策有效衔接，方便地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</w:rPr>
        <w:t>州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及市场主体贯彻执行。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outlineLvl w:val="1"/>
        <w:rPr>
          <w:rFonts w:hint="default" w:ascii="Times New Roman" w:hAnsi="Times New Roman" w:eastAsia="黑体" w:cs="Times New Roman"/>
          <w:b w:val="0"/>
          <w:bCs/>
          <w:sz w:val="32"/>
          <w:szCs w:val="32"/>
        </w:rPr>
      </w:pPr>
      <w:bookmarkStart w:id="1" w:name="heading_1"/>
      <w:r>
        <w:rPr>
          <w:rFonts w:hint="default" w:ascii="Times New Roman" w:hAnsi="Times New Roman" w:eastAsia="黑体" w:cs="Times New Roman"/>
          <w:b w:val="0"/>
          <w:bCs/>
          <w:sz w:val="32"/>
          <w:szCs w:val="32"/>
        </w:rPr>
        <w:t>二、修订总体情况</w:t>
      </w:r>
      <w:bookmarkEnd w:id="1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本次修订保留原办法五章架构：总则、认定、保险补偿、监督管理、附则。删除原第三章“奖励”全部创新奖励条款，章节名称调整为“保险补偿”，优化完善保费补偿相关规则；更新上位政策文件；按照机构改革成果调整金融监管部门名称；细化产品定义，压缩评审自由裁量空间；调整认定有效期、公示期限；优化企业报告义务，健全惩戒约束措施；依据规范性文件起草规范，在附则中列明配套附件。修订后共计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18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条，配套2份申报附件：附件1《自治区首台（套）、首批次、首版次产品认定申报书》、附件2《自治区首台（套）、首批次、首版次产品保险补偿申请书》。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200" w:line="560" w:lineRule="exact"/>
        <w:ind w:left="0" w:firstLine="640" w:firstLineChars="200"/>
        <w:jc w:val="both"/>
        <w:textAlignment w:val="auto"/>
        <w:outlineLvl w:val="1"/>
        <w:rPr>
          <w:rFonts w:hint="default" w:ascii="Times New Roman" w:hAnsi="Times New Roman" w:eastAsia="黑体" w:cs="Times New Roman"/>
          <w:b w:val="0"/>
          <w:bCs/>
          <w:sz w:val="32"/>
          <w:szCs w:val="32"/>
        </w:rPr>
      </w:pPr>
      <w:bookmarkStart w:id="2" w:name="heading_2"/>
      <w:r>
        <w:rPr>
          <w:rFonts w:hint="default" w:ascii="Times New Roman" w:hAnsi="Times New Roman" w:eastAsia="黑体" w:cs="Times New Roman"/>
          <w:b w:val="0"/>
          <w:bCs/>
          <w:sz w:val="32"/>
          <w:szCs w:val="32"/>
        </w:rPr>
        <w:t>三、主要修改内容</w:t>
      </w:r>
      <w:bookmarkEnd w:id="2"/>
    </w:p>
    <w:tbl>
      <w:tblPr>
        <w:tblStyle w:val="3"/>
        <w:tblW w:w="10047" w:type="dxa"/>
        <w:jc w:val="center"/>
        <w:tblBorders>
          <w:top w:val="single" w:color="DEE0E3" w:sz="0" w:space="0"/>
          <w:left w:val="single" w:color="DEE0E3" w:sz="0" w:space="0"/>
          <w:bottom w:val="single" w:color="DEE0E3" w:sz="0" w:space="0"/>
          <w:right w:val="single" w:color="DEE0E3" w:sz="0" w:space="0"/>
          <w:insideH w:val="single" w:color="DEE0E3" w:sz="0" w:space="0"/>
          <w:insideV w:val="single" w:color="DEE0E3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812"/>
        <w:gridCol w:w="2543"/>
        <w:gridCol w:w="3149"/>
        <w:gridCol w:w="2543"/>
      </w:tblGrid>
      <w:tr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spacing w:before="120" w:after="120" w:line="288" w:lineRule="auto"/>
              <w:ind w:left="0"/>
              <w:jc w:val="center"/>
              <w:rPr>
                <w:rFonts w:hint="default" w:ascii="Times New Roman" w:hAnsi="Times New Roman" w:eastAsia="黑体" w:cs="Times New Roman"/>
              </w:rPr>
            </w:pPr>
            <w:r>
              <w:rPr>
                <w:rFonts w:hint="default" w:ascii="Times New Roman" w:hAnsi="Times New Roman" w:eastAsia="黑体" w:cs="Times New Roman"/>
                <w:sz w:val="22"/>
              </w:rPr>
              <w:t>章节</w:t>
            </w:r>
          </w:p>
        </w:tc>
        <w:tc>
          <w:tcPr>
            <w:tcW w:w="2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spacing w:before="120" w:after="120" w:line="288" w:lineRule="auto"/>
              <w:ind w:left="0"/>
              <w:jc w:val="center"/>
              <w:rPr>
                <w:rFonts w:hint="default" w:ascii="Times New Roman" w:hAnsi="Times New Roman" w:eastAsia="黑体" w:cs="Times New Roman"/>
              </w:rPr>
            </w:pPr>
            <w:r>
              <w:rPr>
                <w:rFonts w:hint="default" w:ascii="Times New Roman" w:hAnsi="Times New Roman" w:eastAsia="黑体" w:cs="Times New Roman"/>
                <w:sz w:val="22"/>
                <w:lang w:val="en-US" w:eastAsia="zh-CN"/>
              </w:rPr>
              <w:t>2021</w:t>
            </w:r>
            <w:r>
              <w:rPr>
                <w:rFonts w:hint="default" w:ascii="Times New Roman" w:hAnsi="Times New Roman" w:eastAsia="黑体" w:cs="Times New Roman"/>
                <w:sz w:val="22"/>
              </w:rPr>
              <w:t>版原文内容</w:t>
            </w:r>
          </w:p>
        </w:tc>
        <w:tc>
          <w:tcPr>
            <w:tcW w:w="31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spacing w:before="120" w:after="120" w:line="288" w:lineRule="auto"/>
              <w:ind w:left="0"/>
              <w:jc w:val="center"/>
              <w:rPr>
                <w:rFonts w:hint="default" w:ascii="Times New Roman" w:hAnsi="Times New Roman" w:eastAsia="黑体" w:cs="Times New Roman"/>
              </w:rPr>
            </w:pPr>
            <w:r>
              <w:rPr>
                <w:rFonts w:hint="default" w:ascii="Times New Roman" w:hAnsi="Times New Roman" w:eastAsia="黑体" w:cs="Times New Roman"/>
                <w:sz w:val="22"/>
              </w:rPr>
              <w:t>修订后内容</w:t>
            </w:r>
          </w:p>
        </w:tc>
        <w:tc>
          <w:tcPr>
            <w:tcW w:w="2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spacing w:before="120" w:after="120" w:line="288" w:lineRule="auto"/>
              <w:ind w:left="0"/>
              <w:jc w:val="center"/>
              <w:rPr>
                <w:rFonts w:hint="default" w:ascii="Times New Roman" w:hAnsi="Times New Roman" w:eastAsia="黑体" w:cs="Times New Roman"/>
              </w:rPr>
            </w:pPr>
            <w:r>
              <w:rPr>
                <w:rFonts w:hint="default" w:ascii="Times New Roman" w:hAnsi="Times New Roman" w:eastAsia="黑体" w:cs="Times New Roman"/>
                <w:sz w:val="22"/>
              </w:rPr>
              <w:t>修改说明</w:t>
            </w:r>
          </w:p>
        </w:tc>
      </w:tr>
      <w:tr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199" w:hRule="atLeast"/>
          <w:jc w:val="center"/>
        </w:trPr>
        <w:tc>
          <w:tcPr>
            <w:tcW w:w="1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both"/>
              <w:textAlignment w:val="auto"/>
              <w:rPr>
                <w:rFonts w:hint="default" w:ascii="Times New Roman" w:hAnsi="Times New Roman" w:eastAsia="方正仿宋_GB2312" w:cs="Times New Roman"/>
                <w:sz w:val="22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</w:rPr>
              <w:t>第一章</w:t>
            </w:r>
            <w:r>
              <w:rPr>
                <w:rFonts w:hint="default" w:ascii="Times New Roman" w:hAnsi="Times New Roman" w:eastAsia="方正仿宋_GB2312" w:cs="Times New Roman"/>
                <w:sz w:val="22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方正仿宋_GB2312" w:cs="Times New Roman"/>
                <w:sz w:val="22"/>
              </w:rPr>
              <w:t>总则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both"/>
              <w:textAlignment w:val="auto"/>
              <w:rPr>
                <w:rFonts w:hint="default" w:ascii="Times New Roman" w:hAnsi="Times New Roman" w:eastAsia="方正仿宋_GB2312" w:cs="Times New Roman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</w:rPr>
              <w:t>第一条</w:t>
            </w:r>
          </w:p>
        </w:tc>
        <w:tc>
          <w:tcPr>
            <w:tcW w:w="2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both"/>
              <w:textAlignment w:val="auto"/>
              <w:rPr>
                <w:rFonts w:hint="default" w:ascii="Times New Roman" w:hAnsi="Times New Roman" w:eastAsia="方正仿宋_GB2312" w:cs="Times New Roman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</w:rPr>
              <w:t>上位依据引用《中国制造2025新疆行动方案》等旧文件，条文包含对三首产品创新给予奖励的表述。</w:t>
            </w:r>
          </w:p>
        </w:tc>
        <w:tc>
          <w:tcPr>
            <w:tcW w:w="31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both"/>
              <w:textAlignment w:val="auto"/>
              <w:rPr>
                <w:rFonts w:hint="default" w:ascii="Times New Roman" w:hAnsi="Times New Roman" w:eastAsia="方正仿宋_GB2312" w:cs="Times New Roman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</w:rPr>
              <w:t>更新上位政策依据，增加工信部现行政策及自治区新型工业化相关文件；删除奖励相关表述，明确规范三首产品认定，运用保险补偿机制分散创新产品市场应用风险。</w:t>
            </w:r>
          </w:p>
        </w:tc>
        <w:tc>
          <w:tcPr>
            <w:tcW w:w="2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both"/>
              <w:textAlignment w:val="auto"/>
              <w:rPr>
                <w:rFonts w:hint="default" w:ascii="Times New Roman" w:hAnsi="Times New Roman" w:eastAsia="方正仿宋_GB2312" w:cs="Times New Roman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</w:rPr>
              <w:t>原政策依据已不适应现阶段工作需要；落实公平竞争审查及财政补贴管理要求，取消与认定称号挂钩的创新奖励，同步调整立法目的。</w:t>
            </w:r>
          </w:p>
        </w:tc>
      </w:tr>
      <w:tr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both"/>
              <w:textAlignment w:val="auto"/>
              <w:rPr>
                <w:rFonts w:hint="default" w:ascii="Times New Roman" w:hAnsi="Times New Roman" w:eastAsia="方正仿宋_GB2312" w:cs="Times New Roman"/>
                <w:sz w:val="22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</w:rPr>
              <w:t>第一章</w:t>
            </w:r>
            <w:r>
              <w:rPr>
                <w:rFonts w:hint="default" w:ascii="Times New Roman" w:hAnsi="Times New Roman" w:eastAsia="方正仿宋_GB2312" w:cs="Times New Roman"/>
                <w:sz w:val="22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方正仿宋_GB2312" w:cs="Times New Roman"/>
                <w:sz w:val="22"/>
              </w:rPr>
              <w:t>总则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both"/>
              <w:textAlignment w:val="auto"/>
              <w:rPr>
                <w:rFonts w:hint="default" w:ascii="Times New Roman" w:hAnsi="Times New Roman" w:eastAsia="方正仿宋_GB2312" w:cs="Times New Roman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</w:rPr>
              <w:t>第二条</w:t>
            </w:r>
          </w:p>
        </w:tc>
        <w:tc>
          <w:tcPr>
            <w:tcW w:w="2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both"/>
              <w:textAlignment w:val="auto"/>
              <w:rPr>
                <w:rFonts w:hint="default" w:ascii="Times New Roman" w:hAnsi="Times New Roman" w:eastAsia="方正仿宋_GB2312" w:cs="Times New Roman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</w:rPr>
              <w:t>首台（套）定义：品种、规格或技术参数等有重大突破，具有自主知识产权，被用户首次使用的前三台（套）重大技术装备。</w:t>
            </w:r>
          </w:p>
        </w:tc>
        <w:tc>
          <w:tcPr>
            <w:tcW w:w="31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both"/>
              <w:textAlignment w:val="auto"/>
              <w:rPr>
                <w:rFonts w:hint="default" w:ascii="Times New Roman" w:hAnsi="Times New Roman" w:eastAsia="方正仿宋_GB2312" w:cs="Times New Roman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</w:rPr>
              <w:t>增加“同一型号规格下”限定，将关键核心部件纳入适用范围。</w:t>
            </w:r>
          </w:p>
        </w:tc>
        <w:tc>
          <w:tcPr>
            <w:tcW w:w="2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both"/>
              <w:textAlignment w:val="auto"/>
              <w:rPr>
                <w:rFonts w:hint="default" w:ascii="Times New Roman" w:hAnsi="Times New Roman" w:eastAsia="方正仿宋_GB2312" w:cs="Times New Roman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</w:rPr>
              <w:t>原条文未明确型号边界，实践中存在通过变更型号重复申报风险；关键核心部件表述与国家政策口径保持一致，具体判定标准在内部评审工作指引予以细化。</w:t>
            </w:r>
          </w:p>
        </w:tc>
      </w:tr>
      <w:tr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both"/>
              <w:textAlignment w:val="auto"/>
              <w:rPr>
                <w:rFonts w:hint="default" w:ascii="Times New Roman" w:hAnsi="Times New Roman" w:eastAsia="方正仿宋_GB2312" w:cs="Times New Roman"/>
                <w:sz w:val="22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</w:rPr>
              <w:t>第一章</w:t>
            </w:r>
            <w:r>
              <w:rPr>
                <w:rFonts w:hint="default" w:ascii="Times New Roman" w:hAnsi="Times New Roman" w:eastAsia="方正仿宋_GB2312" w:cs="Times New Roman"/>
                <w:sz w:val="22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方正仿宋_GB2312" w:cs="Times New Roman"/>
                <w:sz w:val="22"/>
              </w:rPr>
              <w:t>总则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both"/>
              <w:textAlignment w:val="auto"/>
              <w:rPr>
                <w:rFonts w:hint="default" w:ascii="Times New Roman" w:hAnsi="Times New Roman" w:eastAsia="方正仿宋_GB2312" w:cs="Times New Roman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</w:rPr>
              <w:t>第三条</w:t>
            </w:r>
          </w:p>
        </w:tc>
        <w:tc>
          <w:tcPr>
            <w:tcW w:w="2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both"/>
              <w:textAlignment w:val="auto"/>
              <w:rPr>
                <w:rFonts w:hint="default" w:ascii="Times New Roman" w:hAnsi="Times New Roman" w:eastAsia="方正仿宋_GB2312" w:cs="Times New Roman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</w:rPr>
              <w:t>适用对象为区内注册具有独立法人资质的工业企业。</w:t>
            </w:r>
          </w:p>
        </w:tc>
        <w:tc>
          <w:tcPr>
            <w:tcW w:w="31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both"/>
              <w:textAlignment w:val="auto"/>
              <w:rPr>
                <w:rFonts w:hint="default" w:ascii="Times New Roman" w:hAnsi="Times New Roman" w:eastAsia="方正仿宋_GB2312" w:cs="Times New Roman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</w:rPr>
              <w:t>调整为在我区</w:t>
            </w:r>
            <w:r>
              <w:rPr>
                <w:rFonts w:hint="default" w:ascii="Times New Roman" w:hAnsi="Times New Roman" w:eastAsia="方正仿宋_GB2312" w:cs="Times New Roman"/>
                <w:sz w:val="22"/>
                <w:lang w:val="en-US" w:eastAsia="zh-CN"/>
              </w:rPr>
              <w:t>开展经营活动、</w:t>
            </w:r>
            <w:r>
              <w:rPr>
                <w:rFonts w:hint="default" w:ascii="Times New Roman" w:hAnsi="Times New Roman" w:eastAsia="方正仿宋_GB2312" w:cs="Times New Roman"/>
                <w:sz w:val="22"/>
              </w:rPr>
              <w:t>具有独立法人资格或视同法人单位，且近3年内无重大质量、安全、环保事故及严重失信记录的企业。</w:t>
            </w:r>
          </w:p>
        </w:tc>
        <w:tc>
          <w:tcPr>
            <w:tcW w:w="2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both"/>
              <w:textAlignment w:val="auto"/>
              <w:rPr>
                <w:rFonts w:hint="default" w:ascii="Times New Roman" w:hAnsi="Times New Roman" w:eastAsia="方正仿宋_GB2312" w:cs="Times New Roman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</w:rPr>
              <w:t>原办法限定为工业企业，部分软件研发企业不属于工业范畴，适度放开行业适用范围；明确企业失信行为准入约束条件。</w:t>
            </w:r>
          </w:p>
        </w:tc>
      </w:tr>
      <w:tr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both"/>
              <w:textAlignment w:val="auto"/>
              <w:rPr>
                <w:rFonts w:hint="default" w:ascii="Times New Roman" w:hAnsi="Times New Roman" w:eastAsia="方正仿宋_GB2312" w:cs="Times New Roman"/>
                <w:sz w:val="22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</w:rPr>
              <w:t>第一章</w:t>
            </w:r>
            <w:r>
              <w:rPr>
                <w:rFonts w:hint="default" w:ascii="Times New Roman" w:hAnsi="Times New Roman" w:eastAsia="方正仿宋_GB2312" w:cs="Times New Roman"/>
                <w:sz w:val="22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方正仿宋_GB2312" w:cs="Times New Roman"/>
                <w:sz w:val="22"/>
              </w:rPr>
              <w:t>总则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both"/>
              <w:textAlignment w:val="auto"/>
              <w:rPr>
                <w:rFonts w:hint="default" w:ascii="Times New Roman" w:hAnsi="Times New Roman" w:eastAsia="方正仿宋_GB2312" w:cs="Times New Roman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</w:rPr>
              <w:t>第四条</w:t>
            </w:r>
          </w:p>
        </w:tc>
        <w:tc>
          <w:tcPr>
            <w:tcW w:w="2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both"/>
              <w:textAlignment w:val="auto"/>
              <w:rPr>
                <w:rFonts w:hint="default" w:ascii="Times New Roman" w:hAnsi="Times New Roman" w:eastAsia="方正仿宋_GB2312" w:cs="Times New Roman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</w:rPr>
              <w:t>金融监管部门表述为中国银行保险监督管理委员会新疆监管局。</w:t>
            </w:r>
          </w:p>
        </w:tc>
        <w:tc>
          <w:tcPr>
            <w:tcW w:w="31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both"/>
              <w:textAlignment w:val="auto"/>
              <w:rPr>
                <w:rFonts w:hint="default" w:ascii="Times New Roman" w:hAnsi="Times New Roman" w:eastAsia="方正仿宋_GB2312" w:cs="Times New Roman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</w:rPr>
              <w:t>统一调整为国家金融监督管理总局新疆监管局（简称新疆金融监管局）。</w:t>
            </w:r>
          </w:p>
        </w:tc>
        <w:tc>
          <w:tcPr>
            <w:tcW w:w="2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both"/>
              <w:textAlignment w:val="auto"/>
              <w:rPr>
                <w:rFonts w:hint="default" w:ascii="Times New Roman" w:hAnsi="Times New Roman" w:eastAsia="方正仿宋_GB2312" w:cs="Times New Roman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</w:rPr>
              <w:t>落实机构改革后法定机构名称，实现全文表述统一。</w:t>
            </w:r>
          </w:p>
        </w:tc>
      </w:tr>
      <w:tr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both"/>
              <w:textAlignment w:val="auto"/>
              <w:rPr>
                <w:rFonts w:hint="default" w:ascii="Times New Roman" w:hAnsi="Times New Roman" w:eastAsia="方正仿宋_GB2312" w:cs="Times New Roman"/>
                <w:sz w:val="22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</w:rPr>
              <w:t>第二章</w:t>
            </w:r>
            <w:r>
              <w:rPr>
                <w:rFonts w:hint="default" w:ascii="Times New Roman" w:hAnsi="Times New Roman" w:eastAsia="方正仿宋_GB2312" w:cs="Times New Roman"/>
                <w:sz w:val="22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方正仿宋_GB2312" w:cs="Times New Roman"/>
                <w:sz w:val="22"/>
              </w:rPr>
              <w:t>认定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both"/>
              <w:textAlignment w:val="auto"/>
              <w:rPr>
                <w:rFonts w:hint="default" w:ascii="Times New Roman" w:hAnsi="Times New Roman" w:eastAsia="方正仿宋_GB2312" w:cs="Times New Roman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</w:rPr>
              <w:t>第六条第（四）项（原2021版第三条第（四）项）</w:t>
            </w:r>
          </w:p>
        </w:tc>
        <w:tc>
          <w:tcPr>
            <w:tcW w:w="2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both"/>
              <w:textAlignment w:val="auto"/>
              <w:rPr>
                <w:rFonts w:hint="default" w:ascii="Times New Roman" w:hAnsi="Times New Roman" w:eastAsia="方正仿宋_GB2312" w:cs="Times New Roman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</w:rPr>
              <w:t>产品技术水平达到区内领先</w:t>
            </w:r>
            <w:r>
              <w:rPr>
                <w:rFonts w:hint="default" w:ascii="Times New Roman" w:hAnsi="Times New Roman" w:eastAsia="方正仿宋_GB2312" w:cs="Times New Roman"/>
                <w:b/>
                <w:sz w:val="22"/>
              </w:rPr>
              <w:t>和</w:t>
            </w:r>
            <w:r>
              <w:rPr>
                <w:rFonts w:hint="default" w:ascii="Times New Roman" w:hAnsi="Times New Roman" w:eastAsia="方正仿宋_GB2312" w:cs="Times New Roman"/>
                <w:sz w:val="22"/>
              </w:rPr>
              <w:t>国内先进水平以上。</w:t>
            </w:r>
          </w:p>
        </w:tc>
        <w:tc>
          <w:tcPr>
            <w:tcW w:w="31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both"/>
              <w:textAlignment w:val="auto"/>
              <w:rPr>
                <w:rFonts w:hint="default" w:ascii="Times New Roman" w:hAnsi="Times New Roman" w:eastAsia="方正仿宋_GB2312" w:cs="Times New Roman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</w:rPr>
              <w:t>修改连词为“或”。</w:t>
            </w:r>
          </w:p>
        </w:tc>
        <w:tc>
          <w:tcPr>
            <w:tcW w:w="2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both"/>
              <w:textAlignment w:val="auto"/>
              <w:rPr>
                <w:rFonts w:hint="default" w:ascii="Times New Roman" w:hAnsi="Times New Roman" w:eastAsia="方正仿宋_GB2312" w:cs="Times New Roman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</w:rPr>
              <w:t>部分产品能够填补区内产业空白，但暂未达到国内先进水平，表述更加贴合我区产业发展实际。</w:t>
            </w:r>
          </w:p>
        </w:tc>
      </w:tr>
      <w:tr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both"/>
              <w:textAlignment w:val="auto"/>
              <w:rPr>
                <w:rFonts w:hint="default" w:ascii="Times New Roman" w:hAnsi="Times New Roman" w:eastAsia="方正仿宋_GB2312" w:cs="Times New Roman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</w:rPr>
              <w:t>第二章认定第六条第（七）项（原2021版第三条）</w:t>
            </w:r>
          </w:p>
        </w:tc>
        <w:tc>
          <w:tcPr>
            <w:tcW w:w="2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both"/>
              <w:textAlignment w:val="auto"/>
              <w:rPr>
                <w:rFonts w:hint="default" w:ascii="Times New Roman" w:hAnsi="Times New Roman" w:eastAsia="方正仿宋_GB2312" w:cs="Times New Roman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</w:rPr>
              <w:t>将研发完成时间距申报超过2年列为不予认定情形。</w:t>
            </w:r>
          </w:p>
        </w:tc>
        <w:tc>
          <w:tcPr>
            <w:tcW w:w="31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both"/>
              <w:textAlignment w:val="auto"/>
              <w:rPr>
                <w:rFonts w:hint="default" w:ascii="Times New Roman" w:hAnsi="Times New Roman" w:eastAsia="方正仿宋_GB2312" w:cs="Times New Roman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</w:rPr>
              <w:t>调整为正向认定条件：研发完成时间距申报时间不超过2年。</w:t>
            </w:r>
          </w:p>
        </w:tc>
        <w:tc>
          <w:tcPr>
            <w:tcW w:w="2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both"/>
              <w:textAlignment w:val="auto"/>
              <w:rPr>
                <w:rFonts w:hint="default" w:ascii="Times New Roman" w:hAnsi="Times New Roman" w:eastAsia="方正仿宋_GB2312" w:cs="Times New Roman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</w:rPr>
              <w:t>仅调整条文编排体例，实质准入条件未发生变化，便于申报主体阅读理解。</w:t>
            </w:r>
          </w:p>
        </w:tc>
      </w:tr>
      <w:tr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both"/>
              <w:textAlignment w:val="auto"/>
              <w:rPr>
                <w:rFonts w:hint="default" w:ascii="Times New Roman" w:hAnsi="Times New Roman" w:eastAsia="方正仿宋_GB2312" w:cs="Times New Roman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</w:rPr>
              <w:t>第二章认定第七条不予认定范围（原2021版第三条）</w:t>
            </w:r>
          </w:p>
        </w:tc>
        <w:tc>
          <w:tcPr>
            <w:tcW w:w="2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both"/>
              <w:textAlignment w:val="auto"/>
              <w:rPr>
                <w:rFonts w:hint="default" w:ascii="Times New Roman" w:hAnsi="Times New Roman" w:eastAsia="方正仿宋_GB2312" w:cs="Times New Roman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</w:rPr>
              <w:t>不予认定包含3类情形：自用产品、定制专用产品、研发超2年产品。</w:t>
            </w:r>
          </w:p>
        </w:tc>
        <w:tc>
          <w:tcPr>
            <w:tcW w:w="31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both"/>
              <w:textAlignment w:val="auto"/>
              <w:rPr>
                <w:rFonts w:hint="default" w:ascii="Times New Roman" w:hAnsi="Times New Roman" w:eastAsia="方正仿宋_GB2312" w:cs="Times New Roman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</w:rPr>
              <w:t>扩充为5类情形：自用产品、定制专用产品、无重大技术改进的常规迭代产品、完全外购零部件组装产品（联合研发除外）、不符合节能环保安全强制要求产品。</w:t>
            </w:r>
          </w:p>
        </w:tc>
        <w:tc>
          <w:tcPr>
            <w:tcW w:w="2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both"/>
              <w:textAlignment w:val="auto"/>
              <w:rPr>
                <w:rFonts w:hint="default" w:ascii="Times New Roman" w:hAnsi="Times New Roman" w:eastAsia="方正仿宋_GB2312" w:cs="Times New Roman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</w:rPr>
              <w:t>总结近年评审实操经验，补充不予认定情形，压缩评审自由裁量空间。</w:t>
            </w:r>
          </w:p>
        </w:tc>
      </w:tr>
      <w:tr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both"/>
              <w:textAlignment w:val="auto"/>
              <w:rPr>
                <w:rFonts w:hint="default" w:ascii="Times New Roman" w:hAnsi="Times New Roman" w:eastAsia="方正仿宋_GB2312" w:cs="Times New Roman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</w:rPr>
              <w:t>第二章认定第八条第（一）项（原2021版第四条第（一）项）</w:t>
            </w:r>
          </w:p>
        </w:tc>
        <w:tc>
          <w:tcPr>
            <w:tcW w:w="2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both"/>
              <w:textAlignment w:val="auto"/>
              <w:rPr>
                <w:rFonts w:hint="default" w:ascii="Times New Roman" w:hAnsi="Times New Roman" w:eastAsia="方正仿宋_GB2312" w:cs="Times New Roman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</w:rPr>
              <w:t>工信厅每年3月以前下发申报通知。</w:t>
            </w:r>
          </w:p>
        </w:tc>
        <w:tc>
          <w:tcPr>
            <w:tcW w:w="31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both"/>
              <w:textAlignment w:val="auto"/>
              <w:rPr>
                <w:rFonts w:hint="default" w:ascii="Times New Roman" w:hAnsi="Times New Roman" w:eastAsia="方正仿宋_GB2312" w:cs="Times New Roman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</w:rPr>
              <w:t>修改为工信厅每</w:t>
            </w:r>
            <w:r>
              <w:rPr>
                <w:rFonts w:hint="eastAsia" w:ascii="Times New Roman" w:hAnsi="Times New Roman" w:eastAsia="方正仿宋_GB2312" w:cs="Times New Roman"/>
                <w:sz w:val="22"/>
                <w:lang w:val="en-US" w:eastAsia="zh-CN"/>
              </w:rPr>
              <w:t>半</w:t>
            </w:r>
            <w:r>
              <w:rPr>
                <w:rFonts w:hint="default" w:ascii="Times New Roman" w:hAnsi="Times New Roman" w:eastAsia="方正仿宋_GB2312" w:cs="Times New Roman"/>
                <w:sz w:val="22"/>
              </w:rPr>
              <w:t>年下发</w:t>
            </w:r>
            <w:r>
              <w:rPr>
                <w:rFonts w:hint="eastAsia" w:ascii="Times New Roman" w:hAnsi="Times New Roman" w:eastAsia="方正仿宋_GB2312" w:cs="Times New Roman"/>
                <w:sz w:val="22"/>
                <w:lang w:val="en-US" w:eastAsia="zh-CN"/>
              </w:rPr>
              <w:t>一次</w:t>
            </w:r>
            <w:r>
              <w:rPr>
                <w:rFonts w:hint="default" w:ascii="Times New Roman" w:hAnsi="Times New Roman" w:eastAsia="方正仿宋_GB2312" w:cs="Times New Roman"/>
                <w:sz w:val="22"/>
              </w:rPr>
              <w:t>通知，组织开展</w:t>
            </w:r>
            <w:r>
              <w:rPr>
                <w:rFonts w:hint="eastAsia" w:ascii="Times New Roman" w:hAnsi="Times New Roman" w:eastAsia="方正仿宋_GB2312" w:cs="Times New Roman"/>
                <w:sz w:val="22"/>
                <w:lang w:eastAsia="zh-CN"/>
              </w:rPr>
              <w:t>“</w:t>
            </w:r>
            <w:r>
              <w:rPr>
                <w:rFonts w:hint="eastAsia" w:ascii="Times New Roman" w:hAnsi="Times New Roman" w:eastAsia="方正仿宋_GB2312" w:cs="Times New Roman"/>
                <w:sz w:val="22"/>
                <w:lang w:val="en-US" w:eastAsia="zh-CN"/>
              </w:rPr>
              <w:t>三首”</w:t>
            </w:r>
            <w:r>
              <w:rPr>
                <w:rFonts w:hint="default" w:ascii="Times New Roman" w:hAnsi="Times New Roman" w:eastAsia="方正仿宋_GB2312" w:cs="Times New Roman"/>
                <w:sz w:val="22"/>
              </w:rPr>
              <w:t>产品认定申报。</w:t>
            </w:r>
          </w:p>
        </w:tc>
        <w:tc>
          <w:tcPr>
            <w:tcW w:w="2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both"/>
              <w:textAlignment w:val="auto"/>
              <w:rPr>
                <w:rFonts w:hint="default" w:ascii="Times New Roman" w:hAnsi="Times New Roman" w:eastAsia="方正仿宋_GB2312" w:cs="Times New Roman"/>
              </w:rPr>
            </w:pPr>
            <w:r>
              <w:rPr>
                <w:rFonts w:hint="eastAsia" w:ascii="Times New Roman" w:hAnsi="Times New Roman" w:eastAsia="方正仿宋_GB2312" w:cs="Times New Roman"/>
                <w:sz w:val="22"/>
                <w:lang w:val="en-US" w:eastAsia="zh-CN"/>
              </w:rPr>
              <w:t>结合近年来企业认定需求，由一年一认定改为半年一次</w:t>
            </w:r>
            <w:r>
              <w:rPr>
                <w:rFonts w:hint="default" w:ascii="Times New Roman" w:hAnsi="Times New Roman" w:eastAsia="方正仿宋_GB2312" w:cs="Times New Roman"/>
                <w:sz w:val="22"/>
              </w:rPr>
              <w:t>，</w:t>
            </w:r>
            <w:r>
              <w:rPr>
                <w:rFonts w:hint="eastAsia" w:ascii="Times New Roman" w:hAnsi="Times New Roman" w:eastAsia="方正仿宋_GB2312" w:cs="Times New Roman"/>
                <w:sz w:val="22"/>
                <w:lang w:val="en-US" w:eastAsia="zh-CN"/>
              </w:rPr>
              <w:t>提高认定</w:t>
            </w:r>
            <w:r>
              <w:rPr>
                <w:rFonts w:hint="default" w:ascii="Times New Roman" w:hAnsi="Times New Roman" w:eastAsia="方正仿宋_GB2312" w:cs="Times New Roman"/>
                <w:sz w:val="22"/>
              </w:rPr>
              <w:t>的频次。</w:t>
            </w:r>
          </w:p>
        </w:tc>
      </w:tr>
      <w:tr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both"/>
              <w:textAlignment w:val="auto"/>
              <w:rPr>
                <w:rFonts w:hint="default" w:ascii="Times New Roman" w:hAnsi="Times New Roman" w:eastAsia="方正仿宋_GB2312" w:cs="Times New Roman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</w:rPr>
              <w:t>第二章认定第八条第（五）项（原2021版第四条第（五）项）</w:t>
            </w:r>
          </w:p>
        </w:tc>
        <w:tc>
          <w:tcPr>
            <w:tcW w:w="2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both"/>
              <w:textAlignment w:val="auto"/>
              <w:rPr>
                <w:rFonts w:hint="default" w:ascii="Times New Roman" w:hAnsi="Times New Roman" w:eastAsia="方正仿宋_GB2312" w:cs="Times New Roman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</w:rPr>
              <w:t>公示期7个自然日。</w:t>
            </w:r>
          </w:p>
        </w:tc>
        <w:tc>
          <w:tcPr>
            <w:tcW w:w="31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both"/>
              <w:textAlignment w:val="auto"/>
              <w:rPr>
                <w:rFonts w:hint="default" w:ascii="Times New Roman" w:hAnsi="Times New Roman" w:eastAsia="方正仿宋_GB2312" w:cs="Times New Roman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</w:rPr>
              <w:t>调整为5个工作日。</w:t>
            </w:r>
          </w:p>
        </w:tc>
        <w:tc>
          <w:tcPr>
            <w:tcW w:w="2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both"/>
              <w:textAlignment w:val="auto"/>
              <w:rPr>
                <w:rFonts w:hint="default" w:ascii="Times New Roman" w:hAnsi="Times New Roman" w:eastAsia="方正仿宋_GB2312" w:cs="Times New Roman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</w:rPr>
              <w:t>剔除周末及法定节假日，保障实际有效公示时长，符合我区规范性文件管理惯例。</w:t>
            </w:r>
          </w:p>
        </w:tc>
      </w:tr>
      <w:tr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both"/>
              <w:textAlignment w:val="auto"/>
              <w:rPr>
                <w:rFonts w:hint="default" w:ascii="Times New Roman" w:hAnsi="Times New Roman" w:eastAsia="方正仿宋_GB2312" w:cs="Times New Roman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</w:rPr>
              <w:t>第二章认定第八条第（六）项（原2021版第五条）</w:t>
            </w:r>
          </w:p>
        </w:tc>
        <w:tc>
          <w:tcPr>
            <w:tcW w:w="2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both"/>
              <w:textAlignment w:val="auto"/>
              <w:rPr>
                <w:rFonts w:hint="default" w:ascii="Times New Roman" w:hAnsi="Times New Roman" w:eastAsia="方正仿宋_GB2312" w:cs="Times New Roman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</w:rPr>
              <w:t>产品认定有效期2年。</w:t>
            </w:r>
          </w:p>
        </w:tc>
        <w:tc>
          <w:tcPr>
            <w:tcW w:w="31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both"/>
              <w:textAlignment w:val="auto"/>
              <w:rPr>
                <w:rFonts w:hint="default" w:ascii="Times New Roman" w:hAnsi="Times New Roman" w:eastAsia="方正仿宋_GB2312" w:cs="Times New Roman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</w:rPr>
              <w:t>调整认定有效期为3年。</w:t>
            </w:r>
          </w:p>
        </w:tc>
        <w:tc>
          <w:tcPr>
            <w:tcW w:w="2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both"/>
              <w:textAlignment w:val="auto"/>
              <w:rPr>
                <w:rFonts w:hint="default" w:ascii="Times New Roman" w:hAnsi="Times New Roman" w:eastAsia="方正仿宋_GB2312" w:cs="Times New Roman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</w:rPr>
              <w:t>对标国家政策“资格有效期不超过3年”的要求，适度延长企业享受保险补偿政策的周期。</w:t>
            </w:r>
          </w:p>
        </w:tc>
      </w:tr>
      <w:tr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both"/>
              <w:textAlignment w:val="auto"/>
              <w:rPr>
                <w:rFonts w:hint="default" w:ascii="Times New Roman" w:hAnsi="Times New Roman" w:eastAsia="方正仿宋_GB2312" w:cs="Times New Roman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</w:rPr>
              <w:t>第三章（原第三章名称：奖励）</w:t>
            </w:r>
          </w:p>
        </w:tc>
        <w:tc>
          <w:tcPr>
            <w:tcW w:w="2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both"/>
              <w:textAlignment w:val="auto"/>
              <w:rPr>
                <w:rFonts w:hint="default" w:ascii="Times New Roman" w:hAnsi="Times New Roman" w:eastAsia="方正仿宋_GB2312" w:cs="Times New Roman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</w:rPr>
              <w:t>设置创新奖励、保费奖励，包含销售收入比例奖励、企业年度奖励限额、试验区企业优先支持等条款。</w:t>
            </w:r>
          </w:p>
        </w:tc>
        <w:tc>
          <w:tcPr>
            <w:tcW w:w="31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both"/>
              <w:textAlignment w:val="auto"/>
              <w:rPr>
                <w:rFonts w:hint="default" w:ascii="Times New Roman" w:hAnsi="Times New Roman" w:eastAsia="方正仿宋_GB2312" w:cs="Times New Roman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</w:rPr>
              <w:t>章节更名为保险补偿，删除全部创新奖励、试验区优先奖励条款；保留并优化保费补偿规则；新增“先认定、后投保、再申请补偿”工作流程。</w:t>
            </w:r>
          </w:p>
        </w:tc>
        <w:tc>
          <w:tcPr>
            <w:tcW w:w="2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both"/>
              <w:textAlignment w:val="auto"/>
              <w:rPr>
                <w:rFonts w:hint="default" w:ascii="Times New Roman" w:hAnsi="Times New Roman" w:eastAsia="方正仿宋_GB2312" w:cs="Times New Roman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</w:rPr>
              <w:t>落实公平竞争审查与财政补贴负面清单管理要求，取消与三首产品行政认定称号直接挂钩的销售收入创新奖励，财政资金仅用于保险补偿；严格执行国家保险补偿业务办理流程。</w:t>
            </w:r>
          </w:p>
        </w:tc>
      </w:tr>
      <w:tr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both"/>
              <w:textAlignment w:val="auto"/>
              <w:rPr>
                <w:rFonts w:hint="default" w:ascii="Times New Roman" w:hAnsi="Times New Roman" w:eastAsia="方正仿宋_GB2312" w:cs="Times New Roman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</w:rPr>
              <w:t>第三章保险补偿第十条（原2021版第八条）</w:t>
            </w:r>
          </w:p>
        </w:tc>
        <w:tc>
          <w:tcPr>
            <w:tcW w:w="2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both"/>
              <w:textAlignment w:val="auto"/>
              <w:rPr>
                <w:rFonts w:hint="default" w:ascii="Times New Roman" w:hAnsi="Times New Roman" w:eastAsia="方正仿宋_GB2312" w:cs="Times New Roman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</w:rPr>
              <w:t>确定年度奖励资金来源、总额，一年一定。</w:t>
            </w:r>
          </w:p>
        </w:tc>
        <w:tc>
          <w:tcPr>
            <w:tcW w:w="31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both"/>
              <w:textAlignment w:val="auto"/>
              <w:rPr>
                <w:rFonts w:hint="default" w:ascii="Times New Roman" w:hAnsi="Times New Roman" w:eastAsia="方正仿宋_GB2312" w:cs="Times New Roman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</w:rPr>
              <w:t>修改为确定保险补偿资金来源、总额，一年一定。</w:t>
            </w:r>
          </w:p>
        </w:tc>
        <w:tc>
          <w:tcPr>
            <w:tcW w:w="2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both"/>
              <w:textAlignment w:val="auto"/>
              <w:rPr>
                <w:rFonts w:hint="default" w:ascii="Times New Roman" w:hAnsi="Times New Roman" w:eastAsia="方正仿宋_GB2312" w:cs="Times New Roman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</w:rPr>
              <w:t>清理原办法遗留表述，厘清财政资金属性。</w:t>
            </w:r>
          </w:p>
        </w:tc>
      </w:tr>
      <w:tr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both"/>
              <w:textAlignment w:val="auto"/>
              <w:rPr>
                <w:rFonts w:hint="default" w:ascii="Times New Roman" w:hAnsi="Times New Roman" w:eastAsia="方正仿宋_GB2312" w:cs="Times New Roman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</w:rPr>
              <w:t>第三章保险补偿第十二条第（一）项（原2021版第十条第（二）项第1目）</w:t>
            </w:r>
          </w:p>
        </w:tc>
        <w:tc>
          <w:tcPr>
            <w:tcW w:w="2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both"/>
              <w:textAlignment w:val="auto"/>
              <w:rPr>
                <w:rFonts w:hint="default" w:ascii="Times New Roman" w:hAnsi="Times New Roman" w:eastAsia="方正仿宋_GB2312" w:cs="Times New Roman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</w:rPr>
              <w:t>给予不超过一年度保费80%的奖励，最高不超过50万元。</w:t>
            </w:r>
          </w:p>
        </w:tc>
        <w:tc>
          <w:tcPr>
            <w:tcW w:w="31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both"/>
              <w:textAlignment w:val="auto"/>
              <w:rPr>
                <w:rFonts w:hint="default" w:ascii="Times New Roman" w:hAnsi="Times New Roman" w:eastAsia="方正仿宋_GB2312" w:cs="Times New Roman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</w:rPr>
              <w:t>给予一次性保险补偿，补偿比例不超过当年度实际缴纳保费的80%，单产品年度补偿最高不超过50万元；同一企业每自然年度获得</w:t>
            </w:r>
            <w:r>
              <w:rPr>
                <w:rFonts w:hint="default" w:ascii="Times New Roman" w:hAnsi="Times New Roman" w:eastAsia="方正仿宋_GB2312" w:cs="Times New Roman"/>
                <w:sz w:val="22"/>
                <w:lang w:eastAsia="zh-CN"/>
              </w:rPr>
              <w:t>“</w:t>
            </w:r>
            <w:r>
              <w:rPr>
                <w:rFonts w:hint="default" w:ascii="Times New Roman" w:hAnsi="Times New Roman" w:eastAsia="方正仿宋_GB2312" w:cs="Times New Roman"/>
                <w:sz w:val="22"/>
              </w:rPr>
              <w:t>三首</w:t>
            </w:r>
            <w:r>
              <w:rPr>
                <w:rFonts w:hint="default" w:ascii="Times New Roman" w:hAnsi="Times New Roman" w:eastAsia="方正仿宋_GB2312" w:cs="Times New Roman"/>
                <w:sz w:val="22"/>
                <w:lang w:eastAsia="zh-CN"/>
              </w:rPr>
              <w:t>”</w:t>
            </w:r>
            <w:r>
              <w:rPr>
                <w:rFonts w:hint="default" w:ascii="Times New Roman" w:hAnsi="Times New Roman" w:eastAsia="方正仿宋_GB2312" w:cs="Times New Roman"/>
                <w:sz w:val="22"/>
              </w:rPr>
              <w:t>产品保险补偿总额最高不超过100万元。</w:t>
            </w:r>
          </w:p>
        </w:tc>
        <w:tc>
          <w:tcPr>
            <w:tcW w:w="2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both"/>
              <w:textAlignment w:val="auto"/>
              <w:rPr>
                <w:rFonts w:hint="default" w:ascii="Times New Roman" w:hAnsi="Times New Roman" w:eastAsia="方正仿宋_GB2312" w:cs="Times New Roman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</w:rPr>
              <w:t>将“奖励”调整为“保险补偿”，规范政策文字表述；补偿比例、补偿上限维持原标准不变。新增同一企业每自然年度保险补偿总额最高不超过100万元，强化财政资金预算管控，均衡支持各类创新市场主体。</w:t>
            </w:r>
          </w:p>
        </w:tc>
      </w:tr>
      <w:tr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both"/>
              <w:textAlignment w:val="auto"/>
              <w:rPr>
                <w:rFonts w:hint="default" w:ascii="Times New Roman" w:hAnsi="Times New Roman" w:eastAsia="方正仿宋_GB2312" w:cs="Times New Roman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</w:rPr>
              <w:t>第三章保险补偿第十二条第（四）项（原2021版第十条第（二）项第4目）</w:t>
            </w:r>
          </w:p>
        </w:tc>
        <w:tc>
          <w:tcPr>
            <w:tcW w:w="2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both"/>
              <w:textAlignment w:val="auto"/>
              <w:rPr>
                <w:rFonts w:hint="default" w:ascii="Times New Roman" w:hAnsi="Times New Roman" w:eastAsia="方正仿宋_GB2312" w:cs="Times New Roman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</w:rPr>
              <w:t>同一产品已获得国家财政支持保费补贴的不予重复奖励。</w:t>
            </w:r>
          </w:p>
        </w:tc>
        <w:tc>
          <w:tcPr>
            <w:tcW w:w="31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both"/>
              <w:textAlignment w:val="auto"/>
              <w:rPr>
                <w:rFonts w:hint="default" w:ascii="Times New Roman" w:hAnsi="Times New Roman" w:eastAsia="方正仿宋_GB2312" w:cs="Times New Roman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</w:rPr>
              <w:t>修改为同一产品已获得国家财政支持保费补贴的不予重复补偿。</w:t>
            </w:r>
          </w:p>
        </w:tc>
        <w:tc>
          <w:tcPr>
            <w:tcW w:w="2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both"/>
              <w:textAlignment w:val="auto"/>
              <w:rPr>
                <w:rFonts w:hint="default" w:ascii="Times New Roman" w:hAnsi="Times New Roman" w:eastAsia="方正仿宋_GB2312" w:cs="Times New Roman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</w:rPr>
              <w:t>统一政策口径表述。</w:t>
            </w:r>
          </w:p>
        </w:tc>
      </w:tr>
      <w:tr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205" w:hRule="atLeast"/>
          <w:jc w:val="center"/>
        </w:trPr>
        <w:tc>
          <w:tcPr>
            <w:tcW w:w="1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both"/>
              <w:textAlignment w:val="auto"/>
              <w:rPr>
                <w:rFonts w:hint="default" w:ascii="Times New Roman" w:hAnsi="Times New Roman" w:eastAsia="方正仿宋_GB2312" w:cs="Times New Roman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</w:rPr>
              <w:t>第三章保险补偿第十二条第（五）项</w:t>
            </w:r>
          </w:p>
        </w:tc>
        <w:tc>
          <w:tcPr>
            <w:tcW w:w="2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both"/>
              <w:textAlignment w:val="auto"/>
              <w:rPr>
                <w:rFonts w:hint="default" w:ascii="Times New Roman" w:hAnsi="Times New Roman" w:eastAsia="方正仿宋_GB2312" w:cs="Times New Roman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</w:rPr>
              <w:t>无对应条款。</w:t>
            </w:r>
          </w:p>
        </w:tc>
        <w:tc>
          <w:tcPr>
            <w:tcW w:w="31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both"/>
              <w:textAlignment w:val="auto"/>
              <w:rPr>
                <w:rFonts w:hint="default" w:ascii="Times New Roman" w:hAnsi="Times New Roman" w:eastAsia="方正仿宋_GB2312" w:cs="Times New Roman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</w:rPr>
              <w:t>新增：优先推荐符合条件的产品申报国家首台（套）、首批次保险补偿。</w:t>
            </w:r>
          </w:p>
        </w:tc>
        <w:tc>
          <w:tcPr>
            <w:tcW w:w="2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both"/>
              <w:textAlignment w:val="auto"/>
              <w:rPr>
                <w:rFonts w:hint="default" w:ascii="Times New Roman" w:hAnsi="Times New Roman" w:eastAsia="方正仿宋_GB2312" w:cs="Times New Roman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</w:rPr>
              <w:t>做好自治区政策与国家保险补偿政策的衔接贯通。</w:t>
            </w:r>
          </w:p>
        </w:tc>
      </w:tr>
      <w:tr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both"/>
              <w:textAlignment w:val="auto"/>
              <w:rPr>
                <w:rFonts w:hint="default" w:ascii="Times New Roman" w:hAnsi="Times New Roman" w:eastAsia="方正仿宋_GB2312" w:cs="Times New Roman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</w:rPr>
              <w:t>第三章保险补偿第十三条</w:t>
            </w:r>
          </w:p>
        </w:tc>
        <w:tc>
          <w:tcPr>
            <w:tcW w:w="2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both"/>
              <w:textAlignment w:val="auto"/>
              <w:rPr>
                <w:rFonts w:hint="default" w:ascii="Times New Roman" w:hAnsi="Times New Roman" w:eastAsia="方正仿宋_GB2312" w:cs="Times New Roman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</w:rPr>
              <w:t>原要求获得奖励企业次年1月30日前报送工作报告，不报送3年内不得申请奖励。</w:t>
            </w:r>
          </w:p>
        </w:tc>
        <w:tc>
          <w:tcPr>
            <w:tcW w:w="31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both"/>
              <w:textAlignment w:val="auto"/>
              <w:rPr>
                <w:rFonts w:hint="default" w:ascii="Times New Roman" w:hAnsi="Times New Roman" w:eastAsia="方正仿宋_GB2312" w:cs="Times New Roman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</w:rPr>
              <w:t>调整为获得保险补偿企业发生保单重大变更、重大质量安全事故等重大事项应当及时报告；在监督管理章节配套设置相应惩戒条款。</w:t>
            </w:r>
          </w:p>
        </w:tc>
        <w:tc>
          <w:tcPr>
            <w:tcW w:w="2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both"/>
              <w:textAlignment w:val="auto"/>
              <w:rPr>
                <w:rFonts w:hint="default" w:ascii="Times New Roman" w:hAnsi="Times New Roman" w:eastAsia="方正仿宋_GB2312" w:cs="Times New Roman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</w:rPr>
              <w:t>原年度报告义务针对创新奖励对象。本次取消创新奖励，不再设置固定时点强制年报，改为重大事项即时报告，契合国家政策导向。</w:t>
            </w:r>
          </w:p>
        </w:tc>
      </w:tr>
      <w:tr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both"/>
              <w:textAlignment w:val="auto"/>
              <w:rPr>
                <w:rFonts w:hint="default" w:ascii="Times New Roman" w:hAnsi="Times New Roman" w:eastAsia="方正仿宋_GB2312" w:cs="Times New Roman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</w:rPr>
              <w:t>第四章监督管理第十四条（原2021版第十三条）</w:t>
            </w:r>
          </w:p>
        </w:tc>
        <w:tc>
          <w:tcPr>
            <w:tcW w:w="2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both"/>
              <w:textAlignment w:val="auto"/>
              <w:rPr>
                <w:rFonts w:hint="default" w:ascii="Times New Roman" w:hAnsi="Times New Roman" w:eastAsia="方正仿宋_GB2312" w:cs="Times New Roman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</w:rPr>
              <w:t>对骗取认定和奖励行为作出处置。</w:t>
            </w:r>
          </w:p>
        </w:tc>
        <w:tc>
          <w:tcPr>
            <w:tcW w:w="31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both"/>
              <w:textAlignment w:val="auto"/>
              <w:rPr>
                <w:rFonts w:hint="default" w:ascii="Times New Roman" w:hAnsi="Times New Roman" w:eastAsia="方正仿宋_GB2312" w:cs="Times New Roman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</w:rPr>
              <w:t>保留骗取认定、补偿资金的处置条款；增加拒不配合绩效核查、故意隐瞒真实情况、重大事项未及时报告的处置规定。</w:t>
            </w:r>
          </w:p>
        </w:tc>
        <w:tc>
          <w:tcPr>
            <w:tcW w:w="2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both"/>
              <w:textAlignment w:val="auto"/>
              <w:rPr>
                <w:rFonts w:hint="default" w:ascii="Times New Roman" w:hAnsi="Times New Roman" w:eastAsia="方正仿宋_GB2312" w:cs="Times New Roman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</w:rPr>
              <w:t>落实预算绩效管理相关规定，强化事中事后监管。</w:t>
            </w:r>
          </w:p>
        </w:tc>
      </w:tr>
      <w:tr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both"/>
              <w:textAlignment w:val="auto"/>
              <w:rPr>
                <w:rFonts w:hint="default" w:ascii="Times New Roman" w:hAnsi="Times New Roman" w:eastAsia="方正仿宋_GB2312" w:cs="Times New Roman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</w:rPr>
              <w:t>第五章附则（原2021版第十七条）</w:t>
            </w:r>
          </w:p>
        </w:tc>
        <w:tc>
          <w:tcPr>
            <w:tcW w:w="2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both"/>
              <w:textAlignment w:val="auto"/>
              <w:rPr>
                <w:rFonts w:hint="default" w:ascii="Times New Roman" w:hAnsi="Times New Roman" w:eastAsia="方正仿宋_GB2312" w:cs="Times New Roman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</w:rPr>
              <w:t>废止新工信科装〔2018〕5号，有效期5年。</w:t>
            </w:r>
          </w:p>
        </w:tc>
        <w:tc>
          <w:tcPr>
            <w:tcW w:w="31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both"/>
              <w:textAlignment w:val="auto"/>
              <w:rPr>
                <w:rFonts w:hint="default" w:ascii="Times New Roman" w:hAnsi="Times New Roman" w:eastAsia="方正仿宋_GB2312" w:cs="Times New Roman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</w:rPr>
              <w:t>施行后有效期5年，明确废止新工信规〔2021〕3号。</w:t>
            </w:r>
          </w:p>
        </w:tc>
        <w:tc>
          <w:tcPr>
            <w:tcW w:w="2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both"/>
              <w:textAlignment w:val="auto"/>
              <w:rPr>
                <w:rFonts w:hint="default" w:ascii="Times New Roman" w:hAnsi="Times New Roman" w:eastAsia="方正仿宋_GB2312" w:cs="Times New Roman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</w:rPr>
              <w:t>本次修订替代2021版办法，同步调整废止文件。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outlineLvl w:val="1"/>
        <w:rPr>
          <w:rFonts w:hint="default" w:ascii="Times New Roman" w:hAnsi="Times New Roman" w:eastAsia="黑体" w:cs="Times New Roman"/>
          <w:b w:val="0"/>
          <w:bCs/>
          <w:sz w:val="32"/>
          <w:szCs w:val="32"/>
        </w:rPr>
      </w:pPr>
      <w:bookmarkStart w:id="3" w:name="heading_3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outlineLvl w:val="1"/>
        <w:rPr>
          <w:rFonts w:hint="default" w:ascii="Times New Roman" w:hAnsi="Times New Roman" w:eastAsia="黑体" w:cs="Times New Roman"/>
          <w:b w:val="0"/>
          <w:bCs/>
          <w:sz w:val="32"/>
          <w:szCs w:val="32"/>
        </w:rPr>
      </w:pPr>
      <w:r>
        <w:rPr>
          <w:rFonts w:hint="default" w:ascii="Times New Roman" w:hAnsi="Times New Roman" w:eastAsia="黑体" w:cs="Times New Roman"/>
          <w:b w:val="0"/>
          <w:bCs/>
          <w:sz w:val="32"/>
          <w:szCs w:val="32"/>
        </w:rPr>
        <w:t>四、保留2021版未作调整主要内容</w:t>
      </w:r>
      <w:bookmarkEnd w:id="3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为维护政策连续性、稳定性，原办法大部分实操条件予以完整保留：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1.“三首”产品定义核心内容不变，不予认定产品的基础情形予以保留并作补充完善；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2.产品价值门槛：首台（套）30万元以上，首批次、首版次60万元以上；申报前产品用户实际使用满3个月；研发完成时间距申报不超过2年；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3.企业研发生产能力、质量售后保障、知识产权权属、特殊行业行政许可等认定条件不作改动；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4.认定工作流程：发布通知、属地申报、资格审查、专家评审、公示、发文认定整体流程保持不变；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5.保险补偿核心规则：补偿比例上限、不得与国家保费补贴重复享受、保险机构资质要求、投保费率市场化协商机制维持原有规定；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6.财政资金使用纪律、参与认定工作专家及工作人员责任追究相关条款不作修改。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outlineLvl w:val="1"/>
        <w:rPr>
          <w:rFonts w:hint="default" w:ascii="Times New Roman" w:hAnsi="Times New Roman" w:eastAsia="黑体" w:cs="Times New Roman"/>
          <w:b w:val="0"/>
          <w:bCs/>
          <w:sz w:val="32"/>
          <w:szCs w:val="32"/>
        </w:rPr>
      </w:pPr>
      <w:bookmarkStart w:id="4" w:name="heading_4"/>
      <w:r>
        <w:rPr>
          <w:rFonts w:hint="default" w:ascii="Times New Roman" w:hAnsi="Times New Roman" w:eastAsia="黑体" w:cs="Times New Roman"/>
          <w:b w:val="0"/>
          <w:bCs/>
          <w:sz w:val="32"/>
          <w:szCs w:val="32"/>
        </w:rPr>
        <w:t>五、新旧政策衔接安排</w:t>
      </w:r>
      <w:bookmarkEnd w:id="4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1.实行新老划断。本办法实施以后新申报认定的产品，执行修订后政策。本办法实施前，依据新工信规〔2021〕3号取得认定、且仍在原2年有效期内的产品，可按照本办法规定申请保险补偿，直至原有认定有效期届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2.原办法设置的创新奖励政策，因不符合公平竞争审查及国家财政补贴负面清单管理相关制度要求，随新工信规〔2021〕3号废止，不再受理创新奖励申报。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3.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修订后办法中</w:t>
      </w:r>
      <w:r>
        <w:rPr>
          <w:rFonts w:hint="default" w:ascii="Times New Roman" w:hAnsi="Times New Roman" w:eastAsia="仿宋_GB2312" w:cs="Times New Roman"/>
          <w:sz w:val="32"/>
          <w:szCs w:val="32"/>
        </w:rPr>
        <w:t>附件1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《自治区首台（套）、首批次、首版次产品认定申报书》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、附件2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《自治区首台（套）、首批次、首版次产品保险补偿申请书》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与办法同步实施。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420" w:firstLineChars="200"/>
        <w:jc w:val="both"/>
        <w:textAlignment w:val="auto"/>
        <w:rPr>
          <w:rFonts w:hint="default" w:ascii="Times New Roman" w:hAnsi="Times New Roman" w:cs="Times New Roman"/>
        </w:rPr>
      </w:pPr>
    </w:p>
    <w:sectPr>
      <w:footerReference r:id="rId3" w:type="default"/>
      <w:pgSz w:w="11905" w:h="16840"/>
      <w:pgNumType w:fmt="numberInDash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bookmarkStart w:id="5" w:name="_GoBack"/>
    <w:r>
      <w:rPr>
        <w:sz w:val="21"/>
      </w:rPr>
      <w:pict>
        <v:shape id="_x0000_s4097" o:spid="_x0000_s4097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>
                <w:pPr>
                  <w:pStyle w:val="2"/>
                </w:pPr>
                <w:r>
                  <w:rPr>
                    <w:rFonts w:hint="eastAsia" w:asciiTheme="minorEastAsia" w:hAnsiTheme="minorEastAsia" w:eastAsiaTheme="minorEastAsia" w:cstheme="minorEastAsia"/>
                    <w:sz w:val="28"/>
                    <w:szCs w:val="28"/>
                  </w:rPr>
                  <w:fldChar w:fldCharType="begin"/>
                </w:r>
                <w:r>
                  <w:rPr>
                    <w:rFonts w:hint="eastAsia" w:asciiTheme="minorEastAsia" w:hAnsiTheme="minorEastAsia" w:eastAsiaTheme="minorEastAsia" w:cstheme="minorEastAsia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hint="eastAsia" w:asciiTheme="minorEastAsia" w:hAnsiTheme="minorEastAsia" w:eastAsiaTheme="minorEastAsia" w:cstheme="minorEastAsia"/>
                    <w:sz w:val="28"/>
                    <w:szCs w:val="28"/>
                  </w:rPr>
                  <w:fldChar w:fldCharType="separate"/>
                </w:r>
                <w:r>
                  <w:rPr>
                    <w:rFonts w:hint="eastAsia" w:asciiTheme="minorEastAsia" w:hAnsiTheme="minorEastAsia" w:eastAsiaTheme="minorEastAsia" w:cstheme="minorEastAsia"/>
                    <w:sz w:val="28"/>
                    <w:szCs w:val="28"/>
                  </w:rPr>
                  <w:t>1</w:t>
                </w:r>
                <w:r>
                  <w:rPr>
                    <w:rFonts w:hint="eastAsia" w:asciiTheme="minorEastAsia" w:hAnsiTheme="minorEastAsia" w:eastAsiaTheme="minorEastAsia" w:cstheme="minorEastAsia"/>
                    <w:sz w:val="28"/>
                    <w:szCs w:val="28"/>
                  </w:rPr>
                  <w:fldChar w:fldCharType="end"/>
                </w:r>
              </w:p>
            </w:txbxContent>
          </v:textbox>
        </v:shape>
      </w:pict>
    </w:r>
    <w:bookmarkEnd w:id="5"/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trackRevisions w:val="1"/>
  <w:documentProtection w:enforcement="0"/>
  <w:displayHorizontalDrawingGridEvery w:val="1"/>
  <w:displayVerticalDrawingGridEvery w:val="1"/>
  <w:noPunctuationKerning w:val="1"/>
  <w:hdrShapeDefaults>
    <o:shapelayout v:ext="edit">
      <o:idmap v:ext="edit" data="3,4"/>
    </o:shapelayout>
  </w:hdrShapeDefaults>
  <w:compat>
    <w:doNotExpandShiftReturn/>
    <w:doNotWrapTextWithPunct/>
    <w:doNotUseEastAsianBreakRules/>
    <w:useFELayout/>
    <w:splitPgBreakAndParaMark/>
    <w:compatSetting w:name="compatibilityMode" w:uri="http://schemas.microsoft.com/office/word" w:val="12"/>
  </w:compat>
  <w:rsids>
    <w:rsidRoot w:val="00000000"/>
    <w:rsid w:val="1AD076ED"/>
    <w:rsid w:val="1F8F3117"/>
    <w:rsid w:val="2D696560"/>
    <w:rsid w:val="DCF9BDDA"/>
    <w:rsid w:val="FFEBCA3A"/>
    <w:rsid w:val="FFF70E8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7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6</Pages>
  <Words>3622</Words>
  <Characters>3717</Characters>
  <TotalTime>3</TotalTime>
  <ScaleCrop>false</ScaleCrop>
  <LinksUpToDate>false</LinksUpToDate>
  <CharactersWithSpaces>3728</CharactersWithSpaces>
  <Application>WPS Office WWO_wpscloud_20240423112748-fbd0a80743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2026-09-20T15:29:00Z</dcterms:created>
  <dc:creator>Apache POI</dc:creator>
  <cp:lastModifiedBy>谭全喜</cp:lastModifiedBy>
  <dcterms:modified xsi:type="dcterms:W3CDTF">2026-09-23T16:28:55Z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{"Label":"1","ContentProducer":"001191110102MACQD9K64010000","ProduceID":"7687268864124521426","ReservedCode1":"","ContentPropagator":"","PropagateID":"","ReservedCode2":""}</vt:lpwstr>
  </property>
  <property fmtid="{D5CDD505-2E9C-101B-9397-08002B2CF9AE}" pid="3" name="KSOTemplateDocerSaveRecord">
    <vt:lpwstr>eyJoZGlkIjoiZmQwYzNiN2Y4ZDJhNzRlNGExMWRiM2JkYWI4YzY4ZTgiLCJ1c2VySWQiOiIzMTQ0NTcyMzIifQ==</vt:lpwstr>
  </property>
  <property fmtid="{D5CDD505-2E9C-101B-9397-08002B2CF9AE}" pid="4" name="KSOProductBuildVer">
    <vt:lpwstr>2052-0.0.0.0</vt:lpwstr>
  </property>
  <property fmtid="{D5CDD505-2E9C-101B-9397-08002B2CF9AE}" pid="5" name="ICV">
    <vt:lpwstr>145B0D0847D942969D35D513D0B38DFC_12</vt:lpwstr>
  </property>
</Properties>
</file>