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A41A5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河池市新能源资源开发管理暂行办法（试行）</w:t>
      </w:r>
    </w:p>
    <w:p w14:paraId="2CCF12D4"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征求意见稿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sz w:val="32"/>
          <w:szCs w:val="32"/>
        </w:rPr>
        <w:t>）</w:t>
      </w:r>
    </w:p>
    <w:p w14:paraId="2C4B9E58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14:paraId="10479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总则</w:t>
      </w:r>
    </w:p>
    <w:p w14:paraId="6A46B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第一条 为规范全市风电、光伏发电项目开发管理，统筹风光资源开发、电网消纳与产业负荷协同发展，推动新能源资源科学有序开发利用，依据国家、自治区新能源竞争性配置、就近消纳相关政策，结合我市实际，制定本办法。</w:t>
      </w:r>
    </w:p>
    <w:p w14:paraId="2028CA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第二条 本办法适用于本市行政区域内集中式风电、集中式光伏、分散式风电项目开发指标竞争性配置及常态化管理工作。分布式光伏项目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按照现行政策执行。</w:t>
      </w:r>
    </w:p>
    <w:p w14:paraId="591F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第三条 本办法所称就近消纳项目，是指依托绿电直连、增量配电网、智能微电网、源网荷储一体化等模式建设运营的新能源项目。</w:t>
      </w:r>
    </w:p>
    <w:p w14:paraId="6402E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第四条 全市新能源资源开发遵循市级统筹、规划引领、就近消纳优先、市场化竞配为辅、全流程闭环监管的原则。全市未取得建设指标及储备类新能源资源的开发权、规模配置权，由市级统一统筹管理。各县（区）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应按照市级有关要求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，配合市级开展资源排查、储备谋划、规模配置等工作，严禁私自锁定、预留、处置各类新能源资源。</w:t>
      </w:r>
    </w:p>
    <w:p w14:paraId="02EDE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第五条 各县（区）不得擅自签订新能源资源开发协议。协议签订前，须将合作条件、投资主体遴选方式等材料报市发展改革委审核，经市发展改革委报请市人民政府同意后方可签约。</w:t>
      </w:r>
    </w:p>
    <w:p w14:paraId="708FC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各县（区）须全面梳理存量新能源资源合作协议，到期协议自动终止，严禁续签或变相续签；对未到期但无实质推进、不具备落地条件的协议，原则上与投资主体协商一致后予以废止。</w:t>
      </w:r>
    </w:p>
    <w:p w14:paraId="433D5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指标配置</w:t>
      </w:r>
    </w:p>
    <w:p w14:paraId="59FC4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第六条 就近消纳项目严格执行“以荷定源”配置规则：年用电量5亿千瓦时及以上的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新增负荷和造纸等有绿电需求的存量负荷，以及其他有降碳刚性需求的出口外向型存量负荷</w:t>
      </w:r>
      <w:r>
        <w:rPr>
          <w:rFonts w:hint="eastAsia" w:ascii="仿宋_GB2312" w:hAnsi="仿宋_GB2312" w:eastAsia="仿宋_GB2312" w:cs="仿宋_GB2312"/>
          <w:sz w:val="32"/>
          <w:szCs w:val="32"/>
        </w:rPr>
        <w:t>，可申请集中式风电、光伏及分散式风电指标；年用电量5000万千瓦时至5亿千瓦时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的新增负荷和造纸等有绿电需求的存量负荷，以及其他有降碳刚性需求的出口外向型存量负荷</w:t>
      </w:r>
      <w:r>
        <w:rPr>
          <w:rFonts w:hint="eastAsia" w:ascii="仿宋_GB2312" w:hAnsi="仿宋_GB2312" w:eastAsia="仿宋_GB2312" w:cs="仿宋_GB2312"/>
          <w:sz w:val="32"/>
          <w:szCs w:val="32"/>
        </w:rPr>
        <w:t>，可申请分散式风电指标，具体配置规模结合项目周边资源条件确定。</w:t>
      </w:r>
    </w:p>
    <w:p w14:paraId="4B408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符合开发条件的就近消纳项目，</w:t>
      </w:r>
      <w:r>
        <w:rPr>
          <w:rFonts w:hint="eastAsia" w:ascii="仿宋_GB2312" w:hAnsi="仿宋_GB2312" w:eastAsia="仿宋_GB2312" w:cs="仿宋_GB2312"/>
          <w:sz w:val="32"/>
          <w:szCs w:val="32"/>
        </w:rPr>
        <w:t>市发展改革委会同河池供电局等单位开展项目可行性审核，审核通过后报请自治区能源局审批，获批项目自动取得新能源建设指标。同等条件下，优先支持我市落地投产、负荷稳定、诚信合规经营的重点工业企业。</w:t>
      </w:r>
    </w:p>
    <w:p w14:paraId="40332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第七条 不满足就近消纳条件的新能源资源，由市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发展改革委</w:t>
      </w:r>
      <w:r>
        <w:rPr>
          <w:rFonts w:hint="eastAsia" w:ascii="仿宋_GB2312" w:hAnsi="仿宋_GB2312" w:eastAsia="仿宋_GB2312" w:cs="仿宋_GB2312"/>
          <w:sz w:val="32"/>
          <w:szCs w:val="32"/>
        </w:rPr>
        <w:t>统一组织市场化竞争性配置，公开择优确定投资主体，实行全容量并网开发，通过电力市场化交易模式消纳电量。</w:t>
      </w:r>
    </w:p>
    <w:p w14:paraId="372C1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指标管理</w:t>
      </w:r>
    </w:p>
    <w:p w14:paraId="58883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第八条 项目业主取得新能源指标后，须严格按照自治区、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河池</w:t>
      </w:r>
      <w:r>
        <w:rPr>
          <w:rFonts w:hint="eastAsia" w:ascii="仿宋_GB2312" w:hAnsi="仿宋_GB2312" w:eastAsia="仿宋_GB2312" w:cs="仿宋_GB2312"/>
          <w:sz w:val="32"/>
          <w:szCs w:val="32"/>
        </w:rPr>
        <w:t>市新能源项目建设方案及自治区就近消纳项目批复意见，依规开展项目核准（备案）工作，不得违规增设前置审批条件、擅自调整场址范围。存在上述违规行为的，依法撤销项目核准（备案）文件。</w:t>
      </w:r>
    </w:p>
    <w:p w14:paraId="5101E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第九条 新能源项目须在取得指标之日起2年内开工建设。逾期未开工、且经论证不具备建设条件的，企业可书面向市发展改革委申请自愿放弃指标，由市发展改革委按程序报请自治区能源局收回指标。对逾期未开工且拒不主动放弃指标的项目，市发展改革委依法提出指标收回建议，经市人民政府审定后，报请自治区能源局处置。</w:t>
      </w:r>
    </w:p>
    <w:p w14:paraId="51AF9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第十条 就近消纳项目开工前，因企业负荷大幅萎缩、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不具备</w:t>
      </w:r>
      <w:r>
        <w:rPr>
          <w:rFonts w:hint="eastAsia" w:ascii="仿宋_GB2312" w:hAnsi="仿宋_GB2312" w:eastAsia="仿宋_GB2312" w:cs="仿宋_GB2312"/>
          <w:sz w:val="32"/>
          <w:szCs w:val="32"/>
        </w:rPr>
        <w:t>就地消纳条件的，依规收回全部配置指标。项目建成投产后，企业实际用电负荷未达到协议约定消纳规模的，设置12个月整改过渡期，督促企业引入合规新增负荷补足消纳缺口。过渡期结束仍未达标，取消项目就近消纳、绿电直连专项政策待遇，项目转为市场化并网运营，同时由违约主体按照投资协议承担相应违约责任。</w:t>
      </w:r>
    </w:p>
    <w:p w14:paraId="502D4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第十一条 取得指标的新能源项目，2年内如期开工但无法按期全容量并网的，项目业主可向市发展改革委申请并网延期。经市发展改革委会同相关单位核查研究、报请自治区能源局同意后，可予以延期，延期时长原则上不超过1年。</w:t>
      </w:r>
    </w:p>
    <w:p w14:paraId="0FE5A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第十二条 项目主体存在擅自转让、倒卖新能源指标，或提供虚假材料骗取指标等违规行为的，一经查实，立即收回项目指标，并依规纳入行业信用监管。指标收回工作严格履行核查核实、书面告知、申辩听证、公示公告等程序，保障市场主体合法权益。</w:t>
      </w:r>
    </w:p>
    <w:p w14:paraId="0A34A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保障管理</w:t>
      </w:r>
    </w:p>
    <w:p w14:paraId="7AE2B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第十三条 建立源荷动态台账管理制度，常态化更新就近消纳项目企业用电负荷、配套新能源装机、项目建设进度等核心信息，联合电网企业开展常态化核查，确保源荷匹配真实合规。</w:t>
      </w:r>
    </w:p>
    <w:p w14:paraId="371B0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第十四条 市发展改革委牵头会同相关单位，每年对已配置指标新能源项目开展专项评估。重点核查就近消纳项目源荷匹配、电力消纳成效，以及市场化竞配项目建设进度、并网履约情况，评估结果作为后续指标配置、动态调整的重要依据。</w:t>
      </w:r>
    </w:p>
    <w:p w14:paraId="409C8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第十五条 本办法施行期间，若国家、自治区出台新的相关政策，从其最新规定。</w:t>
      </w:r>
    </w:p>
    <w:p w14:paraId="07ABD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第十六条 本办法自印发之日起施行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，由市发展改革委负责解释。</w:t>
      </w:r>
    </w:p>
    <w:p w14:paraId="1802C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130FA"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D77F804"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77F804"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5D03AF"/>
    <w:rsid w:val="157257B9"/>
    <w:rsid w:val="3A651F3A"/>
    <w:rsid w:val="5BD62B86"/>
    <w:rsid w:val="63F66B13"/>
    <w:rsid w:val="6C58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1843</Words>
  <Characters>1847</Characters>
  <Paragraphs>30</Paragraphs>
  <TotalTime>19</TotalTime>
  <ScaleCrop>false</ScaleCrop>
  <LinksUpToDate>false</LinksUpToDate>
  <CharactersWithSpaces>1868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2026-08-18T14:17:00Z</dcterms:created>
  <dc:creator>Administrator</dc:creator>
  <cp:lastModifiedBy>星辰岁月</cp:lastModifiedBy>
  <dcterms:modified xsi:type="dcterms:W3CDTF">2026-09-17T08:33:17Z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eyJoZGlkIjoiZDVhMWUwMTZmYzZmZGNmN2QyNWVlMGIxY2Q5N2VmYjUiLCJ1c2VySWQiOiI0NDgyMTI5NzkifQ==</vt:lpwstr>
  </property>
  <property fmtid="{D5CDD505-2E9C-101B-9397-08002B2CF9AE}" pid="4" name="ICV">
    <vt:lpwstr>D7D70DA5B59347A98FE7547314B2ECA3_13</vt:lpwstr>
  </property>
</Properties>
</file>