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Lines w:val="0"/>
        <w:pageBreakBefore w:val="0"/>
        <w:kinsoku/>
        <w:wordWrap/>
        <w:overflowPunct/>
        <w:topLinePunct w:val="0"/>
        <w:bidi w:val="0"/>
        <w:spacing w:line="560" w:lineRule="exact"/>
        <w:jc w:val="distribute"/>
        <w:textAlignment w:val="auto"/>
        <w:rPr>
          <w:rFonts w:ascii="Times New Roman" w:hAnsi="Times New Roman" w:eastAsia="黑体"/>
          <w:color w:val="auto"/>
          <w:sz w:val="36"/>
          <w:szCs w:val="36"/>
        </w:rPr>
      </w:pPr>
    </w:p>
    <w:p>
      <w:pPr>
        <w:keepLines w:val="0"/>
        <w:pageBreakBefore w:val="0"/>
        <w:kinsoku/>
        <w:wordWrap/>
        <w:overflowPunct/>
        <w:topLinePunct w:val="0"/>
        <w:bidi w:val="0"/>
        <w:spacing w:line="560" w:lineRule="exact"/>
        <w:jc w:val="center"/>
        <w:textAlignment w:val="auto"/>
        <w:rPr>
          <w:rFonts w:ascii="Times New Roman" w:hAnsi="Times New Roman" w:eastAsia="黑体"/>
          <w:color w:val="auto"/>
          <w:sz w:val="36"/>
          <w:szCs w:val="36"/>
        </w:rPr>
      </w:pPr>
    </w:p>
    <w:p>
      <w:pPr>
        <w:keepLines w:val="0"/>
        <w:pageBreakBefore w:val="0"/>
        <w:kinsoku/>
        <w:wordWrap/>
        <w:overflowPunct/>
        <w:topLinePunct w:val="0"/>
        <w:bidi w:val="0"/>
        <w:spacing w:line="560" w:lineRule="exact"/>
        <w:jc w:val="center"/>
        <w:textAlignment w:val="auto"/>
        <w:rPr>
          <w:rFonts w:ascii="Times New Roman" w:hAnsi="Times New Roman" w:eastAsia="黑体"/>
          <w:color w:val="auto"/>
          <w:sz w:val="36"/>
          <w:szCs w:val="36"/>
        </w:rPr>
      </w:pPr>
    </w:p>
    <w:p>
      <w:pPr>
        <w:keepLines w:val="0"/>
        <w:pageBreakBefore w:val="0"/>
        <w:kinsoku/>
        <w:wordWrap/>
        <w:overflowPunct/>
        <w:topLinePunct w:val="0"/>
        <w:bidi w:val="0"/>
        <w:spacing w:line="560" w:lineRule="exact"/>
        <w:ind w:firstLine="0" w:firstLineChars="0"/>
        <w:jc w:val="center"/>
        <w:textAlignment w:val="auto"/>
        <w:rPr>
          <w:rFonts w:ascii="方正小标宋简体" w:hAnsi="方正小标宋简体" w:eastAsia="方正小标宋简体" w:cs="方正小标宋简体"/>
          <w:color w:val="auto"/>
          <w:sz w:val="52"/>
          <w:szCs w:val="52"/>
        </w:rPr>
      </w:pPr>
      <w:r>
        <w:rPr>
          <w:rFonts w:hint="eastAsia" w:ascii="方正小标宋简体" w:hAnsi="方正小标宋简体" w:eastAsia="方正小标宋简体" w:cs="方正小标宋简体"/>
          <w:color w:val="auto"/>
          <w:sz w:val="52"/>
          <w:szCs w:val="52"/>
        </w:rPr>
        <w:t>酒泉市</w:t>
      </w:r>
      <w:r>
        <w:rPr>
          <w:rFonts w:hint="default" w:ascii="方正小标宋简体" w:hAnsi="方正小标宋简体" w:eastAsia="方正小标宋简体" w:cs="方正小标宋简体"/>
          <w:color w:val="auto"/>
          <w:sz w:val="52"/>
          <w:szCs w:val="52"/>
          <w:lang w:val="en"/>
        </w:rPr>
        <w:t>“</w:t>
      </w:r>
      <w:r>
        <w:rPr>
          <w:rFonts w:hint="eastAsia" w:ascii="方正小标宋简体" w:hAnsi="方正小标宋简体" w:eastAsia="方正小标宋简体" w:cs="方正小标宋简体"/>
          <w:color w:val="auto"/>
          <w:sz w:val="52"/>
          <w:szCs w:val="52"/>
        </w:rPr>
        <w:t>十五五</w:t>
      </w:r>
      <w:r>
        <w:rPr>
          <w:rFonts w:hint="default" w:ascii="方正小标宋简体" w:hAnsi="方正小标宋简体" w:eastAsia="方正小标宋简体" w:cs="方正小标宋简体"/>
          <w:color w:val="auto"/>
          <w:sz w:val="52"/>
          <w:szCs w:val="52"/>
          <w:lang w:val="en"/>
        </w:rPr>
        <w:t>”</w:t>
      </w:r>
      <w:r>
        <w:rPr>
          <w:rFonts w:hint="eastAsia" w:ascii="方正小标宋简体" w:hAnsi="方正小标宋简体" w:eastAsia="方正小标宋简体" w:cs="方正小标宋简体"/>
          <w:color w:val="auto"/>
          <w:sz w:val="52"/>
          <w:szCs w:val="52"/>
        </w:rPr>
        <w:t>工业发展规划</w:t>
      </w:r>
    </w:p>
    <w:p>
      <w:pPr>
        <w:pStyle w:val="19"/>
        <w:keepLines w:val="0"/>
        <w:pageBreakBefore w:val="0"/>
        <w:kinsoku/>
        <w:wordWrap/>
        <w:overflowPunct/>
        <w:topLinePunct w:val="0"/>
        <w:bidi w:val="0"/>
        <w:spacing w:line="560" w:lineRule="exact"/>
        <w:ind w:firstLine="0" w:firstLineChars="0"/>
        <w:jc w:val="center"/>
        <w:textAlignment w:val="auto"/>
        <w:rPr>
          <w:rFonts w:ascii="Times New Roman" w:hAnsi="Times New Roman" w:eastAsia="黑体"/>
          <w:color w:val="auto"/>
          <w:sz w:val="28"/>
          <w:szCs w:val="28"/>
        </w:rPr>
      </w:pPr>
      <w:r>
        <w:rPr>
          <w:rFonts w:ascii="Times New Roman" w:hAnsi="Times New Roman" w:eastAsia="黑体"/>
          <w:color w:val="auto"/>
          <w:sz w:val="28"/>
          <w:szCs w:val="28"/>
        </w:rPr>
        <w:t>（征求意见稿）</w:t>
      </w:r>
    </w:p>
    <w:p>
      <w:pPr>
        <w:pStyle w:val="9"/>
        <w:keepLines w:val="0"/>
        <w:pageBreakBefore w:val="0"/>
        <w:kinsoku/>
        <w:wordWrap/>
        <w:overflowPunct/>
        <w:topLinePunct w:val="0"/>
        <w:bidi w:val="0"/>
        <w:spacing w:line="560" w:lineRule="exact"/>
        <w:ind w:firstLine="560"/>
        <w:textAlignment w:val="auto"/>
        <w:rPr>
          <w:rFonts w:ascii="Times New Roman" w:hAnsi="Times New Roman" w:eastAsia="黑体" w:cs="Times New Roman"/>
          <w:color w:val="auto"/>
          <w:sz w:val="28"/>
          <w:szCs w:val="28"/>
        </w:rPr>
      </w:pPr>
    </w:p>
    <w:p>
      <w:pPr>
        <w:keepLines w:val="0"/>
        <w:pageBreakBefore w:val="0"/>
        <w:kinsoku/>
        <w:wordWrap/>
        <w:overflowPunct/>
        <w:topLinePunct w:val="0"/>
        <w:bidi w:val="0"/>
        <w:spacing w:line="560" w:lineRule="exact"/>
        <w:ind w:firstLine="560"/>
        <w:textAlignment w:val="auto"/>
        <w:rPr>
          <w:rFonts w:ascii="Times New Roman" w:hAnsi="Times New Roman" w:eastAsia="黑体"/>
          <w:color w:val="auto"/>
          <w:sz w:val="28"/>
          <w:szCs w:val="28"/>
        </w:rPr>
      </w:pPr>
    </w:p>
    <w:p>
      <w:pPr>
        <w:pStyle w:val="19"/>
        <w:keepLines w:val="0"/>
        <w:pageBreakBefore w:val="0"/>
        <w:kinsoku/>
        <w:wordWrap/>
        <w:overflowPunct/>
        <w:topLinePunct w:val="0"/>
        <w:bidi w:val="0"/>
        <w:spacing w:line="560" w:lineRule="exact"/>
        <w:ind w:firstLine="280"/>
        <w:textAlignment w:val="auto"/>
        <w:rPr>
          <w:rFonts w:ascii="Times New Roman" w:hAnsi="Times New Roman" w:eastAsia="黑体"/>
          <w:color w:val="auto"/>
          <w:sz w:val="28"/>
          <w:szCs w:val="28"/>
        </w:rPr>
      </w:pPr>
    </w:p>
    <w:p>
      <w:pPr>
        <w:pStyle w:val="9"/>
        <w:keepLines w:val="0"/>
        <w:pageBreakBefore w:val="0"/>
        <w:kinsoku/>
        <w:wordWrap/>
        <w:overflowPunct/>
        <w:topLinePunct w:val="0"/>
        <w:bidi w:val="0"/>
        <w:spacing w:line="560" w:lineRule="exact"/>
        <w:ind w:firstLine="560"/>
        <w:textAlignment w:val="auto"/>
        <w:rPr>
          <w:rFonts w:ascii="Times New Roman" w:hAnsi="Times New Roman" w:eastAsia="黑体" w:cs="Times New Roman"/>
          <w:color w:val="auto"/>
          <w:sz w:val="28"/>
          <w:szCs w:val="28"/>
        </w:rPr>
      </w:pPr>
    </w:p>
    <w:p>
      <w:pPr>
        <w:keepLines w:val="0"/>
        <w:pageBreakBefore w:val="0"/>
        <w:kinsoku/>
        <w:wordWrap/>
        <w:overflowPunct/>
        <w:topLinePunct w:val="0"/>
        <w:bidi w:val="0"/>
        <w:spacing w:line="560" w:lineRule="exact"/>
        <w:ind w:firstLine="560"/>
        <w:textAlignment w:val="auto"/>
        <w:rPr>
          <w:rFonts w:ascii="Times New Roman" w:hAnsi="Times New Roman" w:eastAsia="黑体"/>
          <w:color w:val="auto"/>
          <w:sz w:val="28"/>
          <w:szCs w:val="28"/>
        </w:rPr>
      </w:pPr>
    </w:p>
    <w:p>
      <w:pPr>
        <w:pStyle w:val="19"/>
        <w:keepLines w:val="0"/>
        <w:pageBreakBefore w:val="0"/>
        <w:kinsoku/>
        <w:wordWrap/>
        <w:overflowPunct/>
        <w:topLinePunct w:val="0"/>
        <w:bidi w:val="0"/>
        <w:spacing w:line="560" w:lineRule="exact"/>
        <w:ind w:firstLine="280"/>
        <w:textAlignment w:val="auto"/>
        <w:rPr>
          <w:rFonts w:ascii="Times New Roman" w:hAnsi="Times New Roman" w:eastAsia="黑体"/>
          <w:color w:val="auto"/>
          <w:sz w:val="28"/>
          <w:szCs w:val="28"/>
        </w:rPr>
      </w:pPr>
    </w:p>
    <w:p>
      <w:pPr>
        <w:pStyle w:val="9"/>
        <w:keepLines w:val="0"/>
        <w:pageBreakBefore w:val="0"/>
        <w:kinsoku/>
        <w:wordWrap/>
        <w:overflowPunct/>
        <w:topLinePunct w:val="0"/>
        <w:bidi w:val="0"/>
        <w:spacing w:line="560" w:lineRule="exact"/>
        <w:ind w:firstLine="560"/>
        <w:textAlignment w:val="auto"/>
        <w:rPr>
          <w:rFonts w:ascii="Times New Roman" w:hAnsi="Times New Roman" w:eastAsia="黑体" w:cs="Times New Roman"/>
          <w:color w:val="auto"/>
          <w:sz w:val="28"/>
          <w:szCs w:val="28"/>
        </w:rPr>
      </w:pPr>
    </w:p>
    <w:p>
      <w:pPr>
        <w:keepLines w:val="0"/>
        <w:pageBreakBefore w:val="0"/>
        <w:kinsoku/>
        <w:wordWrap/>
        <w:overflowPunct/>
        <w:topLinePunct w:val="0"/>
        <w:bidi w:val="0"/>
        <w:spacing w:line="560" w:lineRule="exact"/>
        <w:ind w:firstLine="560"/>
        <w:textAlignment w:val="auto"/>
        <w:rPr>
          <w:rFonts w:ascii="Times New Roman" w:hAnsi="Times New Roman" w:eastAsia="黑体"/>
          <w:color w:val="auto"/>
          <w:sz w:val="28"/>
          <w:szCs w:val="28"/>
        </w:rPr>
      </w:pPr>
    </w:p>
    <w:p>
      <w:pPr>
        <w:pStyle w:val="19"/>
        <w:keepLines w:val="0"/>
        <w:pageBreakBefore w:val="0"/>
        <w:kinsoku/>
        <w:wordWrap/>
        <w:overflowPunct/>
        <w:topLinePunct w:val="0"/>
        <w:bidi w:val="0"/>
        <w:spacing w:line="560" w:lineRule="exact"/>
        <w:ind w:firstLine="280"/>
        <w:textAlignment w:val="auto"/>
        <w:rPr>
          <w:rFonts w:ascii="Times New Roman" w:hAnsi="Times New Roman" w:eastAsia="黑体"/>
          <w:color w:val="auto"/>
          <w:sz w:val="28"/>
          <w:szCs w:val="28"/>
        </w:rPr>
      </w:pPr>
    </w:p>
    <w:p>
      <w:pPr>
        <w:pStyle w:val="9"/>
        <w:keepLines w:val="0"/>
        <w:pageBreakBefore w:val="0"/>
        <w:kinsoku/>
        <w:wordWrap/>
        <w:overflowPunct/>
        <w:topLinePunct w:val="0"/>
        <w:bidi w:val="0"/>
        <w:spacing w:line="560" w:lineRule="exact"/>
        <w:ind w:firstLine="0" w:firstLineChars="0"/>
        <w:textAlignment w:val="auto"/>
        <w:rPr>
          <w:rFonts w:ascii="Times New Roman" w:hAnsi="Times New Roman" w:eastAsia="黑体" w:cs="Times New Roman"/>
          <w:color w:val="auto"/>
          <w:sz w:val="28"/>
          <w:szCs w:val="28"/>
        </w:rPr>
      </w:pPr>
    </w:p>
    <w:p>
      <w:pPr>
        <w:keepLines w:val="0"/>
        <w:pageBreakBefore w:val="0"/>
        <w:tabs>
          <w:tab w:val="left" w:pos="5802"/>
        </w:tabs>
        <w:kinsoku/>
        <w:wordWrap/>
        <w:overflowPunct/>
        <w:topLinePunct w:val="0"/>
        <w:bidi w:val="0"/>
        <w:spacing w:line="560" w:lineRule="exact"/>
        <w:ind w:firstLine="560"/>
        <w:textAlignment w:val="auto"/>
        <w:rPr>
          <w:rFonts w:ascii="Times New Roman" w:hAnsi="Times New Roman" w:eastAsia="黑体"/>
          <w:color w:val="auto"/>
          <w:sz w:val="28"/>
          <w:szCs w:val="28"/>
        </w:rPr>
      </w:pPr>
      <w:r>
        <w:rPr>
          <w:rFonts w:hint="eastAsia" w:ascii="Times New Roman" w:hAnsi="Times New Roman" w:eastAsia="黑体"/>
          <w:color w:val="auto"/>
          <w:sz w:val="28"/>
          <w:szCs w:val="28"/>
        </w:rPr>
        <w:tab/>
      </w:r>
    </w:p>
    <w:p>
      <w:pPr>
        <w:pStyle w:val="9"/>
        <w:keepLines w:val="0"/>
        <w:pageBreakBefore w:val="0"/>
        <w:kinsoku/>
        <w:wordWrap/>
        <w:overflowPunct/>
        <w:topLinePunct w:val="0"/>
        <w:bidi w:val="0"/>
        <w:spacing w:line="560" w:lineRule="exact"/>
        <w:ind w:firstLine="0" w:firstLineChars="0"/>
        <w:jc w:val="center"/>
        <w:textAlignment w:val="auto"/>
        <w:rPr>
          <w:rFonts w:ascii="Times New Roman" w:hAnsi="Times New Roman" w:eastAsia="黑体" w:cs="Times New Roman"/>
          <w:color w:val="auto"/>
          <w:sz w:val="36"/>
          <w:szCs w:val="36"/>
        </w:rPr>
      </w:pPr>
      <w:r>
        <w:rPr>
          <w:rFonts w:ascii="Times New Roman" w:hAnsi="Times New Roman" w:eastAsia="黑体" w:cs="Times New Roman"/>
          <w:color w:val="auto"/>
          <w:sz w:val="36"/>
          <w:szCs w:val="36"/>
        </w:rPr>
        <w:t>酒泉市工业和信息化局</w:t>
      </w:r>
    </w:p>
    <w:p>
      <w:pPr>
        <w:keepLines w:val="0"/>
        <w:pageBreakBefore w:val="0"/>
        <w:kinsoku/>
        <w:wordWrap/>
        <w:overflowPunct/>
        <w:topLinePunct w:val="0"/>
        <w:bidi w:val="0"/>
        <w:spacing w:line="560" w:lineRule="exact"/>
        <w:ind w:firstLine="0" w:firstLineChars="0"/>
        <w:jc w:val="center"/>
        <w:textAlignment w:val="auto"/>
        <w:rPr>
          <w:color w:val="auto"/>
        </w:rPr>
      </w:pPr>
      <w:r>
        <w:rPr>
          <w:rFonts w:hint="eastAsia" w:ascii="Times New Roman" w:hAnsi="Times New Roman" w:eastAsia="黑体"/>
          <w:color w:val="auto"/>
          <w:sz w:val="36"/>
          <w:szCs w:val="36"/>
        </w:rPr>
        <w:t>兰州理工大学</w:t>
      </w:r>
    </w:p>
    <w:p>
      <w:pPr>
        <w:keepLines w:val="0"/>
        <w:pageBreakBefore w:val="0"/>
        <w:kinsoku/>
        <w:wordWrap/>
        <w:overflowPunct/>
        <w:topLinePunct w:val="0"/>
        <w:bidi w:val="0"/>
        <w:spacing w:line="560" w:lineRule="exact"/>
        <w:ind w:firstLine="0" w:firstLineChars="0"/>
        <w:jc w:val="center"/>
        <w:textAlignment w:val="auto"/>
        <w:rPr>
          <w:rFonts w:ascii="Times New Roman" w:hAnsi="Times New Roman"/>
          <w:color w:val="auto"/>
        </w:rPr>
      </w:pPr>
      <w:r>
        <w:rPr>
          <w:rFonts w:ascii="Times New Roman" w:hAnsi="Times New Roman" w:eastAsia="黑体"/>
          <w:color w:val="auto"/>
          <w:sz w:val="28"/>
          <w:szCs w:val="28"/>
        </w:rPr>
        <w:t>二零二</w:t>
      </w:r>
      <w:r>
        <w:rPr>
          <w:rFonts w:hint="eastAsia" w:ascii="Times New Roman" w:hAnsi="Times New Roman" w:eastAsia="黑体"/>
          <w:color w:val="auto"/>
          <w:sz w:val="28"/>
          <w:szCs w:val="28"/>
        </w:rPr>
        <w:t>六</w:t>
      </w:r>
      <w:r>
        <w:rPr>
          <w:rFonts w:ascii="Times New Roman" w:hAnsi="Times New Roman" w:eastAsia="黑体"/>
          <w:color w:val="auto"/>
          <w:sz w:val="28"/>
          <w:szCs w:val="28"/>
        </w:rPr>
        <w:t>年</w:t>
      </w:r>
      <w:r>
        <w:rPr>
          <w:rFonts w:hint="eastAsia" w:ascii="Times New Roman" w:hAnsi="Times New Roman" w:eastAsia="黑体"/>
          <w:color w:val="auto"/>
          <w:sz w:val="28"/>
          <w:szCs w:val="28"/>
        </w:rPr>
        <w:t>六</w:t>
      </w:r>
      <w:r>
        <w:rPr>
          <w:rFonts w:ascii="Times New Roman" w:hAnsi="Times New Roman" w:eastAsia="黑体"/>
          <w:color w:val="auto"/>
          <w:sz w:val="28"/>
          <w:szCs w:val="28"/>
        </w:rPr>
        <w:t>月</w:t>
      </w:r>
    </w:p>
    <w:p>
      <w:pPr>
        <w:pStyle w:val="9"/>
        <w:keepLines w:val="0"/>
        <w:pageBreakBefore w:val="0"/>
        <w:kinsoku/>
        <w:wordWrap/>
        <w:overflowPunct/>
        <w:topLinePunct w:val="0"/>
        <w:bidi w:val="0"/>
        <w:spacing w:line="560" w:lineRule="exact"/>
        <w:ind w:firstLine="0" w:firstLineChars="0"/>
        <w:jc w:val="left"/>
        <w:textAlignment w:val="auto"/>
        <w:rPr>
          <w:rFonts w:ascii="Times New Roman" w:hAnsi="Times New Roman" w:cs="Times New Roman"/>
          <w:color w:val="auto"/>
        </w:rPr>
      </w:pPr>
      <w:r>
        <w:rPr>
          <w:rFonts w:ascii="Times New Roman" w:hAnsi="Times New Roman" w:cs="Times New Roman"/>
          <w:color w:val="auto"/>
        </w:rPr>
        <w:br w:type="page"/>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color w:val="auto"/>
          <w:sz w:val="28"/>
          <w:szCs w:val="28"/>
        </w:rPr>
        <w:instrText xml:space="preserve">TOC \o "1-3" \h \u </w:instrText>
      </w:r>
      <w:r>
        <w:rPr>
          <w:color w:val="auto"/>
          <w:sz w:val="28"/>
          <w:szCs w:val="28"/>
        </w:rPr>
        <w:fldChar w:fldCharType="separate"/>
      </w:r>
      <w:r>
        <w:rPr>
          <w:color w:val="auto"/>
          <w:sz w:val="28"/>
          <w:szCs w:val="28"/>
        </w:rPr>
        <w:fldChar w:fldCharType="begin"/>
      </w:r>
      <w:r>
        <w:rPr>
          <w:sz w:val="28"/>
          <w:szCs w:val="28"/>
        </w:rPr>
        <w:instrText xml:space="preserve"> HYPERLINK \l _Toc124509156 </w:instrText>
      </w:r>
      <w:r>
        <w:rPr>
          <w:sz w:val="28"/>
          <w:szCs w:val="28"/>
        </w:rPr>
        <w:fldChar w:fldCharType="separate"/>
      </w:r>
      <w:r>
        <w:rPr>
          <w:rFonts w:hint="default" w:ascii="Times New Roman" w:hAnsi="Times New Roman" w:eastAsia="黑体"/>
          <w:bCs w:val="0"/>
          <w:sz w:val="28"/>
          <w:szCs w:val="28"/>
        </w:rPr>
        <w:t>前</w:t>
      </w:r>
      <w:r>
        <w:rPr>
          <w:rFonts w:ascii="Times New Roman" w:hAnsi="Times New Roman" w:eastAsia="黑体"/>
          <w:bCs w:val="0"/>
          <w:sz w:val="28"/>
          <w:szCs w:val="28"/>
        </w:rPr>
        <w:t xml:space="preserve">  </w:t>
      </w:r>
      <w:r>
        <w:rPr>
          <w:rFonts w:hint="default" w:ascii="Times New Roman" w:hAnsi="Times New Roman" w:eastAsia="黑体"/>
          <w:bCs w:val="0"/>
          <w:sz w:val="28"/>
          <w:szCs w:val="28"/>
        </w:rPr>
        <w:t>言</w:t>
      </w:r>
      <w:r>
        <w:rPr>
          <w:sz w:val="28"/>
          <w:szCs w:val="28"/>
        </w:rPr>
        <w:tab/>
      </w:r>
      <w:r>
        <w:rPr>
          <w:sz w:val="28"/>
          <w:szCs w:val="28"/>
        </w:rPr>
        <w:fldChar w:fldCharType="begin"/>
      </w:r>
      <w:r>
        <w:rPr>
          <w:sz w:val="28"/>
          <w:szCs w:val="28"/>
        </w:rPr>
        <w:instrText xml:space="preserve"> PAGEREF _Toc124509156 </w:instrText>
      </w:r>
      <w:r>
        <w:rPr>
          <w:sz w:val="28"/>
          <w:szCs w:val="28"/>
        </w:rPr>
        <w:fldChar w:fldCharType="separate"/>
      </w:r>
      <w:r>
        <w:rPr>
          <w:sz w:val="28"/>
          <w:szCs w:val="28"/>
        </w:rPr>
        <w:t>- 1 -</w:t>
      </w:r>
      <w:r>
        <w:rPr>
          <w:sz w:val="28"/>
          <w:szCs w:val="28"/>
        </w:rPr>
        <w:fldChar w:fldCharType="end"/>
      </w:r>
      <w:r>
        <w:rPr>
          <w:color w:val="auto"/>
          <w:sz w:val="28"/>
          <w:szCs w:val="28"/>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_Toc2080255081 </w:instrText>
      </w:r>
      <w:r>
        <w:rPr>
          <w:sz w:val="28"/>
          <w:szCs w:val="28"/>
        </w:rPr>
        <w:fldChar w:fldCharType="separate"/>
      </w:r>
      <w:r>
        <w:rPr>
          <w:rFonts w:hint="default" w:ascii="Times New Roman" w:hAnsi="Times New Roman" w:eastAsia="黑体"/>
          <w:bCs w:val="0"/>
          <w:sz w:val="28"/>
          <w:szCs w:val="28"/>
        </w:rPr>
        <w:t>第一章 发展基础与环境</w:t>
      </w:r>
      <w:r>
        <w:rPr>
          <w:sz w:val="28"/>
          <w:szCs w:val="28"/>
        </w:rPr>
        <w:tab/>
      </w:r>
      <w:r>
        <w:rPr>
          <w:sz w:val="28"/>
          <w:szCs w:val="28"/>
        </w:rPr>
        <w:fldChar w:fldCharType="begin"/>
      </w:r>
      <w:r>
        <w:rPr>
          <w:sz w:val="28"/>
          <w:szCs w:val="28"/>
        </w:rPr>
        <w:instrText xml:space="preserve"> PAGEREF _Toc2080255081 </w:instrText>
      </w:r>
      <w:r>
        <w:rPr>
          <w:sz w:val="28"/>
          <w:szCs w:val="28"/>
        </w:rPr>
        <w:fldChar w:fldCharType="separate"/>
      </w:r>
      <w:r>
        <w:rPr>
          <w:sz w:val="28"/>
          <w:szCs w:val="28"/>
        </w:rPr>
        <w:t>- 2 -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_Toc787494520 </w:instrText>
      </w:r>
      <w:r>
        <w:rPr>
          <w:sz w:val="28"/>
          <w:szCs w:val="28"/>
        </w:rPr>
        <w:fldChar w:fldCharType="separate"/>
      </w:r>
      <w:r>
        <w:rPr>
          <w:rFonts w:hint="eastAsia" w:ascii="楷体_GB2312" w:hAnsi="楷体_GB2312" w:eastAsia="楷体_GB2312" w:cs="楷体_GB2312"/>
          <w:sz w:val="28"/>
          <w:szCs w:val="28"/>
        </w:rPr>
        <w:t>一、发展基础</w:t>
      </w:r>
      <w:r>
        <w:rPr>
          <w:sz w:val="28"/>
          <w:szCs w:val="28"/>
        </w:rPr>
        <w:tab/>
      </w:r>
      <w:r>
        <w:rPr>
          <w:sz w:val="28"/>
          <w:szCs w:val="28"/>
        </w:rPr>
        <w:fldChar w:fldCharType="begin"/>
      </w:r>
      <w:r>
        <w:rPr>
          <w:sz w:val="28"/>
          <w:szCs w:val="28"/>
        </w:rPr>
        <w:instrText xml:space="preserve"> PAGEREF _Toc787494520 </w:instrText>
      </w:r>
      <w:r>
        <w:rPr>
          <w:sz w:val="28"/>
          <w:szCs w:val="28"/>
        </w:rPr>
        <w:fldChar w:fldCharType="separate"/>
      </w:r>
      <w:r>
        <w:rPr>
          <w:sz w:val="28"/>
          <w:szCs w:val="28"/>
        </w:rPr>
        <w:t>- 2 -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_Toc438476629 </w:instrText>
      </w:r>
      <w:r>
        <w:rPr>
          <w:sz w:val="28"/>
          <w:szCs w:val="28"/>
        </w:rPr>
        <w:fldChar w:fldCharType="separate"/>
      </w:r>
      <w:r>
        <w:rPr>
          <w:rFonts w:ascii="仿宋_GB2312" w:hAnsi="仿宋_GB2312" w:eastAsia="仿宋_GB2312" w:cs="仿宋_GB2312"/>
          <w:sz w:val="28"/>
          <w:szCs w:val="28"/>
        </w:rPr>
        <w:t>（一）主要成就</w:t>
      </w:r>
      <w:r>
        <w:rPr>
          <w:sz w:val="28"/>
          <w:szCs w:val="28"/>
        </w:rPr>
        <w:tab/>
      </w:r>
      <w:r>
        <w:rPr>
          <w:sz w:val="28"/>
          <w:szCs w:val="28"/>
        </w:rPr>
        <w:fldChar w:fldCharType="begin"/>
      </w:r>
      <w:r>
        <w:rPr>
          <w:sz w:val="28"/>
          <w:szCs w:val="28"/>
        </w:rPr>
        <w:instrText xml:space="preserve"> PAGEREF _Toc438476629 </w:instrText>
      </w:r>
      <w:r>
        <w:rPr>
          <w:sz w:val="28"/>
          <w:szCs w:val="28"/>
        </w:rPr>
        <w:fldChar w:fldCharType="separate"/>
      </w:r>
      <w:r>
        <w:rPr>
          <w:sz w:val="28"/>
          <w:szCs w:val="28"/>
        </w:rPr>
        <w:t>- 2 -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_Toc1382477406 </w:instrText>
      </w:r>
      <w:r>
        <w:rPr>
          <w:sz w:val="28"/>
          <w:szCs w:val="28"/>
        </w:rPr>
        <w:fldChar w:fldCharType="separate"/>
      </w:r>
      <w:r>
        <w:rPr>
          <w:rFonts w:ascii="仿宋_GB2312" w:hAnsi="仿宋_GB2312" w:eastAsia="仿宋_GB2312" w:cs="仿宋_GB2312"/>
          <w:sz w:val="28"/>
          <w:szCs w:val="28"/>
        </w:rPr>
        <w:t>（二）存在问题</w:t>
      </w:r>
      <w:r>
        <w:rPr>
          <w:sz w:val="28"/>
          <w:szCs w:val="28"/>
        </w:rPr>
        <w:tab/>
      </w:r>
      <w:r>
        <w:rPr>
          <w:sz w:val="28"/>
          <w:szCs w:val="28"/>
        </w:rPr>
        <w:fldChar w:fldCharType="begin"/>
      </w:r>
      <w:r>
        <w:rPr>
          <w:sz w:val="28"/>
          <w:szCs w:val="28"/>
        </w:rPr>
        <w:instrText xml:space="preserve"> PAGEREF _Toc1382477406 </w:instrText>
      </w:r>
      <w:r>
        <w:rPr>
          <w:sz w:val="28"/>
          <w:szCs w:val="28"/>
        </w:rPr>
        <w:fldChar w:fldCharType="separate"/>
      </w:r>
      <w:r>
        <w:rPr>
          <w:sz w:val="28"/>
          <w:szCs w:val="28"/>
        </w:rPr>
        <w:t>- 4 -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_Toc1194099759 </w:instrText>
      </w:r>
      <w:r>
        <w:rPr>
          <w:sz w:val="28"/>
          <w:szCs w:val="28"/>
        </w:rPr>
        <w:fldChar w:fldCharType="separate"/>
      </w:r>
      <w:r>
        <w:rPr>
          <w:rFonts w:hint="eastAsia" w:ascii="楷体_GB2312" w:hAnsi="楷体_GB2312" w:eastAsia="楷体_GB2312" w:cs="楷体_GB2312"/>
          <w:sz w:val="28"/>
          <w:szCs w:val="28"/>
        </w:rPr>
        <w:t>二、发展环境</w:t>
      </w:r>
      <w:r>
        <w:rPr>
          <w:sz w:val="28"/>
          <w:szCs w:val="28"/>
        </w:rPr>
        <w:tab/>
      </w:r>
      <w:r>
        <w:rPr>
          <w:sz w:val="28"/>
          <w:szCs w:val="28"/>
        </w:rPr>
        <w:fldChar w:fldCharType="begin"/>
      </w:r>
      <w:r>
        <w:rPr>
          <w:sz w:val="28"/>
          <w:szCs w:val="28"/>
        </w:rPr>
        <w:instrText xml:space="preserve"> PAGEREF _Toc1194099759 </w:instrText>
      </w:r>
      <w:r>
        <w:rPr>
          <w:sz w:val="28"/>
          <w:szCs w:val="28"/>
        </w:rPr>
        <w:fldChar w:fldCharType="separate"/>
      </w:r>
      <w:r>
        <w:rPr>
          <w:sz w:val="28"/>
          <w:szCs w:val="28"/>
        </w:rPr>
        <w:t>- 6 -</w:t>
      </w:r>
      <w:r>
        <w:rPr>
          <w:sz w:val="28"/>
          <w:szCs w:val="28"/>
        </w:rPr>
        <w:fldChar w:fldCharType="end"/>
      </w:r>
      <w:r>
        <w:rPr>
          <w:color w:val="auto"/>
          <w:sz w:val="28"/>
          <w:szCs w:val="28"/>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_Toc1444137214 </w:instrText>
      </w:r>
      <w:r>
        <w:rPr>
          <w:sz w:val="28"/>
          <w:szCs w:val="28"/>
        </w:rPr>
        <w:fldChar w:fldCharType="separate"/>
      </w:r>
      <w:r>
        <w:rPr>
          <w:rFonts w:hint="default" w:ascii="Times New Roman" w:hAnsi="Times New Roman" w:eastAsia="黑体"/>
          <w:bCs w:val="0"/>
          <w:sz w:val="28"/>
          <w:szCs w:val="28"/>
        </w:rPr>
        <w:t>第</w:t>
      </w:r>
      <w:r>
        <w:rPr>
          <w:rFonts w:ascii="Times New Roman" w:hAnsi="Times New Roman" w:eastAsia="黑体"/>
          <w:bCs w:val="0"/>
          <w:sz w:val="28"/>
          <w:szCs w:val="28"/>
        </w:rPr>
        <w:t>二</w:t>
      </w:r>
      <w:r>
        <w:rPr>
          <w:rFonts w:hint="default" w:ascii="Times New Roman" w:hAnsi="Times New Roman" w:eastAsia="黑体"/>
          <w:bCs w:val="0"/>
          <w:sz w:val="28"/>
          <w:szCs w:val="28"/>
        </w:rPr>
        <w:t xml:space="preserve">章 </w:t>
      </w:r>
      <w:r>
        <w:rPr>
          <w:rFonts w:ascii="Times New Roman" w:hAnsi="Times New Roman" w:eastAsia="黑体"/>
          <w:bCs w:val="0"/>
          <w:sz w:val="28"/>
          <w:szCs w:val="28"/>
        </w:rPr>
        <w:t>总体要求</w:t>
      </w:r>
      <w:r>
        <w:rPr>
          <w:sz w:val="28"/>
          <w:szCs w:val="28"/>
        </w:rPr>
        <w:tab/>
      </w:r>
      <w:r>
        <w:rPr>
          <w:sz w:val="28"/>
          <w:szCs w:val="28"/>
        </w:rPr>
        <w:fldChar w:fldCharType="begin"/>
      </w:r>
      <w:r>
        <w:rPr>
          <w:sz w:val="28"/>
          <w:szCs w:val="28"/>
        </w:rPr>
        <w:instrText xml:space="preserve"> PAGEREF _Toc1444137214 </w:instrText>
      </w:r>
      <w:r>
        <w:rPr>
          <w:sz w:val="28"/>
          <w:szCs w:val="28"/>
        </w:rPr>
        <w:fldChar w:fldCharType="separate"/>
      </w:r>
      <w:r>
        <w:rPr>
          <w:sz w:val="28"/>
          <w:szCs w:val="28"/>
        </w:rPr>
        <w:t>- 10 -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_Toc987560329 </w:instrText>
      </w:r>
      <w:r>
        <w:rPr>
          <w:sz w:val="28"/>
          <w:szCs w:val="28"/>
        </w:rPr>
        <w:fldChar w:fldCharType="separate"/>
      </w:r>
      <w:r>
        <w:rPr>
          <w:rFonts w:ascii="楷体_GB2312" w:hAnsi="楷体_GB2312" w:eastAsia="楷体_GB2312" w:cs="楷体_GB2312"/>
          <w:sz w:val="28"/>
          <w:szCs w:val="28"/>
        </w:rPr>
        <w:t>一、指导思想</w:t>
      </w:r>
      <w:r>
        <w:rPr>
          <w:sz w:val="28"/>
          <w:szCs w:val="28"/>
        </w:rPr>
        <w:tab/>
      </w:r>
      <w:r>
        <w:rPr>
          <w:sz w:val="28"/>
          <w:szCs w:val="28"/>
        </w:rPr>
        <w:fldChar w:fldCharType="begin"/>
      </w:r>
      <w:r>
        <w:rPr>
          <w:sz w:val="28"/>
          <w:szCs w:val="28"/>
        </w:rPr>
        <w:instrText xml:space="preserve"> PAGEREF _Toc987560329 </w:instrText>
      </w:r>
      <w:r>
        <w:rPr>
          <w:sz w:val="28"/>
          <w:szCs w:val="28"/>
        </w:rPr>
        <w:fldChar w:fldCharType="separate"/>
      </w:r>
      <w:r>
        <w:rPr>
          <w:sz w:val="28"/>
          <w:szCs w:val="28"/>
        </w:rPr>
        <w:t>- 10 -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_Toc1534987590 </w:instrText>
      </w:r>
      <w:r>
        <w:rPr>
          <w:sz w:val="28"/>
          <w:szCs w:val="28"/>
        </w:rPr>
        <w:fldChar w:fldCharType="separate"/>
      </w:r>
      <w:r>
        <w:rPr>
          <w:rFonts w:hint="eastAsia" w:ascii="楷体_GB2312" w:hAnsi="楷体_GB2312" w:eastAsia="楷体_GB2312" w:cs="楷体_GB2312"/>
          <w:sz w:val="28"/>
          <w:szCs w:val="28"/>
        </w:rPr>
        <w:t>二、发展目标</w:t>
      </w:r>
      <w:r>
        <w:rPr>
          <w:sz w:val="28"/>
          <w:szCs w:val="28"/>
        </w:rPr>
        <w:tab/>
      </w:r>
      <w:r>
        <w:rPr>
          <w:sz w:val="28"/>
          <w:szCs w:val="28"/>
        </w:rPr>
        <w:fldChar w:fldCharType="begin"/>
      </w:r>
      <w:r>
        <w:rPr>
          <w:sz w:val="28"/>
          <w:szCs w:val="28"/>
        </w:rPr>
        <w:instrText xml:space="preserve"> PAGEREF _Toc1534987590 </w:instrText>
      </w:r>
      <w:r>
        <w:rPr>
          <w:sz w:val="28"/>
          <w:szCs w:val="28"/>
        </w:rPr>
        <w:fldChar w:fldCharType="separate"/>
      </w:r>
      <w:r>
        <w:rPr>
          <w:sz w:val="28"/>
          <w:szCs w:val="28"/>
        </w:rPr>
        <w:t>- 10 -</w:t>
      </w:r>
      <w:r>
        <w:rPr>
          <w:sz w:val="28"/>
          <w:szCs w:val="28"/>
        </w:rPr>
        <w:fldChar w:fldCharType="end"/>
      </w:r>
      <w:r>
        <w:rPr>
          <w:color w:val="auto"/>
          <w:sz w:val="28"/>
          <w:szCs w:val="28"/>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_Toc332842767 </w:instrText>
      </w:r>
      <w:r>
        <w:rPr>
          <w:sz w:val="28"/>
          <w:szCs w:val="28"/>
        </w:rPr>
        <w:fldChar w:fldCharType="separate"/>
      </w:r>
      <w:r>
        <w:rPr>
          <w:rFonts w:hint="default" w:ascii="Times New Roman" w:hAnsi="Times New Roman" w:eastAsia="黑体"/>
          <w:bCs w:val="0"/>
          <w:sz w:val="28"/>
          <w:szCs w:val="28"/>
        </w:rPr>
        <w:t>第三章 空间布局</w:t>
      </w:r>
      <w:r>
        <w:rPr>
          <w:sz w:val="28"/>
          <w:szCs w:val="28"/>
        </w:rPr>
        <w:tab/>
      </w:r>
      <w:r>
        <w:rPr>
          <w:sz w:val="28"/>
          <w:szCs w:val="28"/>
        </w:rPr>
        <w:fldChar w:fldCharType="begin"/>
      </w:r>
      <w:r>
        <w:rPr>
          <w:sz w:val="28"/>
          <w:szCs w:val="28"/>
        </w:rPr>
        <w:instrText xml:space="preserve"> PAGEREF _Toc332842767 </w:instrText>
      </w:r>
      <w:r>
        <w:rPr>
          <w:sz w:val="28"/>
          <w:szCs w:val="28"/>
        </w:rPr>
        <w:fldChar w:fldCharType="separate"/>
      </w:r>
      <w:r>
        <w:rPr>
          <w:sz w:val="28"/>
          <w:szCs w:val="28"/>
        </w:rPr>
        <w:t>- 13 -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_Toc1497457608 </w:instrText>
      </w:r>
      <w:r>
        <w:rPr>
          <w:sz w:val="28"/>
          <w:szCs w:val="28"/>
        </w:rPr>
        <w:fldChar w:fldCharType="separate"/>
      </w:r>
      <w:r>
        <w:rPr>
          <w:rFonts w:hint="eastAsia" w:ascii="楷体_GB2312" w:hAnsi="楷体_GB2312" w:eastAsia="楷体_GB2312" w:cs="楷体_GB2312"/>
          <w:sz w:val="28"/>
          <w:szCs w:val="28"/>
        </w:rPr>
        <w:t>一、</w:t>
      </w:r>
      <w:r>
        <w:rPr>
          <w:rFonts w:hint="default" w:ascii="楷体_GB2312" w:hAnsi="楷体_GB2312" w:eastAsia="楷体_GB2312" w:cs="楷体_GB2312"/>
          <w:sz w:val="28"/>
          <w:szCs w:val="28"/>
          <w:lang w:val="en"/>
        </w:rPr>
        <w:t>“</w:t>
      </w:r>
      <w:r>
        <w:rPr>
          <w:rFonts w:hint="eastAsia" w:ascii="楷体_GB2312" w:hAnsi="楷体_GB2312" w:eastAsia="楷体_GB2312" w:cs="楷体_GB2312"/>
          <w:sz w:val="28"/>
          <w:szCs w:val="28"/>
        </w:rPr>
        <w:t>三区</w:t>
      </w:r>
      <w:r>
        <w:rPr>
          <w:rFonts w:hint="default" w:ascii="楷体_GB2312" w:hAnsi="楷体_GB2312" w:eastAsia="楷体_GB2312" w:cs="楷体_GB2312"/>
          <w:sz w:val="28"/>
          <w:szCs w:val="28"/>
          <w:lang w:val="en"/>
        </w:rPr>
        <w:t>”</w:t>
      </w:r>
      <w:r>
        <w:rPr>
          <w:rFonts w:hint="eastAsia" w:ascii="楷体_GB2312" w:hAnsi="楷体_GB2312" w:eastAsia="楷体_GB2312" w:cs="楷体_GB2312"/>
          <w:sz w:val="28"/>
          <w:szCs w:val="28"/>
        </w:rPr>
        <w:t>协同</w:t>
      </w:r>
      <w:r>
        <w:rPr>
          <w:sz w:val="28"/>
          <w:szCs w:val="28"/>
        </w:rPr>
        <w:tab/>
      </w:r>
      <w:r>
        <w:rPr>
          <w:sz w:val="28"/>
          <w:szCs w:val="28"/>
        </w:rPr>
        <w:fldChar w:fldCharType="begin"/>
      </w:r>
      <w:r>
        <w:rPr>
          <w:sz w:val="28"/>
          <w:szCs w:val="28"/>
        </w:rPr>
        <w:instrText xml:space="preserve"> PAGEREF _Toc1497457608 </w:instrText>
      </w:r>
      <w:r>
        <w:rPr>
          <w:sz w:val="28"/>
          <w:szCs w:val="28"/>
        </w:rPr>
        <w:fldChar w:fldCharType="separate"/>
      </w:r>
      <w:r>
        <w:rPr>
          <w:sz w:val="28"/>
          <w:szCs w:val="28"/>
        </w:rPr>
        <w:t>- 13 -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_Toc315456926 </w:instrText>
      </w:r>
      <w:r>
        <w:rPr>
          <w:sz w:val="28"/>
          <w:szCs w:val="28"/>
        </w:rPr>
        <w:fldChar w:fldCharType="separate"/>
      </w:r>
      <w:r>
        <w:rPr>
          <w:rFonts w:hint="eastAsia" w:ascii="楷体_GB2312" w:hAnsi="楷体_GB2312" w:eastAsia="楷体_GB2312" w:cs="楷体_GB2312"/>
          <w:sz w:val="28"/>
          <w:szCs w:val="28"/>
        </w:rPr>
        <w:t>二、</w:t>
      </w:r>
      <w:r>
        <w:rPr>
          <w:rFonts w:hint="default" w:ascii="楷体_GB2312" w:hAnsi="楷体_GB2312" w:eastAsia="楷体_GB2312" w:cs="楷体_GB2312"/>
          <w:sz w:val="28"/>
          <w:szCs w:val="28"/>
          <w:lang w:val="en"/>
        </w:rPr>
        <w:t>“</w:t>
      </w:r>
      <w:r>
        <w:rPr>
          <w:rFonts w:hint="eastAsia" w:ascii="楷体_GB2312" w:hAnsi="楷体_GB2312" w:eastAsia="楷体_GB2312" w:cs="楷体_GB2312"/>
          <w:sz w:val="28"/>
          <w:szCs w:val="28"/>
        </w:rPr>
        <w:t>多点</w:t>
      </w:r>
      <w:r>
        <w:rPr>
          <w:rFonts w:hint="default" w:ascii="楷体_GB2312" w:hAnsi="楷体_GB2312" w:eastAsia="楷体_GB2312" w:cs="楷体_GB2312"/>
          <w:sz w:val="28"/>
          <w:szCs w:val="28"/>
          <w:lang w:val="en"/>
        </w:rPr>
        <w:t>”</w:t>
      </w:r>
      <w:r>
        <w:rPr>
          <w:rFonts w:hint="eastAsia" w:ascii="楷体_GB2312" w:hAnsi="楷体_GB2312" w:eastAsia="楷体_GB2312" w:cs="楷体_GB2312"/>
          <w:sz w:val="28"/>
          <w:szCs w:val="28"/>
        </w:rPr>
        <w:t>联动</w:t>
      </w:r>
      <w:r>
        <w:rPr>
          <w:sz w:val="28"/>
          <w:szCs w:val="28"/>
        </w:rPr>
        <w:tab/>
      </w:r>
      <w:r>
        <w:rPr>
          <w:sz w:val="28"/>
          <w:szCs w:val="28"/>
        </w:rPr>
        <w:fldChar w:fldCharType="begin"/>
      </w:r>
      <w:r>
        <w:rPr>
          <w:sz w:val="28"/>
          <w:szCs w:val="28"/>
        </w:rPr>
        <w:instrText xml:space="preserve"> PAGEREF _Toc315456926 </w:instrText>
      </w:r>
      <w:r>
        <w:rPr>
          <w:sz w:val="28"/>
          <w:szCs w:val="28"/>
        </w:rPr>
        <w:fldChar w:fldCharType="separate"/>
      </w:r>
      <w:r>
        <w:rPr>
          <w:sz w:val="28"/>
          <w:szCs w:val="28"/>
        </w:rPr>
        <w:t>- 15 -</w:t>
      </w:r>
      <w:r>
        <w:rPr>
          <w:sz w:val="28"/>
          <w:szCs w:val="28"/>
        </w:rPr>
        <w:fldChar w:fldCharType="end"/>
      </w:r>
      <w:r>
        <w:rPr>
          <w:color w:val="auto"/>
          <w:sz w:val="28"/>
          <w:szCs w:val="28"/>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_Toc1018340222 </w:instrText>
      </w:r>
      <w:r>
        <w:rPr>
          <w:sz w:val="28"/>
          <w:szCs w:val="28"/>
        </w:rPr>
        <w:fldChar w:fldCharType="separate"/>
      </w:r>
      <w:r>
        <w:rPr>
          <w:rFonts w:hint="default" w:ascii="Times New Roman" w:hAnsi="Times New Roman" w:eastAsia="黑体"/>
          <w:bCs w:val="0"/>
          <w:sz w:val="28"/>
          <w:szCs w:val="28"/>
        </w:rPr>
        <w:t>第四章 发展重点</w:t>
      </w:r>
      <w:r>
        <w:rPr>
          <w:sz w:val="28"/>
          <w:szCs w:val="28"/>
        </w:rPr>
        <w:tab/>
      </w:r>
      <w:r>
        <w:rPr>
          <w:sz w:val="28"/>
          <w:szCs w:val="28"/>
        </w:rPr>
        <w:fldChar w:fldCharType="begin"/>
      </w:r>
      <w:r>
        <w:rPr>
          <w:sz w:val="28"/>
          <w:szCs w:val="28"/>
        </w:rPr>
        <w:instrText xml:space="preserve"> PAGEREF _Toc1018340222 </w:instrText>
      </w:r>
      <w:r>
        <w:rPr>
          <w:sz w:val="28"/>
          <w:szCs w:val="28"/>
        </w:rPr>
        <w:fldChar w:fldCharType="separate"/>
      </w:r>
      <w:r>
        <w:rPr>
          <w:sz w:val="28"/>
          <w:szCs w:val="28"/>
        </w:rPr>
        <w:t>- 18 -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_Toc1912937445 </w:instrText>
      </w:r>
      <w:r>
        <w:rPr>
          <w:sz w:val="28"/>
          <w:szCs w:val="28"/>
        </w:rPr>
        <w:fldChar w:fldCharType="separate"/>
      </w:r>
      <w:r>
        <w:rPr>
          <w:rFonts w:ascii="楷体_GB2312" w:hAnsi="楷体_GB2312" w:eastAsia="楷体_GB2312" w:cs="楷体_GB2312"/>
          <w:sz w:val="28"/>
          <w:szCs w:val="28"/>
        </w:rPr>
        <w:t>一、</w:t>
      </w:r>
      <w:r>
        <w:rPr>
          <w:rFonts w:hint="eastAsia" w:ascii="楷体_GB2312" w:hAnsi="楷体_GB2312" w:eastAsia="楷体_GB2312" w:cs="楷体_GB2312"/>
          <w:sz w:val="28"/>
          <w:szCs w:val="28"/>
        </w:rPr>
        <w:t>首位</w:t>
      </w:r>
      <w:r>
        <w:rPr>
          <w:rFonts w:ascii="楷体_GB2312" w:hAnsi="楷体_GB2312" w:eastAsia="楷体_GB2312" w:cs="楷体_GB2312"/>
          <w:sz w:val="28"/>
          <w:szCs w:val="28"/>
        </w:rPr>
        <w:t>产业高端跃升，打造</w:t>
      </w:r>
      <w:r>
        <w:rPr>
          <w:rFonts w:hint="default" w:ascii="楷体_GB2312" w:hAnsi="楷体_GB2312" w:eastAsia="楷体_GB2312" w:cs="楷体_GB2312"/>
          <w:sz w:val="28"/>
          <w:szCs w:val="28"/>
          <w:lang w:val="en" w:eastAsia="zh-CN"/>
        </w:rPr>
        <w:t>“</w:t>
      </w:r>
      <w:r>
        <w:rPr>
          <w:rFonts w:hint="eastAsia" w:ascii="楷体_GB2312" w:hAnsi="楷体_GB2312" w:eastAsia="楷体_GB2312" w:cs="楷体_GB2312"/>
          <w:sz w:val="28"/>
          <w:szCs w:val="28"/>
        </w:rPr>
        <w:t>新能源+</w:t>
      </w:r>
      <w:r>
        <w:rPr>
          <w:rFonts w:hint="default" w:ascii="楷体_GB2312" w:hAnsi="楷体_GB2312" w:eastAsia="楷体_GB2312" w:cs="楷体_GB2312"/>
          <w:sz w:val="28"/>
          <w:szCs w:val="28"/>
          <w:lang w:val="en" w:eastAsia="zh-CN"/>
        </w:rPr>
        <w:t>”</w:t>
      </w:r>
      <w:r>
        <w:rPr>
          <w:rFonts w:hint="eastAsia" w:ascii="楷体_GB2312" w:hAnsi="楷体_GB2312" w:eastAsia="楷体_GB2312" w:cs="楷体_GB2312"/>
          <w:sz w:val="28"/>
          <w:szCs w:val="28"/>
        </w:rPr>
        <w:t>示范基地</w:t>
      </w:r>
      <w:r>
        <w:rPr>
          <w:sz w:val="28"/>
          <w:szCs w:val="28"/>
        </w:rPr>
        <w:tab/>
      </w:r>
      <w:r>
        <w:rPr>
          <w:sz w:val="28"/>
          <w:szCs w:val="28"/>
        </w:rPr>
        <w:fldChar w:fldCharType="begin"/>
      </w:r>
      <w:r>
        <w:rPr>
          <w:sz w:val="28"/>
          <w:szCs w:val="28"/>
        </w:rPr>
        <w:instrText xml:space="preserve"> PAGEREF _Toc1912937445 </w:instrText>
      </w:r>
      <w:r>
        <w:rPr>
          <w:sz w:val="28"/>
          <w:szCs w:val="28"/>
        </w:rPr>
        <w:fldChar w:fldCharType="separate"/>
      </w:r>
      <w:r>
        <w:rPr>
          <w:sz w:val="28"/>
          <w:szCs w:val="28"/>
        </w:rPr>
        <w:t>- 18 -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_Toc610796286 </w:instrText>
      </w:r>
      <w:r>
        <w:rPr>
          <w:sz w:val="28"/>
          <w:szCs w:val="28"/>
        </w:rPr>
        <w:fldChar w:fldCharType="separate"/>
      </w:r>
      <w:r>
        <w:rPr>
          <w:rFonts w:ascii="仿宋_GB2312" w:hAnsi="仿宋_GB2312" w:eastAsia="仿宋_GB2312" w:cs="仿宋_GB2312"/>
          <w:sz w:val="28"/>
          <w:szCs w:val="28"/>
        </w:rPr>
        <w:t>（一）发展目标</w:t>
      </w:r>
      <w:r>
        <w:rPr>
          <w:sz w:val="28"/>
          <w:szCs w:val="28"/>
        </w:rPr>
        <w:tab/>
      </w:r>
      <w:r>
        <w:rPr>
          <w:sz w:val="28"/>
          <w:szCs w:val="28"/>
        </w:rPr>
        <w:fldChar w:fldCharType="begin"/>
      </w:r>
      <w:r>
        <w:rPr>
          <w:sz w:val="28"/>
          <w:szCs w:val="28"/>
        </w:rPr>
        <w:instrText xml:space="preserve"> PAGEREF _Toc610796286 </w:instrText>
      </w:r>
      <w:r>
        <w:rPr>
          <w:sz w:val="28"/>
          <w:szCs w:val="28"/>
        </w:rPr>
        <w:fldChar w:fldCharType="separate"/>
      </w:r>
      <w:r>
        <w:rPr>
          <w:sz w:val="28"/>
          <w:szCs w:val="28"/>
        </w:rPr>
        <w:t>- 18 -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_Toc378675146 </w:instrText>
      </w:r>
      <w:r>
        <w:rPr>
          <w:sz w:val="28"/>
          <w:szCs w:val="28"/>
        </w:rPr>
        <w:fldChar w:fldCharType="separate"/>
      </w:r>
      <w:r>
        <w:rPr>
          <w:rFonts w:ascii="仿宋_GB2312" w:hAnsi="仿宋_GB2312" w:eastAsia="仿宋_GB2312" w:cs="仿宋_GB2312"/>
          <w:sz w:val="28"/>
          <w:szCs w:val="28"/>
        </w:rPr>
        <w:t>（二）发展重点</w:t>
      </w:r>
      <w:r>
        <w:rPr>
          <w:sz w:val="28"/>
          <w:szCs w:val="28"/>
        </w:rPr>
        <w:tab/>
      </w:r>
      <w:r>
        <w:rPr>
          <w:sz w:val="28"/>
          <w:szCs w:val="28"/>
        </w:rPr>
        <w:fldChar w:fldCharType="begin"/>
      </w:r>
      <w:r>
        <w:rPr>
          <w:sz w:val="28"/>
          <w:szCs w:val="28"/>
        </w:rPr>
        <w:instrText xml:space="preserve"> PAGEREF _Toc378675146 </w:instrText>
      </w:r>
      <w:r>
        <w:rPr>
          <w:sz w:val="28"/>
          <w:szCs w:val="28"/>
        </w:rPr>
        <w:fldChar w:fldCharType="separate"/>
      </w:r>
      <w:r>
        <w:rPr>
          <w:sz w:val="28"/>
          <w:szCs w:val="28"/>
        </w:rPr>
        <w:t>- 19 -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_Toc1098897720 </w:instrText>
      </w:r>
      <w:r>
        <w:rPr>
          <w:sz w:val="28"/>
          <w:szCs w:val="28"/>
        </w:rPr>
        <w:fldChar w:fldCharType="separate"/>
      </w:r>
      <w:r>
        <w:rPr>
          <w:rFonts w:hint="eastAsia" w:ascii="楷体_GB2312" w:hAnsi="楷体_GB2312" w:eastAsia="楷体_GB2312" w:cs="楷体_GB2312"/>
          <w:sz w:val="28"/>
          <w:szCs w:val="28"/>
          <w:lang w:eastAsia="zh-CN"/>
        </w:rPr>
        <w:t>二</w:t>
      </w:r>
      <w:r>
        <w:rPr>
          <w:rFonts w:ascii="楷体_GB2312" w:hAnsi="楷体_GB2312" w:eastAsia="楷体_GB2312" w:cs="楷体_GB2312"/>
          <w:sz w:val="28"/>
          <w:szCs w:val="28"/>
        </w:rPr>
        <w:t>、</w:t>
      </w:r>
      <w:r>
        <w:rPr>
          <w:rFonts w:hint="eastAsia" w:ascii="楷体_GB2312" w:hAnsi="楷体_GB2312" w:eastAsia="楷体_GB2312" w:cs="楷体_GB2312"/>
          <w:sz w:val="28"/>
          <w:szCs w:val="28"/>
        </w:rPr>
        <w:t>优势</w:t>
      </w:r>
      <w:r>
        <w:rPr>
          <w:rFonts w:ascii="楷体_GB2312" w:hAnsi="楷体_GB2312" w:eastAsia="楷体_GB2312" w:cs="楷体_GB2312"/>
          <w:sz w:val="28"/>
          <w:szCs w:val="28"/>
        </w:rPr>
        <w:t>产业</w:t>
      </w:r>
      <w:r>
        <w:rPr>
          <w:rFonts w:hint="eastAsia" w:ascii="楷体_GB2312" w:hAnsi="楷体_GB2312" w:eastAsia="楷体_GB2312" w:cs="楷体_GB2312"/>
          <w:sz w:val="28"/>
          <w:szCs w:val="28"/>
        </w:rPr>
        <w:t>集群扩展</w:t>
      </w:r>
      <w:r>
        <w:rPr>
          <w:rFonts w:ascii="楷体_GB2312" w:hAnsi="楷体_GB2312" w:eastAsia="楷体_GB2312" w:cs="楷体_GB2312"/>
          <w:sz w:val="28"/>
          <w:szCs w:val="28"/>
        </w:rPr>
        <w:t>，夯实率先发展根基</w:t>
      </w:r>
      <w:r>
        <w:rPr>
          <w:sz w:val="28"/>
          <w:szCs w:val="28"/>
        </w:rPr>
        <w:tab/>
      </w:r>
      <w:r>
        <w:rPr>
          <w:sz w:val="28"/>
          <w:szCs w:val="28"/>
        </w:rPr>
        <w:fldChar w:fldCharType="begin"/>
      </w:r>
      <w:r>
        <w:rPr>
          <w:sz w:val="28"/>
          <w:szCs w:val="28"/>
        </w:rPr>
        <w:instrText xml:space="preserve"> PAGEREF _Toc1098897720 </w:instrText>
      </w:r>
      <w:r>
        <w:rPr>
          <w:sz w:val="28"/>
          <w:szCs w:val="28"/>
        </w:rPr>
        <w:fldChar w:fldCharType="separate"/>
      </w:r>
      <w:r>
        <w:rPr>
          <w:sz w:val="28"/>
          <w:szCs w:val="28"/>
        </w:rPr>
        <w:t>- 25 -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_Toc903674743 </w:instrText>
      </w:r>
      <w:r>
        <w:rPr>
          <w:sz w:val="28"/>
          <w:szCs w:val="28"/>
        </w:rPr>
        <w:fldChar w:fldCharType="separate"/>
      </w:r>
      <w:r>
        <w:rPr>
          <w:rFonts w:ascii="仿宋_GB2312" w:hAnsi="仿宋_GB2312" w:eastAsia="仿宋_GB2312" w:cs="仿宋_GB2312"/>
          <w:sz w:val="28"/>
          <w:szCs w:val="28"/>
        </w:rPr>
        <w:t>（一）现代化工产业</w:t>
      </w:r>
      <w:r>
        <w:rPr>
          <w:sz w:val="28"/>
          <w:szCs w:val="28"/>
        </w:rPr>
        <w:tab/>
      </w:r>
      <w:r>
        <w:rPr>
          <w:sz w:val="28"/>
          <w:szCs w:val="28"/>
        </w:rPr>
        <w:fldChar w:fldCharType="begin"/>
      </w:r>
      <w:r>
        <w:rPr>
          <w:sz w:val="28"/>
          <w:szCs w:val="28"/>
        </w:rPr>
        <w:instrText xml:space="preserve"> PAGEREF _Toc903674743 </w:instrText>
      </w:r>
      <w:r>
        <w:rPr>
          <w:sz w:val="28"/>
          <w:szCs w:val="28"/>
        </w:rPr>
        <w:fldChar w:fldCharType="separate"/>
      </w:r>
      <w:r>
        <w:rPr>
          <w:sz w:val="28"/>
          <w:szCs w:val="28"/>
        </w:rPr>
        <w:t>- 25 -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_Toc1840301181 </w:instrText>
      </w:r>
      <w:r>
        <w:rPr>
          <w:sz w:val="28"/>
          <w:szCs w:val="28"/>
        </w:rPr>
        <w:fldChar w:fldCharType="separate"/>
      </w:r>
      <w:r>
        <w:rPr>
          <w:rFonts w:ascii="仿宋_GB2312" w:hAnsi="仿宋_GB2312" w:eastAsia="仿宋_GB2312" w:cs="仿宋_GB2312"/>
          <w:sz w:val="28"/>
          <w:szCs w:val="28"/>
        </w:rPr>
        <w:t>1.发展目标</w:t>
      </w:r>
      <w:r>
        <w:rPr>
          <w:sz w:val="28"/>
          <w:szCs w:val="28"/>
        </w:rPr>
        <w:tab/>
      </w:r>
      <w:r>
        <w:rPr>
          <w:sz w:val="28"/>
          <w:szCs w:val="28"/>
        </w:rPr>
        <w:fldChar w:fldCharType="begin"/>
      </w:r>
      <w:r>
        <w:rPr>
          <w:sz w:val="28"/>
          <w:szCs w:val="28"/>
        </w:rPr>
        <w:instrText xml:space="preserve"> PAGEREF _Toc1840301181 </w:instrText>
      </w:r>
      <w:r>
        <w:rPr>
          <w:sz w:val="28"/>
          <w:szCs w:val="28"/>
        </w:rPr>
        <w:fldChar w:fldCharType="separate"/>
      </w:r>
      <w:r>
        <w:rPr>
          <w:sz w:val="28"/>
          <w:szCs w:val="28"/>
        </w:rPr>
        <w:t>- 25 -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_Toc568353222 </w:instrText>
      </w:r>
      <w:r>
        <w:rPr>
          <w:sz w:val="28"/>
          <w:szCs w:val="28"/>
        </w:rPr>
        <w:fldChar w:fldCharType="separate"/>
      </w:r>
      <w:r>
        <w:rPr>
          <w:rFonts w:ascii="仿宋_GB2312" w:hAnsi="仿宋_GB2312" w:eastAsia="仿宋_GB2312" w:cs="仿宋_GB2312"/>
          <w:sz w:val="28"/>
          <w:szCs w:val="28"/>
        </w:rPr>
        <w:t>2.发展重点</w:t>
      </w:r>
      <w:r>
        <w:rPr>
          <w:sz w:val="28"/>
          <w:szCs w:val="28"/>
        </w:rPr>
        <w:tab/>
      </w:r>
      <w:r>
        <w:rPr>
          <w:sz w:val="28"/>
          <w:szCs w:val="28"/>
        </w:rPr>
        <w:fldChar w:fldCharType="begin"/>
      </w:r>
      <w:r>
        <w:rPr>
          <w:sz w:val="28"/>
          <w:szCs w:val="28"/>
        </w:rPr>
        <w:instrText xml:space="preserve"> PAGEREF _Toc568353222 </w:instrText>
      </w:r>
      <w:r>
        <w:rPr>
          <w:sz w:val="28"/>
          <w:szCs w:val="28"/>
        </w:rPr>
        <w:fldChar w:fldCharType="separate"/>
      </w:r>
      <w:r>
        <w:rPr>
          <w:sz w:val="28"/>
          <w:szCs w:val="28"/>
        </w:rPr>
        <w:t>- 25 -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_Toc1332515777 </w:instrText>
      </w:r>
      <w:r>
        <w:rPr>
          <w:sz w:val="28"/>
          <w:szCs w:val="28"/>
        </w:rPr>
        <w:fldChar w:fldCharType="separate"/>
      </w:r>
      <w:r>
        <w:rPr>
          <w:rFonts w:ascii="仿宋_GB2312" w:hAnsi="仿宋_GB2312" w:eastAsia="仿宋_GB2312" w:cs="仿宋_GB2312"/>
          <w:sz w:val="28"/>
          <w:szCs w:val="28"/>
        </w:rPr>
        <w:t>（二）矿产品精深加工产业</w:t>
      </w:r>
      <w:r>
        <w:rPr>
          <w:sz w:val="28"/>
          <w:szCs w:val="28"/>
        </w:rPr>
        <w:tab/>
      </w:r>
      <w:r>
        <w:rPr>
          <w:sz w:val="28"/>
          <w:szCs w:val="28"/>
        </w:rPr>
        <w:fldChar w:fldCharType="begin"/>
      </w:r>
      <w:r>
        <w:rPr>
          <w:sz w:val="28"/>
          <w:szCs w:val="28"/>
        </w:rPr>
        <w:instrText xml:space="preserve"> PAGEREF _Toc1332515777 </w:instrText>
      </w:r>
      <w:r>
        <w:rPr>
          <w:sz w:val="28"/>
          <w:szCs w:val="28"/>
        </w:rPr>
        <w:fldChar w:fldCharType="separate"/>
      </w:r>
      <w:r>
        <w:rPr>
          <w:sz w:val="28"/>
          <w:szCs w:val="28"/>
        </w:rPr>
        <w:t>- 27 -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_Toc1620559205 </w:instrText>
      </w:r>
      <w:r>
        <w:rPr>
          <w:sz w:val="28"/>
          <w:szCs w:val="28"/>
        </w:rPr>
        <w:fldChar w:fldCharType="separate"/>
      </w:r>
      <w:r>
        <w:rPr>
          <w:rFonts w:ascii="仿宋_GB2312" w:hAnsi="仿宋_GB2312" w:eastAsia="仿宋_GB2312" w:cs="仿宋_GB2312"/>
          <w:sz w:val="28"/>
          <w:szCs w:val="28"/>
        </w:rPr>
        <w:t>1.发展目标</w:t>
      </w:r>
      <w:r>
        <w:rPr>
          <w:sz w:val="28"/>
          <w:szCs w:val="28"/>
        </w:rPr>
        <w:tab/>
      </w:r>
      <w:r>
        <w:rPr>
          <w:sz w:val="28"/>
          <w:szCs w:val="28"/>
        </w:rPr>
        <w:fldChar w:fldCharType="begin"/>
      </w:r>
      <w:r>
        <w:rPr>
          <w:sz w:val="28"/>
          <w:szCs w:val="28"/>
        </w:rPr>
        <w:instrText xml:space="preserve"> PAGEREF _Toc1620559205 </w:instrText>
      </w:r>
      <w:r>
        <w:rPr>
          <w:sz w:val="28"/>
          <w:szCs w:val="28"/>
        </w:rPr>
        <w:fldChar w:fldCharType="separate"/>
      </w:r>
      <w:r>
        <w:rPr>
          <w:sz w:val="28"/>
          <w:szCs w:val="28"/>
        </w:rPr>
        <w:t>- 27 -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_Toc409438395 </w:instrText>
      </w:r>
      <w:r>
        <w:rPr>
          <w:sz w:val="28"/>
          <w:szCs w:val="28"/>
        </w:rPr>
        <w:fldChar w:fldCharType="separate"/>
      </w:r>
      <w:r>
        <w:rPr>
          <w:rFonts w:ascii="仿宋_GB2312" w:hAnsi="仿宋_GB2312" w:eastAsia="仿宋_GB2312" w:cs="仿宋_GB2312"/>
          <w:sz w:val="28"/>
          <w:szCs w:val="28"/>
        </w:rPr>
        <w:t>2.发展重点</w:t>
      </w:r>
      <w:r>
        <w:rPr>
          <w:sz w:val="28"/>
          <w:szCs w:val="28"/>
        </w:rPr>
        <w:tab/>
      </w:r>
      <w:r>
        <w:rPr>
          <w:sz w:val="28"/>
          <w:szCs w:val="28"/>
        </w:rPr>
        <w:fldChar w:fldCharType="begin"/>
      </w:r>
      <w:r>
        <w:rPr>
          <w:sz w:val="28"/>
          <w:szCs w:val="28"/>
        </w:rPr>
        <w:instrText xml:space="preserve"> PAGEREF _Toc409438395 </w:instrText>
      </w:r>
      <w:r>
        <w:rPr>
          <w:sz w:val="28"/>
          <w:szCs w:val="28"/>
        </w:rPr>
        <w:fldChar w:fldCharType="separate"/>
      </w:r>
      <w:r>
        <w:rPr>
          <w:sz w:val="28"/>
          <w:szCs w:val="28"/>
        </w:rPr>
        <w:t>- 28 -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_Toc907912637 </w:instrText>
      </w:r>
      <w:r>
        <w:rPr>
          <w:sz w:val="28"/>
          <w:szCs w:val="28"/>
        </w:rPr>
        <w:fldChar w:fldCharType="separate"/>
      </w:r>
      <w:r>
        <w:rPr>
          <w:rFonts w:ascii="仿宋_GB2312" w:hAnsi="仿宋_GB2312" w:eastAsia="仿宋_GB2312" w:cs="仿宋_GB2312"/>
          <w:sz w:val="28"/>
          <w:szCs w:val="28"/>
        </w:rPr>
        <w:t>（三）新材料产业</w:t>
      </w:r>
      <w:r>
        <w:rPr>
          <w:sz w:val="28"/>
          <w:szCs w:val="28"/>
        </w:rPr>
        <w:tab/>
      </w:r>
      <w:r>
        <w:rPr>
          <w:sz w:val="28"/>
          <w:szCs w:val="28"/>
        </w:rPr>
        <w:fldChar w:fldCharType="begin"/>
      </w:r>
      <w:r>
        <w:rPr>
          <w:sz w:val="28"/>
          <w:szCs w:val="28"/>
        </w:rPr>
        <w:instrText xml:space="preserve"> PAGEREF _Toc907912637 </w:instrText>
      </w:r>
      <w:r>
        <w:rPr>
          <w:sz w:val="28"/>
          <w:szCs w:val="28"/>
        </w:rPr>
        <w:fldChar w:fldCharType="separate"/>
      </w:r>
      <w:r>
        <w:rPr>
          <w:sz w:val="28"/>
          <w:szCs w:val="28"/>
        </w:rPr>
        <w:t>- 31 -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_Toc417905396 </w:instrText>
      </w:r>
      <w:r>
        <w:rPr>
          <w:sz w:val="28"/>
          <w:szCs w:val="28"/>
        </w:rPr>
        <w:fldChar w:fldCharType="separate"/>
      </w:r>
      <w:r>
        <w:rPr>
          <w:rFonts w:ascii="仿宋_GB2312" w:hAnsi="仿宋_GB2312" w:eastAsia="仿宋_GB2312" w:cs="仿宋_GB2312"/>
          <w:sz w:val="28"/>
          <w:szCs w:val="28"/>
        </w:rPr>
        <w:t>1.发展目标</w:t>
      </w:r>
      <w:r>
        <w:rPr>
          <w:sz w:val="28"/>
          <w:szCs w:val="28"/>
        </w:rPr>
        <w:tab/>
      </w:r>
      <w:r>
        <w:rPr>
          <w:sz w:val="28"/>
          <w:szCs w:val="28"/>
        </w:rPr>
        <w:fldChar w:fldCharType="begin"/>
      </w:r>
      <w:r>
        <w:rPr>
          <w:sz w:val="28"/>
          <w:szCs w:val="28"/>
        </w:rPr>
        <w:instrText xml:space="preserve"> PAGEREF _Toc417905396 </w:instrText>
      </w:r>
      <w:r>
        <w:rPr>
          <w:sz w:val="28"/>
          <w:szCs w:val="28"/>
        </w:rPr>
        <w:fldChar w:fldCharType="separate"/>
      </w:r>
      <w:r>
        <w:rPr>
          <w:sz w:val="28"/>
          <w:szCs w:val="28"/>
        </w:rPr>
        <w:t>- 31 -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_Toc1620062954 </w:instrText>
      </w:r>
      <w:r>
        <w:rPr>
          <w:sz w:val="28"/>
          <w:szCs w:val="28"/>
        </w:rPr>
        <w:fldChar w:fldCharType="separate"/>
      </w:r>
      <w:r>
        <w:rPr>
          <w:rFonts w:ascii="仿宋_GB2312" w:hAnsi="仿宋_GB2312" w:eastAsia="仿宋_GB2312" w:cs="仿宋_GB2312"/>
          <w:sz w:val="28"/>
          <w:szCs w:val="28"/>
        </w:rPr>
        <w:t>2.发展重点</w:t>
      </w:r>
      <w:r>
        <w:rPr>
          <w:sz w:val="28"/>
          <w:szCs w:val="28"/>
        </w:rPr>
        <w:tab/>
      </w:r>
      <w:r>
        <w:rPr>
          <w:sz w:val="28"/>
          <w:szCs w:val="28"/>
        </w:rPr>
        <w:fldChar w:fldCharType="begin"/>
      </w:r>
      <w:r>
        <w:rPr>
          <w:sz w:val="28"/>
          <w:szCs w:val="28"/>
        </w:rPr>
        <w:instrText xml:space="preserve"> PAGEREF _Toc1620062954 </w:instrText>
      </w:r>
      <w:r>
        <w:rPr>
          <w:sz w:val="28"/>
          <w:szCs w:val="28"/>
        </w:rPr>
        <w:fldChar w:fldCharType="separate"/>
      </w:r>
      <w:r>
        <w:rPr>
          <w:sz w:val="28"/>
          <w:szCs w:val="28"/>
        </w:rPr>
        <w:t>- 31 -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_Toc2067713184 </w:instrText>
      </w:r>
      <w:r>
        <w:rPr>
          <w:sz w:val="28"/>
          <w:szCs w:val="28"/>
        </w:rPr>
        <w:fldChar w:fldCharType="separate"/>
      </w:r>
      <w:r>
        <w:rPr>
          <w:rFonts w:hint="eastAsia" w:ascii="楷体_GB2312" w:hAnsi="楷体_GB2312" w:eastAsia="楷体_GB2312" w:cs="楷体_GB2312"/>
          <w:sz w:val="28"/>
          <w:szCs w:val="28"/>
          <w:lang w:eastAsia="zh-CN"/>
        </w:rPr>
        <w:t>三</w:t>
      </w:r>
      <w:r>
        <w:rPr>
          <w:rFonts w:ascii="楷体_GB2312" w:hAnsi="楷体_GB2312" w:eastAsia="楷体_GB2312" w:cs="楷体_GB2312"/>
          <w:sz w:val="28"/>
          <w:szCs w:val="28"/>
        </w:rPr>
        <w:t>、战略产业纵深突破，服务国家重大需求</w:t>
      </w:r>
      <w:r>
        <w:rPr>
          <w:sz w:val="28"/>
          <w:szCs w:val="28"/>
        </w:rPr>
        <w:tab/>
      </w:r>
      <w:r>
        <w:rPr>
          <w:sz w:val="28"/>
          <w:szCs w:val="28"/>
        </w:rPr>
        <w:fldChar w:fldCharType="begin"/>
      </w:r>
      <w:r>
        <w:rPr>
          <w:sz w:val="28"/>
          <w:szCs w:val="28"/>
        </w:rPr>
        <w:instrText xml:space="preserve"> PAGEREF _Toc2067713184 </w:instrText>
      </w:r>
      <w:r>
        <w:rPr>
          <w:sz w:val="28"/>
          <w:szCs w:val="28"/>
        </w:rPr>
        <w:fldChar w:fldCharType="separate"/>
      </w:r>
      <w:r>
        <w:rPr>
          <w:sz w:val="28"/>
          <w:szCs w:val="28"/>
        </w:rPr>
        <w:t>- 33 -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_Toc1909591815 </w:instrText>
      </w:r>
      <w:r>
        <w:rPr>
          <w:sz w:val="28"/>
          <w:szCs w:val="28"/>
        </w:rPr>
        <w:fldChar w:fldCharType="separate"/>
      </w:r>
      <w:r>
        <w:rPr>
          <w:rFonts w:ascii="仿宋_GB2312" w:hAnsi="仿宋_GB2312" w:eastAsia="仿宋_GB2312" w:cs="仿宋_GB2312"/>
          <w:sz w:val="28"/>
          <w:szCs w:val="28"/>
        </w:rPr>
        <w:t>（一）核及核关联产业</w:t>
      </w:r>
      <w:r>
        <w:rPr>
          <w:sz w:val="28"/>
          <w:szCs w:val="28"/>
        </w:rPr>
        <w:tab/>
      </w:r>
      <w:r>
        <w:rPr>
          <w:sz w:val="28"/>
          <w:szCs w:val="28"/>
        </w:rPr>
        <w:fldChar w:fldCharType="begin"/>
      </w:r>
      <w:r>
        <w:rPr>
          <w:sz w:val="28"/>
          <w:szCs w:val="28"/>
        </w:rPr>
        <w:instrText xml:space="preserve"> PAGEREF _Toc1909591815 </w:instrText>
      </w:r>
      <w:r>
        <w:rPr>
          <w:sz w:val="28"/>
          <w:szCs w:val="28"/>
        </w:rPr>
        <w:fldChar w:fldCharType="separate"/>
      </w:r>
      <w:r>
        <w:rPr>
          <w:sz w:val="28"/>
          <w:szCs w:val="28"/>
        </w:rPr>
        <w:t>- 33 -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_Toc1406192101 </w:instrText>
      </w:r>
      <w:r>
        <w:rPr>
          <w:sz w:val="28"/>
          <w:szCs w:val="28"/>
        </w:rPr>
        <w:fldChar w:fldCharType="separate"/>
      </w:r>
      <w:r>
        <w:rPr>
          <w:rFonts w:hint="eastAsia" w:ascii="仿宋_GB2312" w:hAnsi="仿宋_GB2312" w:eastAsia="仿宋_GB2312" w:cs="仿宋_GB2312"/>
          <w:bCs w:val="0"/>
          <w:kern w:val="2"/>
          <w:sz w:val="28"/>
          <w:szCs w:val="28"/>
          <w:lang w:val="en-US" w:eastAsia="zh-CN" w:bidi="ar-SA"/>
        </w:rPr>
        <w:t>（略）</w:t>
      </w:r>
      <w:r>
        <w:rPr>
          <w:sz w:val="28"/>
          <w:szCs w:val="28"/>
        </w:rPr>
        <w:tab/>
      </w:r>
      <w:r>
        <w:rPr>
          <w:sz w:val="28"/>
          <w:szCs w:val="28"/>
        </w:rPr>
        <w:fldChar w:fldCharType="begin"/>
      </w:r>
      <w:r>
        <w:rPr>
          <w:sz w:val="28"/>
          <w:szCs w:val="28"/>
        </w:rPr>
        <w:instrText xml:space="preserve"> PAGEREF _Toc1406192101 </w:instrText>
      </w:r>
      <w:r>
        <w:rPr>
          <w:sz w:val="28"/>
          <w:szCs w:val="28"/>
        </w:rPr>
        <w:fldChar w:fldCharType="separate"/>
      </w:r>
      <w:r>
        <w:rPr>
          <w:sz w:val="28"/>
          <w:szCs w:val="28"/>
        </w:rPr>
        <w:t>- 33 -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_Toc1113743101 </w:instrText>
      </w:r>
      <w:r>
        <w:rPr>
          <w:sz w:val="28"/>
          <w:szCs w:val="28"/>
        </w:rPr>
        <w:fldChar w:fldCharType="separate"/>
      </w:r>
      <w:r>
        <w:rPr>
          <w:rFonts w:hint="default" w:ascii="Times New Roman" w:hAnsi="Times New Roman" w:eastAsia="仿宋"/>
          <w:sz w:val="28"/>
          <w:szCs w:val="28"/>
        </w:rPr>
        <w:t>（二）航天航空</w:t>
      </w:r>
      <w:r>
        <w:rPr>
          <w:rFonts w:ascii="Times New Roman" w:hAnsi="Times New Roman" w:eastAsia="仿宋"/>
          <w:sz w:val="28"/>
          <w:szCs w:val="28"/>
        </w:rPr>
        <w:t>产业</w:t>
      </w:r>
      <w:r>
        <w:rPr>
          <w:sz w:val="28"/>
          <w:szCs w:val="28"/>
        </w:rPr>
        <w:tab/>
      </w:r>
      <w:r>
        <w:rPr>
          <w:sz w:val="28"/>
          <w:szCs w:val="28"/>
        </w:rPr>
        <w:fldChar w:fldCharType="begin"/>
      </w:r>
      <w:r>
        <w:rPr>
          <w:sz w:val="28"/>
          <w:szCs w:val="28"/>
        </w:rPr>
        <w:instrText xml:space="preserve"> PAGEREF _Toc1113743101 </w:instrText>
      </w:r>
      <w:r>
        <w:rPr>
          <w:sz w:val="28"/>
          <w:szCs w:val="28"/>
        </w:rPr>
        <w:fldChar w:fldCharType="separate"/>
      </w:r>
      <w:r>
        <w:rPr>
          <w:sz w:val="28"/>
          <w:szCs w:val="28"/>
        </w:rPr>
        <w:t>- 33 -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_Toc746604859 </w:instrText>
      </w:r>
      <w:r>
        <w:rPr>
          <w:sz w:val="28"/>
          <w:szCs w:val="28"/>
        </w:rPr>
        <w:fldChar w:fldCharType="separate"/>
      </w:r>
      <w:r>
        <w:rPr>
          <w:rFonts w:hint="eastAsia" w:ascii="仿宋_GB2312" w:hAnsi="仿宋_GB2312" w:eastAsia="仿宋_GB2312" w:cs="仿宋_GB2312"/>
          <w:bCs w:val="0"/>
          <w:kern w:val="2"/>
          <w:sz w:val="28"/>
          <w:szCs w:val="28"/>
          <w:lang w:val="en-US" w:eastAsia="zh-CN" w:bidi="ar-SA"/>
        </w:rPr>
        <w:t>（略）</w:t>
      </w:r>
      <w:r>
        <w:rPr>
          <w:sz w:val="28"/>
          <w:szCs w:val="28"/>
        </w:rPr>
        <w:tab/>
      </w:r>
      <w:r>
        <w:rPr>
          <w:sz w:val="28"/>
          <w:szCs w:val="28"/>
        </w:rPr>
        <w:fldChar w:fldCharType="begin"/>
      </w:r>
      <w:r>
        <w:rPr>
          <w:sz w:val="28"/>
          <w:szCs w:val="28"/>
        </w:rPr>
        <w:instrText xml:space="preserve"> PAGEREF _Toc746604859 </w:instrText>
      </w:r>
      <w:r>
        <w:rPr>
          <w:sz w:val="28"/>
          <w:szCs w:val="28"/>
        </w:rPr>
        <w:fldChar w:fldCharType="separate"/>
      </w:r>
      <w:r>
        <w:rPr>
          <w:sz w:val="28"/>
          <w:szCs w:val="28"/>
        </w:rPr>
        <w:t>- 33 -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_Toc1530701257 </w:instrText>
      </w:r>
      <w:r>
        <w:rPr>
          <w:sz w:val="28"/>
          <w:szCs w:val="28"/>
        </w:rPr>
        <w:fldChar w:fldCharType="separate"/>
      </w:r>
      <w:r>
        <w:rPr>
          <w:rFonts w:ascii="楷体_GB2312" w:hAnsi="楷体_GB2312" w:eastAsia="楷体_GB2312" w:cs="楷体_GB2312"/>
          <w:sz w:val="28"/>
          <w:szCs w:val="28"/>
        </w:rPr>
        <w:t>四、</w:t>
      </w:r>
      <w:r>
        <w:rPr>
          <w:rFonts w:hint="eastAsia" w:ascii="楷体_GB2312" w:hAnsi="楷体_GB2312" w:eastAsia="楷体_GB2312" w:cs="楷体_GB2312"/>
          <w:sz w:val="28"/>
          <w:szCs w:val="28"/>
        </w:rPr>
        <w:t>区域特色</w:t>
      </w:r>
      <w:r>
        <w:rPr>
          <w:rFonts w:ascii="楷体_GB2312" w:hAnsi="楷体_GB2312" w:eastAsia="楷体_GB2312" w:cs="楷体_GB2312"/>
          <w:sz w:val="28"/>
          <w:szCs w:val="28"/>
        </w:rPr>
        <w:t>产业提质增效，打造产业新增长点</w:t>
      </w:r>
      <w:r>
        <w:rPr>
          <w:sz w:val="28"/>
          <w:szCs w:val="28"/>
        </w:rPr>
        <w:tab/>
      </w:r>
      <w:r>
        <w:rPr>
          <w:sz w:val="28"/>
          <w:szCs w:val="28"/>
        </w:rPr>
        <w:fldChar w:fldCharType="begin"/>
      </w:r>
      <w:r>
        <w:rPr>
          <w:sz w:val="28"/>
          <w:szCs w:val="28"/>
        </w:rPr>
        <w:instrText xml:space="preserve"> PAGEREF _Toc1530701257 </w:instrText>
      </w:r>
      <w:r>
        <w:rPr>
          <w:sz w:val="28"/>
          <w:szCs w:val="28"/>
        </w:rPr>
        <w:fldChar w:fldCharType="separate"/>
      </w:r>
      <w:r>
        <w:rPr>
          <w:sz w:val="28"/>
          <w:szCs w:val="28"/>
        </w:rPr>
        <w:t>- 34 -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_Toc1046514534 </w:instrText>
      </w:r>
      <w:r>
        <w:rPr>
          <w:sz w:val="28"/>
          <w:szCs w:val="28"/>
        </w:rPr>
        <w:fldChar w:fldCharType="separate"/>
      </w:r>
      <w:r>
        <w:rPr>
          <w:rFonts w:ascii="仿宋_GB2312" w:hAnsi="仿宋_GB2312" w:eastAsia="仿宋_GB2312" w:cs="仿宋_GB2312"/>
          <w:sz w:val="28"/>
          <w:szCs w:val="28"/>
        </w:rPr>
        <w:t>（一）农机装备制造产业</w:t>
      </w:r>
      <w:r>
        <w:rPr>
          <w:sz w:val="28"/>
          <w:szCs w:val="28"/>
        </w:rPr>
        <w:tab/>
      </w:r>
      <w:r>
        <w:rPr>
          <w:sz w:val="28"/>
          <w:szCs w:val="28"/>
        </w:rPr>
        <w:fldChar w:fldCharType="begin"/>
      </w:r>
      <w:r>
        <w:rPr>
          <w:sz w:val="28"/>
          <w:szCs w:val="28"/>
        </w:rPr>
        <w:instrText xml:space="preserve"> PAGEREF _Toc1046514534 </w:instrText>
      </w:r>
      <w:r>
        <w:rPr>
          <w:sz w:val="28"/>
          <w:szCs w:val="28"/>
        </w:rPr>
        <w:fldChar w:fldCharType="separate"/>
      </w:r>
      <w:r>
        <w:rPr>
          <w:sz w:val="28"/>
          <w:szCs w:val="28"/>
        </w:rPr>
        <w:t>- 34 -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_Toc1534099379 </w:instrText>
      </w:r>
      <w:r>
        <w:rPr>
          <w:sz w:val="28"/>
          <w:szCs w:val="28"/>
        </w:rPr>
        <w:fldChar w:fldCharType="separate"/>
      </w:r>
      <w:r>
        <w:rPr>
          <w:rFonts w:ascii="仿宋_GB2312" w:hAnsi="仿宋_GB2312" w:eastAsia="仿宋_GB2312" w:cs="仿宋_GB2312"/>
          <w:sz w:val="28"/>
          <w:szCs w:val="28"/>
        </w:rPr>
        <w:t>1.发展目标</w:t>
      </w:r>
      <w:r>
        <w:rPr>
          <w:sz w:val="28"/>
          <w:szCs w:val="28"/>
        </w:rPr>
        <w:tab/>
      </w:r>
      <w:r>
        <w:rPr>
          <w:sz w:val="28"/>
          <w:szCs w:val="28"/>
        </w:rPr>
        <w:fldChar w:fldCharType="begin"/>
      </w:r>
      <w:r>
        <w:rPr>
          <w:sz w:val="28"/>
          <w:szCs w:val="28"/>
        </w:rPr>
        <w:instrText xml:space="preserve"> PAGEREF _Toc1534099379 </w:instrText>
      </w:r>
      <w:r>
        <w:rPr>
          <w:sz w:val="28"/>
          <w:szCs w:val="28"/>
        </w:rPr>
        <w:fldChar w:fldCharType="separate"/>
      </w:r>
      <w:r>
        <w:rPr>
          <w:sz w:val="28"/>
          <w:szCs w:val="28"/>
        </w:rPr>
        <w:t>- 34 -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_Toc1969177887 </w:instrText>
      </w:r>
      <w:r>
        <w:rPr>
          <w:sz w:val="28"/>
          <w:szCs w:val="28"/>
        </w:rPr>
        <w:fldChar w:fldCharType="separate"/>
      </w:r>
      <w:r>
        <w:rPr>
          <w:rFonts w:ascii="仿宋_GB2312" w:hAnsi="仿宋_GB2312" w:eastAsia="仿宋_GB2312" w:cs="仿宋_GB2312"/>
          <w:sz w:val="28"/>
          <w:szCs w:val="28"/>
        </w:rPr>
        <w:t>2.发展重点</w:t>
      </w:r>
      <w:r>
        <w:rPr>
          <w:sz w:val="28"/>
          <w:szCs w:val="28"/>
        </w:rPr>
        <w:tab/>
      </w:r>
      <w:r>
        <w:rPr>
          <w:sz w:val="28"/>
          <w:szCs w:val="28"/>
        </w:rPr>
        <w:fldChar w:fldCharType="begin"/>
      </w:r>
      <w:r>
        <w:rPr>
          <w:sz w:val="28"/>
          <w:szCs w:val="28"/>
        </w:rPr>
        <w:instrText xml:space="preserve"> PAGEREF _Toc1969177887 </w:instrText>
      </w:r>
      <w:r>
        <w:rPr>
          <w:sz w:val="28"/>
          <w:szCs w:val="28"/>
        </w:rPr>
        <w:fldChar w:fldCharType="separate"/>
      </w:r>
      <w:r>
        <w:rPr>
          <w:sz w:val="28"/>
          <w:szCs w:val="28"/>
        </w:rPr>
        <w:t>- 34 -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_Toc281508293 </w:instrText>
      </w:r>
      <w:r>
        <w:rPr>
          <w:sz w:val="28"/>
          <w:szCs w:val="28"/>
        </w:rPr>
        <w:fldChar w:fldCharType="separate"/>
      </w:r>
      <w:r>
        <w:rPr>
          <w:rFonts w:ascii="仿宋_GB2312" w:hAnsi="仿宋_GB2312" w:eastAsia="仿宋_GB2312" w:cs="仿宋_GB2312"/>
          <w:sz w:val="28"/>
          <w:szCs w:val="28"/>
        </w:rPr>
        <w:t>（二）生物医药产业</w:t>
      </w:r>
      <w:r>
        <w:rPr>
          <w:sz w:val="28"/>
          <w:szCs w:val="28"/>
        </w:rPr>
        <w:tab/>
      </w:r>
      <w:r>
        <w:rPr>
          <w:sz w:val="28"/>
          <w:szCs w:val="28"/>
        </w:rPr>
        <w:fldChar w:fldCharType="begin"/>
      </w:r>
      <w:r>
        <w:rPr>
          <w:sz w:val="28"/>
          <w:szCs w:val="28"/>
        </w:rPr>
        <w:instrText xml:space="preserve"> PAGEREF _Toc281508293 </w:instrText>
      </w:r>
      <w:r>
        <w:rPr>
          <w:sz w:val="28"/>
          <w:szCs w:val="28"/>
        </w:rPr>
        <w:fldChar w:fldCharType="separate"/>
      </w:r>
      <w:r>
        <w:rPr>
          <w:sz w:val="28"/>
          <w:szCs w:val="28"/>
        </w:rPr>
        <w:t>- 35 -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_Toc580715491 </w:instrText>
      </w:r>
      <w:r>
        <w:rPr>
          <w:sz w:val="28"/>
          <w:szCs w:val="28"/>
        </w:rPr>
        <w:fldChar w:fldCharType="separate"/>
      </w:r>
      <w:r>
        <w:rPr>
          <w:rFonts w:ascii="仿宋_GB2312" w:hAnsi="仿宋_GB2312" w:eastAsia="仿宋_GB2312" w:cs="仿宋_GB2312"/>
          <w:sz w:val="28"/>
          <w:szCs w:val="28"/>
        </w:rPr>
        <w:t>1.发展目标</w:t>
      </w:r>
      <w:r>
        <w:rPr>
          <w:sz w:val="28"/>
          <w:szCs w:val="28"/>
        </w:rPr>
        <w:tab/>
      </w:r>
      <w:r>
        <w:rPr>
          <w:sz w:val="28"/>
          <w:szCs w:val="28"/>
        </w:rPr>
        <w:fldChar w:fldCharType="begin"/>
      </w:r>
      <w:r>
        <w:rPr>
          <w:sz w:val="28"/>
          <w:szCs w:val="28"/>
        </w:rPr>
        <w:instrText xml:space="preserve"> PAGEREF _Toc580715491 </w:instrText>
      </w:r>
      <w:r>
        <w:rPr>
          <w:sz w:val="28"/>
          <w:szCs w:val="28"/>
        </w:rPr>
        <w:fldChar w:fldCharType="separate"/>
      </w:r>
      <w:r>
        <w:rPr>
          <w:sz w:val="28"/>
          <w:szCs w:val="28"/>
        </w:rPr>
        <w:t>- 35 -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_Toc1265831453 </w:instrText>
      </w:r>
      <w:r>
        <w:rPr>
          <w:sz w:val="28"/>
          <w:szCs w:val="28"/>
        </w:rPr>
        <w:fldChar w:fldCharType="separate"/>
      </w:r>
      <w:r>
        <w:rPr>
          <w:rFonts w:ascii="仿宋_GB2312" w:hAnsi="仿宋_GB2312" w:eastAsia="仿宋_GB2312" w:cs="仿宋_GB2312"/>
          <w:sz w:val="28"/>
          <w:szCs w:val="28"/>
        </w:rPr>
        <w:t>2.发展重点</w:t>
      </w:r>
      <w:r>
        <w:rPr>
          <w:sz w:val="28"/>
          <w:szCs w:val="28"/>
        </w:rPr>
        <w:tab/>
      </w:r>
      <w:r>
        <w:rPr>
          <w:sz w:val="28"/>
          <w:szCs w:val="28"/>
        </w:rPr>
        <w:fldChar w:fldCharType="begin"/>
      </w:r>
      <w:r>
        <w:rPr>
          <w:sz w:val="28"/>
          <w:szCs w:val="28"/>
        </w:rPr>
        <w:instrText xml:space="preserve"> PAGEREF _Toc1265831453 </w:instrText>
      </w:r>
      <w:r>
        <w:rPr>
          <w:sz w:val="28"/>
          <w:szCs w:val="28"/>
        </w:rPr>
        <w:fldChar w:fldCharType="separate"/>
      </w:r>
      <w:r>
        <w:rPr>
          <w:sz w:val="28"/>
          <w:szCs w:val="28"/>
        </w:rPr>
        <w:t>- 35 -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_Toc1269068622 </w:instrText>
      </w:r>
      <w:r>
        <w:rPr>
          <w:sz w:val="28"/>
          <w:szCs w:val="28"/>
        </w:rPr>
        <w:fldChar w:fldCharType="separate"/>
      </w:r>
      <w:r>
        <w:rPr>
          <w:rFonts w:ascii="仿宋_GB2312" w:hAnsi="仿宋_GB2312" w:eastAsia="仿宋_GB2312" w:cs="仿宋_GB2312"/>
          <w:sz w:val="28"/>
          <w:szCs w:val="28"/>
        </w:rPr>
        <w:t>（三）农产品精深加工</w:t>
      </w:r>
      <w:r>
        <w:rPr>
          <w:sz w:val="28"/>
          <w:szCs w:val="28"/>
        </w:rPr>
        <w:tab/>
      </w:r>
      <w:r>
        <w:rPr>
          <w:sz w:val="28"/>
          <w:szCs w:val="28"/>
        </w:rPr>
        <w:fldChar w:fldCharType="begin"/>
      </w:r>
      <w:r>
        <w:rPr>
          <w:sz w:val="28"/>
          <w:szCs w:val="28"/>
        </w:rPr>
        <w:instrText xml:space="preserve"> PAGEREF _Toc1269068622 </w:instrText>
      </w:r>
      <w:r>
        <w:rPr>
          <w:sz w:val="28"/>
          <w:szCs w:val="28"/>
        </w:rPr>
        <w:fldChar w:fldCharType="separate"/>
      </w:r>
      <w:r>
        <w:rPr>
          <w:sz w:val="28"/>
          <w:szCs w:val="28"/>
        </w:rPr>
        <w:t>- 36 -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_Toc2115703081 </w:instrText>
      </w:r>
      <w:r>
        <w:rPr>
          <w:sz w:val="28"/>
          <w:szCs w:val="28"/>
        </w:rPr>
        <w:fldChar w:fldCharType="separate"/>
      </w:r>
      <w:r>
        <w:rPr>
          <w:rFonts w:ascii="仿宋_GB2312" w:hAnsi="仿宋_GB2312" w:eastAsia="仿宋_GB2312" w:cs="仿宋_GB2312"/>
          <w:sz w:val="28"/>
          <w:szCs w:val="28"/>
        </w:rPr>
        <w:t>1.发展目标</w:t>
      </w:r>
      <w:r>
        <w:rPr>
          <w:sz w:val="28"/>
          <w:szCs w:val="28"/>
        </w:rPr>
        <w:tab/>
      </w:r>
      <w:r>
        <w:rPr>
          <w:sz w:val="28"/>
          <w:szCs w:val="28"/>
        </w:rPr>
        <w:fldChar w:fldCharType="begin"/>
      </w:r>
      <w:r>
        <w:rPr>
          <w:sz w:val="28"/>
          <w:szCs w:val="28"/>
        </w:rPr>
        <w:instrText xml:space="preserve"> PAGEREF _Toc2115703081 </w:instrText>
      </w:r>
      <w:r>
        <w:rPr>
          <w:sz w:val="28"/>
          <w:szCs w:val="28"/>
        </w:rPr>
        <w:fldChar w:fldCharType="separate"/>
      </w:r>
      <w:r>
        <w:rPr>
          <w:sz w:val="28"/>
          <w:szCs w:val="28"/>
        </w:rPr>
        <w:t>- 36 -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_Toc1598674220 </w:instrText>
      </w:r>
      <w:r>
        <w:rPr>
          <w:sz w:val="28"/>
          <w:szCs w:val="28"/>
        </w:rPr>
        <w:fldChar w:fldCharType="separate"/>
      </w:r>
      <w:r>
        <w:rPr>
          <w:rFonts w:ascii="仿宋_GB2312" w:hAnsi="仿宋_GB2312" w:eastAsia="仿宋_GB2312" w:cs="仿宋_GB2312"/>
          <w:sz w:val="28"/>
          <w:szCs w:val="28"/>
        </w:rPr>
        <w:t>2.发展重点</w:t>
      </w:r>
      <w:r>
        <w:rPr>
          <w:sz w:val="28"/>
          <w:szCs w:val="28"/>
        </w:rPr>
        <w:tab/>
      </w:r>
      <w:r>
        <w:rPr>
          <w:sz w:val="28"/>
          <w:szCs w:val="28"/>
        </w:rPr>
        <w:fldChar w:fldCharType="begin"/>
      </w:r>
      <w:r>
        <w:rPr>
          <w:sz w:val="28"/>
          <w:szCs w:val="28"/>
        </w:rPr>
        <w:instrText xml:space="preserve"> PAGEREF _Toc1598674220 </w:instrText>
      </w:r>
      <w:r>
        <w:rPr>
          <w:sz w:val="28"/>
          <w:szCs w:val="28"/>
        </w:rPr>
        <w:fldChar w:fldCharType="separate"/>
      </w:r>
      <w:r>
        <w:rPr>
          <w:sz w:val="28"/>
          <w:szCs w:val="28"/>
        </w:rPr>
        <w:t>- 36 -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_Toc619042583 </w:instrText>
      </w:r>
      <w:r>
        <w:rPr>
          <w:sz w:val="28"/>
          <w:szCs w:val="28"/>
        </w:rPr>
        <w:fldChar w:fldCharType="separate"/>
      </w:r>
      <w:r>
        <w:rPr>
          <w:rFonts w:ascii="仿宋_GB2312" w:hAnsi="仿宋_GB2312" w:eastAsia="仿宋_GB2312" w:cs="仿宋_GB2312"/>
          <w:sz w:val="28"/>
          <w:szCs w:val="28"/>
        </w:rPr>
        <w:t>（四）绿色建材产业</w:t>
      </w:r>
      <w:r>
        <w:rPr>
          <w:sz w:val="28"/>
          <w:szCs w:val="28"/>
        </w:rPr>
        <w:tab/>
      </w:r>
      <w:r>
        <w:rPr>
          <w:sz w:val="28"/>
          <w:szCs w:val="28"/>
        </w:rPr>
        <w:fldChar w:fldCharType="begin"/>
      </w:r>
      <w:r>
        <w:rPr>
          <w:sz w:val="28"/>
          <w:szCs w:val="28"/>
        </w:rPr>
        <w:instrText xml:space="preserve"> PAGEREF _Toc619042583 </w:instrText>
      </w:r>
      <w:r>
        <w:rPr>
          <w:sz w:val="28"/>
          <w:szCs w:val="28"/>
        </w:rPr>
        <w:fldChar w:fldCharType="separate"/>
      </w:r>
      <w:r>
        <w:rPr>
          <w:sz w:val="28"/>
          <w:szCs w:val="28"/>
        </w:rPr>
        <w:t>- 37 -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_Toc283676359 </w:instrText>
      </w:r>
      <w:r>
        <w:rPr>
          <w:sz w:val="28"/>
          <w:szCs w:val="28"/>
        </w:rPr>
        <w:fldChar w:fldCharType="separate"/>
      </w:r>
      <w:r>
        <w:rPr>
          <w:rFonts w:ascii="仿宋_GB2312" w:hAnsi="仿宋_GB2312" w:eastAsia="仿宋_GB2312" w:cs="仿宋_GB2312"/>
          <w:sz w:val="28"/>
          <w:szCs w:val="28"/>
        </w:rPr>
        <w:t>1.发展目标</w:t>
      </w:r>
      <w:r>
        <w:rPr>
          <w:sz w:val="28"/>
          <w:szCs w:val="28"/>
        </w:rPr>
        <w:tab/>
      </w:r>
      <w:r>
        <w:rPr>
          <w:sz w:val="28"/>
          <w:szCs w:val="28"/>
        </w:rPr>
        <w:fldChar w:fldCharType="begin"/>
      </w:r>
      <w:r>
        <w:rPr>
          <w:sz w:val="28"/>
          <w:szCs w:val="28"/>
        </w:rPr>
        <w:instrText xml:space="preserve"> PAGEREF _Toc283676359 </w:instrText>
      </w:r>
      <w:r>
        <w:rPr>
          <w:sz w:val="28"/>
          <w:szCs w:val="28"/>
        </w:rPr>
        <w:fldChar w:fldCharType="separate"/>
      </w:r>
      <w:r>
        <w:rPr>
          <w:sz w:val="28"/>
          <w:szCs w:val="28"/>
        </w:rPr>
        <w:t>- 37 -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_Toc469530795 </w:instrText>
      </w:r>
      <w:r>
        <w:rPr>
          <w:sz w:val="28"/>
          <w:szCs w:val="28"/>
        </w:rPr>
        <w:fldChar w:fldCharType="separate"/>
      </w:r>
      <w:r>
        <w:rPr>
          <w:rFonts w:ascii="仿宋_GB2312" w:hAnsi="仿宋_GB2312" w:eastAsia="仿宋_GB2312" w:cs="仿宋_GB2312"/>
          <w:sz w:val="28"/>
          <w:szCs w:val="28"/>
        </w:rPr>
        <w:t>2.发展重点</w:t>
      </w:r>
      <w:r>
        <w:rPr>
          <w:sz w:val="28"/>
          <w:szCs w:val="28"/>
        </w:rPr>
        <w:tab/>
      </w:r>
      <w:r>
        <w:rPr>
          <w:sz w:val="28"/>
          <w:szCs w:val="28"/>
        </w:rPr>
        <w:fldChar w:fldCharType="begin"/>
      </w:r>
      <w:r>
        <w:rPr>
          <w:sz w:val="28"/>
          <w:szCs w:val="28"/>
        </w:rPr>
        <w:instrText xml:space="preserve"> PAGEREF _Toc469530795 </w:instrText>
      </w:r>
      <w:r>
        <w:rPr>
          <w:sz w:val="28"/>
          <w:szCs w:val="28"/>
        </w:rPr>
        <w:fldChar w:fldCharType="separate"/>
      </w:r>
      <w:r>
        <w:rPr>
          <w:sz w:val="28"/>
          <w:szCs w:val="28"/>
        </w:rPr>
        <w:t>- 38 -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_Toc384496380 </w:instrText>
      </w:r>
      <w:r>
        <w:rPr>
          <w:sz w:val="28"/>
          <w:szCs w:val="28"/>
        </w:rPr>
        <w:fldChar w:fldCharType="separate"/>
      </w:r>
      <w:r>
        <w:rPr>
          <w:rFonts w:hint="eastAsia" w:ascii="楷体_GB2312" w:hAnsi="楷体_GB2312" w:eastAsia="楷体_GB2312" w:cs="楷体_GB2312"/>
          <w:bCs w:val="0"/>
          <w:sz w:val="28"/>
          <w:szCs w:val="28"/>
          <w:lang w:val="en-US" w:eastAsia="zh-CN"/>
        </w:rPr>
        <w:t>五、强化</w:t>
      </w:r>
      <w:r>
        <w:rPr>
          <w:rFonts w:hint="default" w:ascii="楷体_GB2312" w:hAnsi="楷体_GB2312" w:eastAsia="楷体_GB2312" w:cs="楷体_GB2312"/>
          <w:bCs w:val="0"/>
          <w:sz w:val="28"/>
          <w:szCs w:val="28"/>
          <w:lang w:val="en" w:eastAsia="zh-CN"/>
        </w:rPr>
        <w:t>数字赋能与服务配套</w:t>
      </w:r>
      <w:r>
        <w:rPr>
          <w:rFonts w:hint="eastAsia" w:ascii="楷体_GB2312" w:hAnsi="楷体_GB2312" w:eastAsia="楷体_GB2312" w:cs="楷体_GB2312"/>
          <w:bCs w:val="0"/>
          <w:sz w:val="28"/>
          <w:szCs w:val="28"/>
          <w:lang w:val="en-US" w:eastAsia="zh-CN"/>
        </w:rPr>
        <w:t>，提升产业发展能级</w:t>
      </w:r>
      <w:r>
        <w:rPr>
          <w:sz w:val="28"/>
          <w:szCs w:val="28"/>
        </w:rPr>
        <w:tab/>
      </w:r>
      <w:r>
        <w:rPr>
          <w:sz w:val="28"/>
          <w:szCs w:val="28"/>
        </w:rPr>
        <w:fldChar w:fldCharType="begin"/>
      </w:r>
      <w:r>
        <w:rPr>
          <w:sz w:val="28"/>
          <w:szCs w:val="28"/>
        </w:rPr>
        <w:instrText xml:space="preserve"> PAGEREF _Toc384496380 </w:instrText>
      </w:r>
      <w:r>
        <w:rPr>
          <w:sz w:val="28"/>
          <w:szCs w:val="28"/>
        </w:rPr>
        <w:fldChar w:fldCharType="separate"/>
      </w:r>
      <w:r>
        <w:rPr>
          <w:sz w:val="28"/>
          <w:szCs w:val="28"/>
        </w:rPr>
        <w:t>- 39 -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_Toc894472645 </w:instrText>
      </w:r>
      <w:r>
        <w:rPr>
          <w:sz w:val="28"/>
          <w:szCs w:val="28"/>
        </w:rPr>
        <w:fldChar w:fldCharType="separate"/>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一</w:t>
      </w:r>
      <w:r>
        <w:rPr>
          <w:rFonts w:hint="eastAsia" w:ascii="仿宋_GB2312" w:hAnsi="仿宋_GB2312" w:eastAsia="仿宋_GB2312" w:cs="仿宋_GB2312"/>
          <w:sz w:val="28"/>
          <w:szCs w:val="28"/>
        </w:rPr>
        <w:t>）数字产业</w:t>
      </w:r>
      <w:r>
        <w:rPr>
          <w:sz w:val="28"/>
          <w:szCs w:val="28"/>
        </w:rPr>
        <w:tab/>
      </w:r>
      <w:r>
        <w:rPr>
          <w:sz w:val="28"/>
          <w:szCs w:val="28"/>
        </w:rPr>
        <w:fldChar w:fldCharType="begin"/>
      </w:r>
      <w:r>
        <w:rPr>
          <w:sz w:val="28"/>
          <w:szCs w:val="28"/>
        </w:rPr>
        <w:instrText xml:space="preserve"> PAGEREF _Toc894472645 </w:instrText>
      </w:r>
      <w:r>
        <w:rPr>
          <w:sz w:val="28"/>
          <w:szCs w:val="28"/>
        </w:rPr>
        <w:fldChar w:fldCharType="separate"/>
      </w:r>
      <w:r>
        <w:rPr>
          <w:sz w:val="28"/>
          <w:szCs w:val="28"/>
        </w:rPr>
        <w:t>- 39 -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_Toc848205941 </w:instrText>
      </w:r>
      <w:r>
        <w:rPr>
          <w:sz w:val="28"/>
          <w:szCs w:val="28"/>
        </w:rPr>
        <w:fldChar w:fldCharType="separate"/>
      </w:r>
      <w:r>
        <w:rPr>
          <w:rFonts w:ascii="仿宋_GB2312" w:hAnsi="仿宋_GB2312" w:eastAsia="仿宋_GB2312" w:cs="仿宋_GB2312"/>
          <w:sz w:val="28"/>
          <w:szCs w:val="28"/>
        </w:rPr>
        <w:t>1.发展目标</w:t>
      </w:r>
      <w:r>
        <w:rPr>
          <w:sz w:val="28"/>
          <w:szCs w:val="28"/>
        </w:rPr>
        <w:tab/>
      </w:r>
      <w:r>
        <w:rPr>
          <w:sz w:val="28"/>
          <w:szCs w:val="28"/>
        </w:rPr>
        <w:fldChar w:fldCharType="begin"/>
      </w:r>
      <w:r>
        <w:rPr>
          <w:sz w:val="28"/>
          <w:szCs w:val="28"/>
        </w:rPr>
        <w:instrText xml:space="preserve"> PAGEREF _Toc848205941 </w:instrText>
      </w:r>
      <w:r>
        <w:rPr>
          <w:sz w:val="28"/>
          <w:szCs w:val="28"/>
        </w:rPr>
        <w:fldChar w:fldCharType="separate"/>
      </w:r>
      <w:r>
        <w:rPr>
          <w:sz w:val="28"/>
          <w:szCs w:val="28"/>
        </w:rPr>
        <w:t>- 39 -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_Toc1483394100 </w:instrText>
      </w:r>
      <w:r>
        <w:rPr>
          <w:sz w:val="28"/>
          <w:szCs w:val="28"/>
        </w:rPr>
        <w:fldChar w:fldCharType="separate"/>
      </w:r>
      <w:r>
        <w:rPr>
          <w:rFonts w:ascii="仿宋_GB2312" w:hAnsi="仿宋_GB2312" w:eastAsia="仿宋_GB2312" w:cs="仿宋_GB2312"/>
          <w:sz w:val="28"/>
          <w:szCs w:val="28"/>
        </w:rPr>
        <w:t>2.发展重点</w:t>
      </w:r>
      <w:r>
        <w:rPr>
          <w:sz w:val="28"/>
          <w:szCs w:val="28"/>
        </w:rPr>
        <w:tab/>
      </w:r>
      <w:r>
        <w:rPr>
          <w:sz w:val="28"/>
          <w:szCs w:val="28"/>
        </w:rPr>
        <w:fldChar w:fldCharType="begin"/>
      </w:r>
      <w:r>
        <w:rPr>
          <w:sz w:val="28"/>
          <w:szCs w:val="28"/>
        </w:rPr>
        <w:instrText xml:space="preserve"> PAGEREF _Toc1483394100 </w:instrText>
      </w:r>
      <w:r>
        <w:rPr>
          <w:sz w:val="28"/>
          <w:szCs w:val="28"/>
        </w:rPr>
        <w:fldChar w:fldCharType="separate"/>
      </w:r>
      <w:r>
        <w:rPr>
          <w:sz w:val="28"/>
          <w:szCs w:val="28"/>
        </w:rPr>
        <w:t>- 39 -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_Toc1798147388 </w:instrText>
      </w:r>
      <w:r>
        <w:rPr>
          <w:sz w:val="28"/>
          <w:szCs w:val="28"/>
        </w:rPr>
        <w:fldChar w:fldCharType="separate"/>
      </w:r>
      <w:r>
        <w:rPr>
          <w:rFonts w:hint="eastAsia" w:ascii="Times New Roman" w:hAnsi="Times New Roman" w:eastAsia="仿宋" w:cs="Times New Roman"/>
          <w:bCs/>
          <w:sz w:val="28"/>
          <w:szCs w:val="28"/>
          <w:lang w:val="en-US" w:eastAsia="zh-CN"/>
        </w:rPr>
        <w:t>（二）生产性服务业</w:t>
      </w:r>
      <w:r>
        <w:rPr>
          <w:sz w:val="28"/>
          <w:szCs w:val="28"/>
        </w:rPr>
        <w:tab/>
      </w:r>
      <w:r>
        <w:rPr>
          <w:sz w:val="28"/>
          <w:szCs w:val="28"/>
        </w:rPr>
        <w:fldChar w:fldCharType="begin"/>
      </w:r>
      <w:r>
        <w:rPr>
          <w:sz w:val="28"/>
          <w:szCs w:val="28"/>
        </w:rPr>
        <w:instrText xml:space="preserve"> PAGEREF _Toc1798147388 </w:instrText>
      </w:r>
      <w:r>
        <w:rPr>
          <w:sz w:val="28"/>
          <w:szCs w:val="28"/>
        </w:rPr>
        <w:fldChar w:fldCharType="separate"/>
      </w:r>
      <w:r>
        <w:rPr>
          <w:sz w:val="28"/>
          <w:szCs w:val="28"/>
        </w:rPr>
        <w:t>- 40 -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_Toc541023474 </w:instrText>
      </w:r>
      <w:r>
        <w:rPr>
          <w:sz w:val="28"/>
          <w:szCs w:val="28"/>
        </w:rPr>
        <w:fldChar w:fldCharType="separate"/>
      </w:r>
      <w:r>
        <w:rPr>
          <w:rFonts w:hint="eastAsia" w:ascii="仿宋_GB2312" w:hAnsi="仿宋_GB2312" w:eastAsia="仿宋_GB2312" w:cs="仿宋_GB2312"/>
          <w:sz w:val="28"/>
          <w:szCs w:val="28"/>
          <w:lang w:val="en-US" w:eastAsia="zh-CN"/>
        </w:rPr>
        <w:t>1.发展目标</w:t>
      </w:r>
      <w:r>
        <w:rPr>
          <w:sz w:val="28"/>
          <w:szCs w:val="28"/>
        </w:rPr>
        <w:tab/>
      </w:r>
      <w:r>
        <w:rPr>
          <w:sz w:val="28"/>
          <w:szCs w:val="28"/>
        </w:rPr>
        <w:fldChar w:fldCharType="begin"/>
      </w:r>
      <w:r>
        <w:rPr>
          <w:sz w:val="28"/>
          <w:szCs w:val="28"/>
        </w:rPr>
        <w:instrText xml:space="preserve"> PAGEREF _Toc541023474 </w:instrText>
      </w:r>
      <w:r>
        <w:rPr>
          <w:sz w:val="28"/>
          <w:szCs w:val="28"/>
        </w:rPr>
        <w:fldChar w:fldCharType="separate"/>
      </w:r>
      <w:r>
        <w:rPr>
          <w:sz w:val="28"/>
          <w:szCs w:val="28"/>
        </w:rPr>
        <w:t>- 40 -</w:t>
      </w:r>
      <w:r>
        <w:rPr>
          <w:sz w:val="28"/>
          <w:szCs w:val="28"/>
        </w:rPr>
        <w:fldChar w:fldCharType="end"/>
      </w:r>
      <w:r>
        <w:rPr>
          <w:color w:val="auto"/>
          <w:sz w:val="28"/>
          <w:szCs w:val="28"/>
        </w:rPr>
        <w:fldChar w:fldCharType="end"/>
      </w:r>
    </w:p>
    <w:p>
      <w:pPr>
        <w:pStyle w:val="11"/>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_Toc2051747322 </w:instrText>
      </w:r>
      <w:r>
        <w:rPr>
          <w:sz w:val="28"/>
          <w:szCs w:val="28"/>
        </w:rPr>
        <w:fldChar w:fldCharType="separate"/>
      </w:r>
      <w:r>
        <w:rPr>
          <w:rFonts w:hint="eastAsia" w:ascii="仿宋_GB2312" w:hAnsi="仿宋_GB2312" w:eastAsia="仿宋_GB2312" w:cs="仿宋_GB2312"/>
          <w:sz w:val="28"/>
          <w:szCs w:val="28"/>
          <w:lang w:val="en-US" w:eastAsia="zh-CN"/>
        </w:rPr>
        <w:t>2.发展重点</w:t>
      </w:r>
      <w:r>
        <w:rPr>
          <w:sz w:val="28"/>
          <w:szCs w:val="28"/>
        </w:rPr>
        <w:tab/>
      </w:r>
      <w:r>
        <w:rPr>
          <w:sz w:val="28"/>
          <w:szCs w:val="28"/>
        </w:rPr>
        <w:fldChar w:fldCharType="begin"/>
      </w:r>
      <w:r>
        <w:rPr>
          <w:sz w:val="28"/>
          <w:szCs w:val="28"/>
        </w:rPr>
        <w:instrText xml:space="preserve"> PAGEREF _Toc2051747322 </w:instrText>
      </w:r>
      <w:r>
        <w:rPr>
          <w:sz w:val="28"/>
          <w:szCs w:val="28"/>
        </w:rPr>
        <w:fldChar w:fldCharType="separate"/>
      </w:r>
      <w:r>
        <w:rPr>
          <w:sz w:val="28"/>
          <w:szCs w:val="28"/>
        </w:rPr>
        <w:t>- 40 -</w:t>
      </w:r>
      <w:r>
        <w:rPr>
          <w:sz w:val="28"/>
          <w:szCs w:val="28"/>
        </w:rPr>
        <w:fldChar w:fldCharType="end"/>
      </w:r>
      <w:r>
        <w:rPr>
          <w:color w:val="auto"/>
          <w:sz w:val="28"/>
          <w:szCs w:val="28"/>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_Toc983179517 </w:instrText>
      </w:r>
      <w:r>
        <w:rPr>
          <w:sz w:val="28"/>
          <w:szCs w:val="28"/>
        </w:rPr>
        <w:fldChar w:fldCharType="separate"/>
      </w:r>
      <w:r>
        <w:rPr>
          <w:rFonts w:ascii="Times New Roman" w:hAnsi="Times New Roman" w:eastAsia="黑体"/>
          <w:bCs w:val="0"/>
          <w:sz w:val="28"/>
          <w:szCs w:val="28"/>
        </w:rPr>
        <w:t>第五章 发展策略</w:t>
      </w:r>
      <w:r>
        <w:rPr>
          <w:sz w:val="28"/>
          <w:szCs w:val="28"/>
        </w:rPr>
        <w:tab/>
      </w:r>
      <w:r>
        <w:rPr>
          <w:sz w:val="28"/>
          <w:szCs w:val="28"/>
        </w:rPr>
        <w:fldChar w:fldCharType="begin"/>
      </w:r>
      <w:r>
        <w:rPr>
          <w:sz w:val="28"/>
          <w:szCs w:val="28"/>
        </w:rPr>
        <w:instrText xml:space="preserve"> PAGEREF _Toc983179517 </w:instrText>
      </w:r>
      <w:r>
        <w:rPr>
          <w:sz w:val="28"/>
          <w:szCs w:val="28"/>
        </w:rPr>
        <w:fldChar w:fldCharType="separate"/>
      </w:r>
      <w:r>
        <w:rPr>
          <w:sz w:val="28"/>
          <w:szCs w:val="28"/>
        </w:rPr>
        <w:t>- 42 -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_Toc14099032 </w:instrText>
      </w:r>
      <w:r>
        <w:rPr>
          <w:sz w:val="28"/>
          <w:szCs w:val="28"/>
        </w:rPr>
        <w:fldChar w:fldCharType="separate"/>
      </w:r>
      <w:r>
        <w:rPr>
          <w:rFonts w:hint="eastAsia" w:ascii="楷体_GB2312" w:hAnsi="楷体_GB2312" w:eastAsia="楷体_GB2312" w:cs="楷体_GB2312"/>
          <w:sz w:val="28"/>
          <w:szCs w:val="28"/>
        </w:rPr>
        <w:t>一、筑基强链育集群</w:t>
      </w:r>
      <w:r>
        <w:rPr>
          <w:rFonts w:ascii="楷体_GB2312" w:hAnsi="楷体_GB2312" w:eastAsia="楷体_GB2312" w:cs="楷体_GB2312"/>
          <w:sz w:val="28"/>
          <w:szCs w:val="28"/>
        </w:rPr>
        <w:t>工程</w:t>
      </w:r>
      <w:r>
        <w:rPr>
          <w:sz w:val="28"/>
          <w:szCs w:val="28"/>
        </w:rPr>
        <w:tab/>
      </w:r>
      <w:r>
        <w:rPr>
          <w:sz w:val="28"/>
          <w:szCs w:val="28"/>
        </w:rPr>
        <w:fldChar w:fldCharType="begin"/>
      </w:r>
      <w:r>
        <w:rPr>
          <w:sz w:val="28"/>
          <w:szCs w:val="28"/>
        </w:rPr>
        <w:instrText xml:space="preserve"> PAGEREF _Toc14099032 </w:instrText>
      </w:r>
      <w:r>
        <w:rPr>
          <w:sz w:val="28"/>
          <w:szCs w:val="28"/>
        </w:rPr>
        <w:fldChar w:fldCharType="separate"/>
      </w:r>
      <w:r>
        <w:rPr>
          <w:sz w:val="28"/>
          <w:szCs w:val="28"/>
        </w:rPr>
        <w:t>- 42 -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_Toc313702069 </w:instrText>
      </w:r>
      <w:r>
        <w:rPr>
          <w:sz w:val="28"/>
          <w:szCs w:val="28"/>
        </w:rPr>
        <w:fldChar w:fldCharType="separate"/>
      </w:r>
      <w:r>
        <w:rPr>
          <w:rFonts w:hint="eastAsia" w:ascii="楷体_GB2312" w:hAnsi="楷体_GB2312" w:eastAsia="楷体_GB2312" w:cs="楷体_GB2312"/>
          <w:sz w:val="28"/>
          <w:szCs w:val="28"/>
        </w:rPr>
        <w:t>二</w:t>
      </w:r>
      <w:r>
        <w:rPr>
          <w:rFonts w:ascii="楷体_GB2312" w:hAnsi="楷体_GB2312" w:eastAsia="楷体_GB2312" w:cs="楷体_GB2312"/>
          <w:sz w:val="28"/>
          <w:szCs w:val="28"/>
        </w:rPr>
        <w:t>、</w:t>
      </w:r>
      <w:r>
        <w:rPr>
          <w:rFonts w:hint="eastAsia" w:ascii="楷体_GB2312" w:hAnsi="楷体_GB2312" w:eastAsia="楷体_GB2312" w:cs="楷体_GB2312"/>
          <w:sz w:val="28"/>
          <w:szCs w:val="28"/>
        </w:rPr>
        <w:t>狠抓项目扩体量工程</w:t>
      </w:r>
      <w:r>
        <w:rPr>
          <w:sz w:val="28"/>
          <w:szCs w:val="28"/>
        </w:rPr>
        <w:tab/>
      </w:r>
      <w:r>
        <w:rPr>
          <w:sz w:val="28"/>
          <w:szCs w:val="28"/>
        </w:rPr>
        <w:fldChar w:fldCharType="begin"/>
      </w:r>
      <w:r>
        <w:rPr>
          <w:sz w:val="28"/>
          <w:szCs w:val="28"/>
        </w:rPr>
        <w:instrText xml:space="preserve"> PAGEREF _Toc313702069 </w:instrText>
      </w:r>
      <w:r>
        <w:rPr>
          <w:sz w:val="28"/>
          <w:szCs w:val="28"/>
        </w:rPr>
        <w:fldChar w:fldCharType="separate"/>
      </w:r>
      <w:r>
        <w:rPr>
          <w:sz w:val="28"/>
          <w:szCs w:val="28"/>
        </w:rPr>
        <w:t>- 43 -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_Toc1891092155 </w:instrText>
      </w:r>
      <w:r>
        <w:rPr>
          <w:sz w:val="28"/>
          <w:szCs w:val="28"/>
        </w:rPr>
        <w:fldChar w:fldCharType="separate"/>
      </w:r>
      <w:r>
        <w:rPr>
          <w:rFonts w:hint="eastAsia" w:ascii="楷体_GB2312" w:hAnsi="楷体_GB2312" w:eastAsia="楷体_GB2312" w:cs="楷体_GB2312"/>
          <w:sz w:val="28"/>
          <w:szCs w:val="28"/>
        </w:rPr>
        <w:t>三、激发活力促</w:t>
      </w:r>
      <w:r>
        <w:rPr>
          <w:rFonts w:ascii="楷体_GB2312" w:hAnsi="楷体_GB2312" w:eastAsia="楷体_GB2312" w:cs="楷体_GB2312"/>
          <w:sz w:val="28"/>
          <w:szCs w:val="28"/>
        </w:rPr>
        <w:t>创新工程</w:t>
      </w:r>
      <w:r>
        <w:rPr>
          <w:sz w:val="28"/>
          <w:szCs w:val="28"/>
        </w:rPr>
        <w:tab/>
      </w:r>
      <w:r>
        <w:rPr>
          <w:sz w:val="28"/>
          <w:szCs w:val="28"/>
        </w:rPr>
        <w:fldChar w:fldCharType="begin"/>
      </w:r>
      <w:r>
        <w:rPr>
          <w:sz w:val="28"/>
          <w:szCs w:val="28"/>
        </w:rPr>
        <w:instrText xml:space="preserve"> PAGEREF _Toc1891092155 </w:instrText>
      </w:r>
      <w:r>
        <w:rPr>
          <w:sz w:val="28"/>
          <w:szCs w:val="28"/>
        </w:rPr>
        <w:fldChar w:fldCharType="separate"/>
      </w:r>
      <w:r>
        <w:rPr>
          <w:sz w:val="28"/>
          <w:szCs w:val="28"/>
        </w:rPr>
        <w:t>- 43 -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_Toc432004428 </w:instrText>
      </w:r>
      <w:r>
        <w:rPr>
          <w:sz w:val="28"/>
          <w:szCs w:val="28"/>
        </w:rPr>
        <w:fldChar w:fldCharType="separate"/>
      </w:r>
      <w:r>
        <w:rPr>
          <w:rFonts w:hint="eastAsia" w:ascii="楷体_GB2312" w:hAnsi="楷体_GB2312" w:eastAsia="楷体_GB2312" w:cs="楷体_GB2312"/>
          <w:sz w:val="28"/>
          <w:szCs w:val="28"/>
        </w:rPr>
        <w:t>四</w:t>
      </w:r>
      <w:r>
        <w:rPr>
          <w:rFonts w:ascii="楷体_GB2312" w:hAnsi="楷体_GB2312" w:eastAsia="楷体_GB2312" w:cs="楷体_GB2312"/>
          <w:sz w:val="28"/>
          <w:szCs w:val="28"/>
        </w:rPr>
        <w:t>、数智赋能</w:t>
      </w:r>
      <w:r>
        <w:rPr>
          <w:rFonts w:hint="eastAsia" w:ascii="楷体_GB2312" w:hAnsi="楷体_GB2312" w:eastAsia="楷体_GB2312" w:cs="楷体_GB2312"/>
          <w:sz w:val="28"/>
          <w:szCs w:val="28"/>
        </w:rPr>
        <w:t>助转型工程</w:t>
      </w:r>
      <w:r>
        <w:rPr>
          <w:sz w:val="28"/>
          <w:szCs w:val="28"/>
        </w:rPr>
        <w:tab/>
      </w:r>
      <w:r>
        <w:rPr>
          <w:sz w:val="28"/>
          <w:szCs w:val="28"/>
        </w:rPr>
        <w:fldChar w:fldCharType="begin"/>
      </w:r>
      <w:r>
        <w:rPr>
          <w:sz w:val="28"/>
          <w:szCs w:val="28"/>
        </w:rPr>
        <w:instrText xml:space="preserve"> PAGEREF _Toc432004428 </w:instrText>
      </w:r>
      <w:r>
        <w:rPr>
          <w:sz w:val="28"/>
          <w:szCs w:val="28"/>
        </w:rPr>
        <w:fldChar w:fldCharType="separate"/>
      </w:r>
      <w:r>
        <w:rPr>
          <w:sz w:val="28"/>
          <w:szCs w:val="28"/>
        </w:rPr>
        <w:t>- 44 -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_Toc1933765023 </w:instrText>
      </w:r>
      <w:r>
        <w:rPr>
          <w:sz w:val="28"/>
          <w:szCs w:val="28"/>
        </w:rPr>
        <w:fldChar w:fldCharType="separate"/>
      </w:r>
      <w:r>
        <w:rPr>
          <w:rFonts w:hint="eastAsia" w:ascii="楷体_GB2312" w:hAnsi="楷体_GB2312" w:eastAsia="楷体_GB2312" w:cs="楷体_GB2312"/>
          <w:sz w:val="28"/>
          <w:szCs w:val="28"/>
        </w:rPr>
        <w:t>五</w:t>
      </w:r>
      <w:r>
        <w:rPr>
          <w:rFonts w:ascii="楷体_GB2312" w:hAnsi="楷体_GB2312" w:eastAsia="楷体_GB2312" w:cs="楷体_GB2312"/>
          <w:sz w:val="28"/>
          <w:szCs w:val="28"/>
        </w:rPr>
        <w:t>、绿色低碳</w:t>
      </w:r>
      <w:r>
        <w:rPr>
          <w:rFonts w:hint="eastAsia" w:ascii="楷体_GB2312" w:hAnsi="楷体_GB2312" w:eastAsia="楷体_GB2312" w:cs="楷体_GB2312"/>
          <w:sz w:val="28"/>
          <w:szCs w:val="28"/>
        </w:rPr>
        <w:t>塑生态</w:t>
      </w:r>
      <w:r>
        <w:rPr>
          <w:rFonts w:ascii="楷体_GB2312" w:hAnsi="楷体_GB2312" w:eastAsia="楷体_GB2312" w:cs="楷体_GB2312"/>
          <w:sz w:val="28"/>
          <w:szCs w:val="28"/>
        </w:rPr>
        <w:t>工程</w:t>
      </w:r>
      <w:r>
        <w:rPr>
          <w:sz w:val="28"/>
          <w:szCs w:val="28"/>
        </w:rPr>
        <w:tab/>
      </w:r>
      <w:r>
        <w:rPr>
          <w:sz w:val="28"/>
          <w:szCs w:val="28"/>
        </w:rPr>
        <w:fldChar w:fldCharType="begin"/>
      </w:r>
      <w:r>
        <w:rPr>
          <w:sz w:val="28"/>
          <w:szCs w:val="28"/>
        </w:rPr>
        <w:instrText xml:space="preserve"> PAGEREF _Toc1933765023 </w:instrText>
      </w:r>
      <w:r>
        <w:rPr>
          <w:sz w:val="28"/>
          <w:szCs w:val="28"/>
        </w:rPr>
        <w:fldChar w:fldCharType="separate"/>
      </w:r>
      <w:r>
        <w:rPr>
          <w:sz w:val="28"/>
          <w:szCs w:val="28"/>
        </w:rPr>
        <w:t>- 45 -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_Toc1811321691 </w:instrText>
      </w:r>
      <w:r>
        <w:rPr>
          <w:sz w:val="28"/>
          <w:szCs w:val="28"/>
        </w:rPr>
        <w:fldChar w:fldCharType="separate"/>
      </w:r>
      <w:r>
        <w:rPr>
          <w:rFonts w:hint="eastAsia" w:ascii="楷体_GB2312" w:hAnsi="楷体_GB2312" w:eastAsia="楷体_GB2312" w:cs="楷体_GB2312"/>
          <w:sz w:val="28"/>
          <w:szCs w:val="28"/>
        </w:rPr>
        <w:t>六</w:t>
      </w:r>
      <w:r>
        <w:rPr>
          <w:rFonts w:ascii="楷体_GB2312" w:hAnsi="楷体_GB2312" w:eastAsia="楷体_GB2312" w:cs="楷体_GB2312"/>
          <w:sz w:val="28"/>
          <w:szCs w:val="28"/>
        </w:rPr>
        <w:t>、</w:t>
      </w:r>
      <w:r>
        <w:rPr>
          <w:rFonts w:hint="eastAsia" w:ascii="楷体_GB2312" w:hAnsi="楷体_GB2312" w:eastAsia="楷体_GB2312" w:cs="楷体_GB2312"/>
          <w:sz w:val="28"/>
          <w:szCs w:val="28"/>
        </w:rPr>
        <w:t>培优育强促融通</w:t>
      </w:r>
      <w:r>
        <w:rPr>
          <w:rFonts w:ascii="楷体_GB2312" w:hAnsi="楷体_GB2312" w:eastAsia="楷体_GB2312" w:cs="楷体_GB2312"/>
          <w:sz w:val="28"/>
          <w:szCs w:val="28"/>
        </w:rPr>
        <w:t>工程</w:t>
      </w:r>
      <w:r>
        <w:rPr>
          <w:sz w:val="28"/>
          <w:szCs w:val="28"/>
        </w:rPr>
        <w:tab/>
      </w:r>
      <w:r>
        <w:rPr>
          <w:sz w:val="28"/>
          <w:szCs w:val="28"/>
        </w:rPr>
        <w:fldChar w:fldCharType="begin"/>
      </w:r>
      <w:r>
        <w:rPr>
          <w:sz w:val="28"/>
          <w:szCs w:val="28"/>
        </w:rPr>
        <w:instrText xml:space="preserve"> PAGEREF _Toc1811321691 </w:instrText>
      </w:r>
      <w:r>
        <w:rPr>
          <w:sz w:val="28"/>
          <w:szCs w:val="28"/>
        </w:rPr>
        <w:fldChar w:fldCharType="separate"/>
      </w:r>
      <w:r>
        <w:rPr>
          <w:sz w:val="28"/>
          <w:szCs w:val="28"/>
        </w:rPr>
        <w:t>- 46 -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_Toc194112595 </w:instrText>
      </w:r>
      <w:r>
        <w:rPr>
          <w:sz w:val="28"/>
          <w:szCs w:val="28"/>
        </w:rPr>
        <w:fldChar w:fldCharType="separate"/>
      </w:r>
      <w:r>
        <w:rPr>
          <w:rFonts w:hint="eastAsia" w:ascii="楷体_GB2312" w:hAnsi="楷体_GB2312" w:eastAsia="楷体_GB2312" w:cs="楷体_GB2312"/>
          <w:sz w:val="28"/>
          <w:szCs w:val="28"/>
        </w:rPr>
        <w:t>七</w:t>
      </w:r>
      <w:r>
        <w:rPr>
          <w:rFonts w:ascii="楷体_GB2312" w:hAnsi="楷体_GB2312" w:eastAsia="楷体_GB2312" w:cs="楷体_GB2312"/>
          <w:sz w:val="28"/>
          <w:szCs w:val="28"/>
        </w:rPr>
        <w:t>、园区提质</w:t>
      </w:r>
      <w:r>
        <w:rPr>
          <w:rFonts w:hint="eastAsia" w:ascii="楷体_GB2312" w:hAnsi="楷体_GB2312" w:eastAsia="楷体_GB2312" w:cs="楷体_GB2312"/>
          <w:sz w:val="28"/>
          <w:szCs w:val="28"/>
        </w:rPr>
        <w:t>强载体</w:t>
      </w:r>
      <w:r>
        <w:rPr>
          <w:rFonts w:ascii="楷体_GB2312" w:hAnsi="楷体_GB2312" w:eastAsia="楷体_GB2312" w:cs="楷体_GB2312"/>
          <w:sz w:val="28"/>
          <w:szCs w:val="28"/>
        </w:rPr>
        <w:t>工程</w:t>
      </w:r>
      <w:r>
        <w:rPr>
          <w:sz w:val="28"/>
          <w:szCs w:val="28"/>
        </w:rPr>
        <w:tab/>
      </w:r>
      <w:r>
        <w:rPr>
          <w:sz w:val="28"/>
          <w:szCs w:val="28"/>
        </w:rPr>
        <w:fldChar w:fldCharType="begin"/>
      </w:r>
      <w:r>
        <w:rPr>
          <w:sz w:val="28"/>
          <w:szCs w:val="28"/>
        </w:rPr>
        <w:instrText xml:space="preserve"> PAGEREF _Toc194112595 </w:instrText>
      </w:r>
      <w:r>
        <w:rPr>
          <w:sz w:val="28"/>
          <w:szCs w:val="28"/>
        </w:rPr>
        <w:fldChar w:fldCharType="separate"/>
      </w:r>
      <w:r>
        <w:rPr>
          <w:sz w:val="28"/>
          <w:szCs w:val="28"/>
        </w:rPr>
        <w:t>- 47 -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_Toc1192473477 </w:instrText>
      </w:r>
      <w:r>
        <w:rPr>
          <w:sz w:val="28"/>
          <w:szCs w:val="28"/>
        </w:rPr>
        <w:fldChar w:fldCharType="separate"/>
      </w:r>
      <w:r>
        <w:rPr>
          <w:rFonts w:hint="eastAsia" w:ascii="楷体_GB2312" w:hAnsi="楷体_GB2312" w:eastAsia="楷体_GB2312" w:cs="楷体_GB2312"/>
          <w:sz w:val="28"/>
          <w:szCs w:val="28"/>
        </w:rPr>
        <w:t>八</w:t>
      </w:r>
      <w:r>
        <w:rPr>
          <w:rFonts w:ascii="楷体_GB2312" w:hAnsi="楷体_GB2312" w:eastAsia="楷体_GB2312" w:cs="楷体_GB2312"/>
          <w:sz w:val="28"/>
          <w:szCs w:val="28"/>
        </w:rPr>
        <w:t>、开放合作</w:t>
      </w:r>
      <w:r>
        <w:rPr>
          <w:rFonts w:hint="eastAsia" w:ascii="楷体_GB2312" w:hAnsi="楷体_GB2312" w:eastAsia="楷体_GB2312" w:cs="楷体_GB2312"/>
          <w:sz w:val="28"/>
          <w:szCs w:val="28"/>
        </w:rPr>
        <w:t>增动能</w:t>
      </w:r>
      <w:r>
        <w:rPr>
          <w:rFonts w:ascii="楷体_GB2312" w:hAnsi="楷体_GB2312" w:eastAsia="楷体_GB2312" w:cs="楷体_GB2312"/>
          <w:sz w:val="28"/>
          <w:szCs w:val="28"/>
        </w:rPr>
        <w:t>工程</w:t>
      </w:r>
      <w:r>
        <w:rPr>
          <w:sz w:val="28"/>
          <w:szCs w:val="28"/>
        </w:rPr>
        <w:tab/>
      </w:r>
      <w:r>
        <w:rPr>
          <w:sz w:val="28"/>
          <w:szCs w:val="28"/>
        </w:rPr>
        <w:fldChar w:fldCharType="begin"/>
      </w:r>
      <w:r>
        <w:rPr>
          <w:sz w:val="28"/>
          <w:szCs w:val="28"/>
        </w:rPr>
        <w:instrText xml:space="preserve"> PAGEREF _Toc1192473477 </w:instrText>
      </w:r>
      <w:r>
        <w:rPr>
          <w:sz w:val="28"/>
          <w:szCs w:val="28"/>
        </w:rPr>
        <w:fldChar w:fldCharType="separate"/>
      </w:r>
      <w:r>
        <w:rPr>
          <w:sz w:val="28"/>
          <w:szCs w:val="28"/>
        </w:rPr>
        <w:t>- 48 -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_Toc777581144 </w:instrText>
      </w:r>
      <w:r>
        <w:rPr>
          <w:sz w:val="28"/>
          <w:szCs w:val="28"/>
        </w:rPr>
        <w:fldChar w:fldCharType="separate"/>
      </w:r>
      <w:r>
        <w:rPr>
          <w:rFonts w:hint="eastAsia" w:ascii="楷体_GB2312" w:hAnsi="楷体_GB2312" w:eastAsia="楷体_GB2312" w:cs="楷体_GB2312"/>
          <w:sz w:val="28"/>
          <w:szCs w:val="28"/>
        </w:rPr>
        <w:t>九、严管安防守底线工程</w:t>
      </w:r>
      <w:r>
        <w:rPr>
          <w:sz w:val="28"/>
          <w:szCs w:val="28"/>
        </w:rPr>
        <w:tab/>
      </w:r>
      <w:r>
        <w:rPr>
          <w:sz w:val="28"/>
          <w:szCs w:val="28"/>
        </w:rPr>
        <w:fldChar w:fldCharType="begin"/>
      </w:r>
      <w:r>
        <w:rPr>
          <w:sz w:val="28"/>
          <w:szCs w:val="28"/>
        </w:rPr>
        <w:instrText xml:space="preserve"> PAGEREF _Toc777581144 </w:instrText>
      </w:r>
      <w:r>
        <w:rPr>
          <w:sz w:val="28"/>
          <w:szCs w:val="28"/>
        </w:rPr>
        <w:fldChar w:fldCharType="separate"/>
      </w:r>
      <w:r>
        <w:rPr>
          <w:sz w:val="28"/>
          <w:szCs w:val="28"/>
        </w:rPr>
        <w:t>- 49 -</w:t>
      </w:r>
      <w:r>
        <w:rPr>
          <w:sz w:val="28"/>
          <w:szCs w:val="28"/>
        </w:rPr>
        <w:fldChar w:fldCharType="end"/>
      </w:r>
      <w:r>
        <w:rPr>
          <w:color w:val="auto"/>
          <w:sz w:val="28"/>
          <w:szCs w:val="28"/>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_Toc940717454 </w:instrText>
      </w:r>
      <w:r>
        <w:rPr>
          <w:sz w:val="28"/>
          <w:szCs w:val="28"/>
        </w:rPr>
        <w:fldChar w:fldCharType="separate"/>
      </w:r>
      <w:r>
        <w:rPr>
          <w:rFonts w:ascii="Times New Roman" w:hAnsi="Times New Roman" w:eastAsia="黑体"/>
          <w:bCs w:val="0"/>
          <w:sz w:val="28"/>
          <w:szCs w:val="28"/>
        </w:rPr>
        <w:t>第六章 加强环境保护</w:t>
      </w:r>
      <w:r>
        <w:rPr>
          <w:sz w:val="28"/>
          <w:szCs w:val="28"/>
        </w:rPr>
        <w:tab/>
      </w:r>
      <w:r>
        <w:rPr>
          <w:sz w:val="28"/>
          <w:szCs w:val="28"/>
        </w:rPr>
        <w:fldChar w:fldCharType="begin"/>
      </w:r>
      <w:r>
        <w:rPr>
          <w:sz w:val="28"/>
          <w:szCs w:val="28"/>
        </w:rPr>
        <w:instrText xml:space="preserve"> PAGEREF _Toc940717454 </w:instrText>
      </w:r>
      <w:r>
        <w:rPr>
          <w:sz w:val="28"/>
          <w:szCs w:val="28"/>
        </w:rPr>
        <w:fldChar w:fldCharType="separate"/>
      </w:r>
      <w:r>
        <w:rPr>
          <w:sz w:val="28"/>
          <w:szCs w:val="28"/>
        </w:rPr>
        <w:t>- 50 -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_Toc575691086 </w:instrText>
      </w:r>
      <w:r>
        <w:rPr>
          <w:sz w:val="28"/>
          <w:szCs w:val="28"/>
        </w:rPr>
        <w:fldChar w:fldCharType="separate"/>
      </w:r>
      <w:r>
        <w:rPr>
          <w:rFonts w:hint="eastAsia" w:ascii="楷体_GB2312" w:hAnsi="楷体_GB2312" w:eastAsia="楷体_GB2312" w:cs="楷体_GB2312"/>
          <w:sz w:val="28"/>
          <w:szCs w:val="28"/>
        </w:rPr>
        <w:t>一、严格落实生态环境分区管控</w:t>
      </w:r>
      <w:r>
        <w:rPr>
          <w:sz w:val="28"/>
          <w:szCs w:val="28"/>
        </w:rPr>
        <w:tab/>
      </w:r>
      <w:r>
        <w:rPr>
          <w:sz w:val="28"/>
          <w:szCs w:val="28"/>
        </w:rPr>
        <w:fldChar w:fldCharType="begin"/>
      </w:r>
      <w:r>
        <w:rPr>
          <w:sz w:val="28"/>
          <w:szCs w:val="28"/>
        </w:rPr>
        <w:instrText xml:space="preserve"> PAGEREF _Toc575691086 </w:instrText>
      </w:r>
      <w:r>
        <w:rPr>
          <w:sz w:val="28"/>
          <w:szCs w:val="28"/>
        </w:rPr>
        <w:fldChar w:fldCharType="separate"/>
      </w:r>
      <w:r>
        <w:rPr>
          <w:sz w:val="28"/>
          <w:szCs w:val="28"/>
        </w:rPr>
        <w:t>- 50 -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_Toc1824095678 </w:instrText>
      </w:r>
      <w:r>
        <w:rPr>
          <w:sz w:val="28"/>
          <w:szCs w:val="28"/>
        </w:rPr>
        <w:fldChar w:fldCharType="separate"/>
      </w:r>
      <w:r>
        <w:rPr>
          <w:rFonts w:hint="eastAsia" w:ascii="楷体_GB2312" w:hAnsi="楷体_GB2312" w:eastAsia="楷体_GB2312" w:cs="楷体_GB2312"/>
          <w:sz w:val="28"/>
          <w:szCs w:val="28"/>
        </w:rPr>
        <w:t>二、优化工业领域环境综合管控</w:t>
      </w:r>
      <w:r>
        <w:rPr>
          <w:sz w:val="28"/>
          <w:szCs w:val="28"/>
        </w:rPr>
        <w:tab/>
      </w:r>
      <w:r>
        <w:rPr>
          <w:sz w:val="28"/>
          <w:szCs w:val="28"/>
        </w:rPr>
        <w:fldChar w:fldCharType="begin"/>
      </w:r>
      <w:r>
        <w:rPr>
          <w:sz w:val="28"/>
          <w:szCs w:val="28"/>
        </w:rPr>
        <w:instrText xml:space="preserve"> PAGEREF _Toc1824095678 </w:instrText>
      </w:r>
      <w:r>
        <w:rPr>
          <w:sz w:val="28"/>
          <w:szCs w:val="28"/>
        </w:rPr>
        <w:fldChar w:fldCharType="separate"/>
      </w:r>
      <w:r>
        <w:rPr>
          <w:sz w:val="28"/>
          <w:szCs w:val="28"/>
        </w:rPr>
        <w:t>- 50 -</w:t>
      </w:r>
      <w:r>
        <w:rPr>
          <w:sz w:val="28"/>
          <w:szCs w:val="28"/>
        </w:rPr>
        <w:fldChar w:fldCharType="end"/>
      </w:r>
      <w:r>
        <w:rPr>
          <w:color w:val="auto"/>
          <w:sz w:val="28"/>
          <w:szCs w:val="28"/>
        </w:rPr>
        <w:fldChar w:fldCharType="end"/>
      </w:r>
    </w:p>
    <w:p>
      <w:pPr>
        <w:pStyle w:val="14"/>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_Toc327333185 </w:instrText>
      </w:r>
      <w:r>
        <w:rPr>
          <w:sz w:val="28"/>
          <w:szCs w:val="28"/>
        </w:rPr>
        <w:fldChar w:fldCharType="separate"/>
      </w:r>
      <w:r>
        <w:rPr>
          <w:rFonts w:ascii="Times New Roman" w:hAnsi="Times New Roman" w:eastAsia="黑体"/>
          <w:bCs w:val="0"/>
          <w:sz w:val="28"/>
          <w:szCs w:val="28"/>
        </w:rPr>
        <w:t xml:space="preserve">第七章 </w:t>
      </w:r>
      <w:r>
        <w:rPr>
          <w:rFonts w:hint="default" w:ascii="Times New Roman" w:hAnsi="Times New Roman" w:eastAsia="黑体"/>
          <w:bCs w:val="0"/>
          <w:sz w:val="28"/>
          <w:szCs w:val="28"/>
        </w:rPr>
        <w:t>保障措施</w:t>
      </w:r>
      <w:r>
        <w:rPr>
          <w:sz w:val="28"/>
          <w:szCs w:val="28"/>
        </w:rPr>
        <w:tab/>
      </w:r>
      <w:r>
        <w:rPr>
          <w:sz w:val="28"/>
          <w:szCs w:val="28"/>
        </w:rPr>
        <w:fldChar w:fldCharType="begin"/>
      </w:r>
      <w:r>
        <w:rPr>
          <w:sz w:val="28"/>
          <w:szCs w:val="28"/>
        </w:rPr>
        <w:instrText xml:space="preserve"> PAGEREF _Toc327333185 </w:instrText>
      </w:r>
      <w:r>
        <w:rPr>
          <w:sz w:val="28"/>
          <w:szCs w:val="28"/>
        </w:rPr>
        <w:fldChar w:fldCharType="separate"/>
      </w:r>
      <w:r>
        <w:rPr>
          <w:sz w:val="28"/>
          <w:szCs w:val="28"/>
        </w:rPr>
        <w:t>- 52 -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_Toc397385325 </w:instrText>
      </w:r>
      <w:r>
        <w:rPr>
          <w:sz w:val="28"/>
          <w:szCs w:val="28"/>
        </w:rPr>
        <w:fldChar w:fldCharType="separate"/>
      </w:r>
      <w:r>
        <w:rPr>
          <w:rFonts w:ascii="楷体_GB2312" w:hAnsi="楷体_GB2312" w:eastAsia="楷体_GB2312" w:cs="楷体_GB2312"/>
          <w:sz w:val="28"/>
          <w:szCs w:val="28"/>
        </w:rPr>
        <w:t>一、加强组织实施</w:t>
      </w:r>
      <w:r>
        <w:rPr>
          <w:sz w:val="28"/>
          <w:szCs w:val="28"/>
        </w:rPr>
        <w:tab/>
      </w:r>
      <w:r>
        <w:rPr>
          <w:sz w:val="28"/>
          <w:szCs w:val="28"/>
        </w:rPr>
        <w:fldChar w:fldCharType="begin"/>
      </w:r>
      <w:r>
        <w:rPr>
          <w:sz w:val="28"/>
          <w:szCs w:val="28"/>
        </w:rPr>
        <w:instrText xml:space="preserve"> PAGEREF _Toc397385325 </w:instrText>
      </w:r>
      <w:r>
        <w:rPr>
          <w:sz w:val="28"/>
          <w:szCs w:val="28"/>
        </w:rPr>
        <w:fldChar w:fldCharType="separate"/>
      </w:r>
      <w:r>
        <w:rPr>
          <w:sz w:val="28"/>
          <w:szCs w:val="28"/>
        </w:rPr>
        <w:t>- 52 -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_Toc2105603971 </w:instrText>
      </w:r>
      <w:r>
        <w:rPr>
          <w:sz w:val="28"/>
          <w:szCs w:val="28"/>
        </w:rPr>
        <w:fldChar w:fldCharType="separate"/>
      </w:r>
      <w:r>
        <w:rPr>
          <w:rFonts w:ascii="楷体_GB2312" w:hAnsi="楷体_GB2312" w:eastAsia="楷体_GB2312" w:cs="楷体_GB2312"/>
          <w:sz w:val="28"/>
          <w:szCs w:val="28"/>
          <w:lang w:val="en"/>
        </w:rPr>
        <w:t>二</w:t>
      </w:r>
      <w:r>
        <w:rPr>
          <w:rFonts w:hint="eastAsia" w:ascii="楷体_GB2312" w:hAnsi="楷体_GB2312" w:eastAsia="楷体_GB2312" w:cs="楷体_GB2312"/>
          <w:sz w:val="28"/>
          <w:szCs w:val="28"/>
        </w:rPr>
        <w:t>、完善政策体系</w:t>
      </w:r>
      <w:r>
        <w:rPr>
          <w:sz w:val="28"/>
          <w:szCs w:val="28"/>
        </w:rPr>
        <w:tab/>
      </w:r>
      <w:r>
        <w:rPr>
          <w:sz w:val="28"/>
          <w:szCs w:val="28"/>
        </w:rPr>
        <w:fldChar w:fldCharType="begin"/>
      </w:r>
      <w:r>
        <w:rPr>
          <w:sz w:val="28"/>
          <w:szCs w:val="28"/>
        </w:rPr>
        <w:instrText xml:space="preserve"> PAGEREF _Toc2105603971 </w:instrText>
      </w:r>
      <w:r>
        <w:rPr>
          <w:sz w:val="28"/>
          <w:szCs w:val="28"/>
        </w:rPr>
        <w:fldChar w:fldCharType="separate"/>
      </w:r>
      <w:r>
        <w:rPr>
          <w:sz w:val="28"/>
          <w:szCs w:val="28"/>
        </w:rPr>
        <w:t>- 52 -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_Toc908048676 </w:instrText>
      </w:r>
      <w:r>
        <w:rPr>
          <w:sz w:val="28"/>
          <w:szCs w:val="28"/>
        </w:rPr>
        <w:fldChar w:fldCharType="separate"/>
      </w:r>
      <w:r>
        <w:rPr>
          <w:rFonts w:ascii="楷体_GB2312" w:hAnsi="楷体_GB2312" w:eastAsia="楷体_GB2312" w:cs="楷体_GB2312"/>
          <w:sz w:val="28"/>
          <w:szCs w:val="28"/>
        </w:rPr>
        <w:t>三、强化资源配置</w:t>
      </w:r>
      <w:r>
        <w:rPr>
          <w:sz w:val="28"/>
          <w:szCs w:val="28"/>
        </w:rPr>
        <w:tab/>
      </w:r>
      <w:r>
        <w:rPr>
          <w:sz w:val="28"/>
          <w:szCs w:val="28"/>
        </w:rPr>
        <w:fldChar w:fldCharType="begin"/>
      </w:r>
      <w:r>
        <w:rPr>
          <w:sz w:val="28"/>
          <w:szCs w:val="28"/>
        </w:rPr>
        <w:instrText xml:space="preserve"> PAGEREF _Toc908048676 </w:instrText>
      </w:r>
      <w:r>
        <w:rPr>
          <w:sz w:val="28"/>
          <w:szCs w:val="28"/>
        </w:rPr>
        <w:fldChar w:fldCharType="separate"/>
      </w:r>
      <w:r>
        <w:rPr>
          <w:sz w:val="28"/>
          <w:szCs w:val="28"/>
        </w:rPr>
        <w:t>- 52 -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_Toc1663216778 </w:instrText>
      </w:r>
      <w:r>
        <w:rPr>
          <w:sz w:val="28"/>
          <w:szCs w:val="28"/>
        </w:rPr>
        <w:fldChar w:fldCharType="separate"/>
      </w:r>
      <w:r>
        <w:rPr>
          <w:rFonts w:ascii="楷体_GB2312" w:hAnsi="楷体_GB2312" w:eastAsia="楷体_GB2312" w:cs="楷体_GB2312"/>
          <w:sz w:val="28"/>
          <w:szCs w:val="28"/>
          <w:lang w:val="en"/>
        </w:rPr>
        <w:t>四</w:t>
      </w:r>
      <w:r>
        <w:rPr>
          <w:rFonts w:ascii="楷体_GB2312" w:hAnsi="楷体_GB2312" w:eastAsia="楷体_GB2312" w:cs="楷体_GB2312"/>
          <w:sz w:val="28"/>
          <w:szCs w:val="28"/>
        </w:rPr>
        <w:t>、优化营商环境</w:t>
      </w:r>
      <w:r>
        <w:rPr>
          <w:sz w:val="28"/>
          <w:szCs w:val="28"/>
        </w:rPr>
        <w:tab/>
      </w:r>
      <w:r>
        <w:rPr>
          <w:sz w:val="28"/>
          <w:szCs w:val="28"/>
        </w:rPr>
        <w:fldChar w:fldCharType="begin"/>
      </w:r>
      <w:r>
        <w:rPr>
          <w:sz w:val="28"/>
          <w:szCs w:val="28"/>
        </w:rPr>
        <w:instrText xml:space="preserve"> PAGEREF _Toc1663216778 </w:instrText>
      </w:r>
      <w:r>
        <w:rPr>
          <w:sz w:val="28"/>
          <w:szCs w:val="28"/>
        </w:rPr>
        <w:fldChar w:fldCharType="separate"/>
      </w:r>
      <w:r>
        <w:rPr>
          <w:sz w:val="28"/>
          <w:szCs w:val="28"/>
        </w:rPr>
        <w:t>- 53 -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_Toc1227188946 </w:instrText>
      </w:r>
      <w:r>
        <w:rPr>
          <w:sz w:val="28"/>
          <w:szCs w:val="28"/>
        </w:rPr>
        <w:fldChar w:fldCharType="separate"/>
      </w:r>
      <w:r>
        <w:rPr>
          <w:rFonts w:ascii="楷体_GB2312" w:hAnsi="楷体_GB2312" w:eastAsia="楷体_GB2312" w:cs="楷体_GB2312"/>
          <w:sz w:val="28"/>
          <w:szCs w:val="28"/>
          <w:lang w:val="en"/>
        </w:rPr>
        <w:t>五</w:t>
      </w:r>
      <w:r>
        <w:rPr>
          <w:rFonts w:ascii="楷体_GB2312" w:hAnsi="楷体_GB2312" w:eastAsia="楷体_GB2312" w:cs="楷体_GB2312"/>
          <w:sz w:val="28"/>
          <w:szCs w:val="28"/>
        </w:rPr>
        <w:t>、加强督导评价</w:t>
      </w:r>
      <w:r>
        <w:rPr>
          <w:sz w:val="28"/>
          <w:szCs w:val="28"/>
        </w:rPr>
        <w:tab/>
      </w:r>
      <w:r>
        <w:rPr>
          <w:sz w:val="28"/>
          <w:szCs w:val="28"/>
        </w:rPr>
        <w:fldChar w:fldCharType="begin"/>
      </w:r>
      <w:r>
        <w:rPr>
          <w:sz w:val="28"/>
          <w:szCs w:val="28"/>
        </w:rPr>
        <w:instrText xml:space="preserve"> PAGEREF _Toc1227188946 </w:instrText>
      </w:r>
      <w:r>
        <w:rPr>
          <w:sz w:val="28"/>
          <w:szCs w:val="28"/>
        </w:rPr>
        <w:fldChar w:fldCharType="separate"/>
      </w:r>
      <w:r>
        <w:rPr>
          <w:sz w:val="28"/>
          <w:szCs w:val="28"/>
        </w:rPr>
        <w:t>- 53 -</w:t>
      </w:r>
      <w:r>
        <w:rPr>
          <w:sz w:val="28"/>
          <w:szCs w:val="28"/>
        </w:rPr>
        <w:fldChar w:fldCharType="end"/>
      </w:r>
      <w:r>
        <w:rPr>
          <w:color w:val="auto"/>
          <w:sz w:val="28"/>
          <w:szCs w:val="28"/>
        </w:rPr>
        <w:fldChar w:fldCharType="end"/>
      </w:r>
    </w:p>
    <w:p>
      <w:pPr>
        <w:pStyle w:val="17"/>
        <w:keepNext w:val="0"/>
        <w:keepLines w:val="0"/>
        <w:pageBreakBefore w:val="0"/>
        <w:widowControl w:val="0"/>
        <w:tabs>
          <w:tab w:val="right" w:leader="dot" w:pos="8845"/>
        </w:tabs>
        <w:kinsoku/>
        <w:wordWrap/>
        <w:overflowPunct/>
        <w:topLinePunct w:val="0"/>
        <w:autoSpaceDE/>
        <w:autoSpaceDN/>
        <w:bidi w:val="0"/>
        <w:adjustRightInd/>
        <w:snapToGrid/>
        <w:spacing w:line="400" w:lineRule="exact"/>
        <w:ind w:left="0" w:leftChars="0" w:firstLine="0" w:firstLineChars="0"/>
        <w:textAlignment w:val="auto"/>
        <w:rPr>
          <w:sz w:val="28"/>
          <w:szCs w:val="28"/>
        </w:rPr>
      </w:pPr>
      <w:r>
        <w:rPr>
          <w:color w:val="auto"/>
          <w:sz w:val="28"/>
          <w:szCs w:val="28"/>
        </w:rPr>
        <w:fldChar w:fldCharType="begin"/>
      </w:r>
      <w:r>
        <w:rPr>
          <w:sz w:val="28"/>
          <w:szCs w:val="28"/>
        </w:rPr>
        <w:instrText xml:space="preserve"> HYPERLINK \l _Toc876268110 </w:instrText>
      </w:r>
      <w:r>
        <w:rPr>
          <w:sz w:val="28"/>
          <w:szCs w:val="28"/>
        </w:rPr>
        <w:fldChar w:fldCharType="separate"/>
      </w:r>
      <w:r>
        <w:rPr>
          <w:rFonts w:ascii="楷体_GB2312" w:hAnsi="楷体_GB2312" w:eastAsia="楷体_GB2312" w:cs="楷体_GB2312"/>
          <w:sz w:val="28"/>
          <w:szCs w:val="28"/>
          <w:lang w:val="en"/>
        </w:rPr>
        <w:t>附件：“十五五”期间工业重点实施及谋划项目表</w:t>
      </w:r>
      <w:r>
        <w:rPr>
          <w:sz w:val="28"/>
          <w:szCs w:val="28"/>
        </w:rPr>
        <w:tab/>
      </w:r>
      <w:r>
        <w:rPr>
          <w:sz w:val="28"/>
          <w:szCs w:val="28"/>
        </w:rPr>
        <w:fldChar w:fldCharType="begin"/>
      </w:r>
      <w:r>
        <w:rPr>
          <w:sz w:val="28"/>
          <w:szCs w:val="28"/>
        </w:rPr>
        <w:instrText xml:space="preserve"> PAGEREF _Toc876268110 </w:instrText>
      </w:r>
      <w:r>
        <w:rPr>
          <w:sz w:val="28"/>
          <w:szCs w:val="28"/>
        </w:rPr>
        <w:fldChar w:fldCharType="separate"/>
      </w:r>
      <w:r>
        <w:rPr>
          <w:sz w:val="28"/>
          <w:szCs w:val="28"/>
        </w:rPr>
        <w:t>- 53 -</w:t>
      </w:r>
      <w:r>
        <w:rPr>
          <w:sz w:val="28"/>
          <w:szCs w:val="28"/>
        </w:rPr>
        <w:fldChar w:fldCharType="end"/>
      </w:r>
      <w:r>
        <w:rPr>
          <w:color w:val="auto"/>
          <w:sz w:val="28"/>
          <w:szCs w:val="28"/>
        </w:rPr>
        <w:fldChar w:fldCharType="end"/>
      </w: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color w:val="auto"/>
          <w:sz w:val="28"/>
          <w:szCs w:val="28"/>
        </w:rPr>
      </w:pPr>
      <w:r>
        <w:rPr>
          <w:color w:val="auto"/>
          <w:sz w:val="28"/>
          <w:szCs w:val="28"/>
        </w:rPr>
        <w:fldChar w:fldCharType="end"/>
      </w:r>
    </w:p>
    <w:p>
      <w:pPr>
        <w:keepLines w:val="0"/>
        <w:pageBreakBefore w:val="0"/>
        <w:kinsoku/>
        <w:wordWrap/>
        <w:overflowPunct/>
        <w:topLinePunct w:val="0"/>
        <w:bidi w:val="0"/>
        <w:spacing w:line="560" w:lineRule="exact"/>
        <w:ind w:firstLine="560"/>
        <w:textAlignment w:val="auto"/>
        <w:rPr>
          <w:rFonts w:ascii="Times New Roman" w:hAnsi="Times New Roman" w:eastAsia="黑体"/>
          <w:color w:val="auto"/>
          <w:sz w:val="28"/>
          <w:szCs w:val="28"/>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7" w:header="851" w:footer="992" w:gutter="0"/>
          <w:pgNumType w:fmt="numberInDash"/>
          <w:cols w:space="720" w:num="1"/>
          <w:docGrid w:type="lines" w:linePitch="312" w:charSpace="0"/>
        </w:sectPr>
      </w:pPr>
      <w:bookmarkStart w:id="0" w:name="_Toc7505"/>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540" w:lineRule="exact"/>
        <w:ind w:firstLine="0" w:firstLineChars="0"/>
        <w:jc w:val="center"/>
        <w:textAlignment w:val="auto"/>
        <w:rPr>
          <w:rFonts w:hint="default" w:ascii="Times New Roman" w:hAnsi="Times New Roman" w:eastAsia="黑体"/>
          <w:b w:val="0"/>
          <w:bCs w:val="0"/>
          <w:color w:val="auto"/>
          <w:sz w:val="36"/>
          <w:szCs w:val="36"/>
        </w:rPr>
      </w:pPr>
      <w:bookmarkStart w:id="1" w:name="_Toc13841"/>
      <w:bookmarkStart w:id="2" w:name="_Toc124509156"/>
      <w:r>
        <w:rPr>
          <w:rFonts w:hint="default" w:ascii="Times New Roman" w:hAnsi="Times New Roman" w:eastAsia="黑体"/>
          <w:b w:val="0"/>
          <w:bCs w:val="0"/>
          <w:color w:val="auto"/>
          <w:sz w:val="36"/>
          <w:szCs w:val="36"/>
        </w:rPr>
        <w:t>前</w:t>
      </w:r>
      <w:r>
        <w:rPr>
          <w:rFonts w:ascii="Times New Roman" w:hAnsi="Times New Roman" w:eastAsia="黑体"/>
          <w:b w:val="0"/>
          <w:bCs w:val="0"/>
          <w:color w:val="auto"/>
          <w:sz w:val="36"/>
          <w:szCs w:val="36"/>
        </w:rPr>
        <w:t xml:space="preserve">  </w:t>
      </w:r>
      <w:r>
        <w:rPr>
          <w:rFonts w:hint="default" w:ascii="Times New Roman" w:hAnsi="Times New Roman" w:eastAsia="黑体"/>
          <w:b w:val="0"/>
          <w:bCs w:val="0"/>
          <w:color w:val="auto"/>
          <w:sz w:val="36"/>
          <w:szCs w:val="36"/>
        </w:rPr>
        <w:t>言</w:t>
      </w:r>
      <w:bookmarkEnd w:id="1"/>
      <w:bookmarkEnd w:id="2"/>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color w:val="auto"/>
        </w:rPr>
      </w:pP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ascii="仿宋_GB2312" w:hAnsi="仿宋_GB2312" w:eastAsia="仿宋_GB2312" w:cs="仿宋_GB2312"/>
          <w:bCs/>
          <w:color w:val="auto"/>
        </w:rPr>
      </w:pPr>
      <w:r>
        <w:rPr>
          <w:rFonts w:ascii="仿宋_GB2312" w:hAnsi="仿宋_GB2312" w:eastAsia="仿宋_GB2312" w:cs="仿宋_GB2312"/>
          <w:bCs/>
          <w:color w:val="auto"/>
          <w:lang w:val="en"/>
        </w:rPr>
        <w:t>“</w:t>
      </w:r>
      <w:r>
        <w:rPr>
          <w:rFonts w:ascii="仿宋_GB2312" w:hAnsi="仿宋_GB2312" w:eastAsia="仿宋_GB2312" w:cs="仿宋_GB2312"/>
          <w:bCs/>
          <w:color w:val="auto"/>
        </w:rPr>
        <w:t>十五五</w:t>
      </w:r>
      <w:r>
        <w:rPr>
          <w:rFonts w:ascii="仿宋_GB2312" w:hAnsi="仿宋_GB2312" w:eastAsia="仿宋_GB2312" w:cs="仿宋_GB2312"/>
          <w:bCs/>
          <w:color w:val="auto"/>
          <w:lang w:val="en"/>
        </w:rPr>
        <w:t>”</w:t>
      </w:r>
      <w:r>
        <w:rPr>
          <w:rFonts w:ascii="仿宋_GB2312" w:hAnsi="仿宋_GB2312" w:eastAsia="仿宋_GB2312" w:cs="仿宋_GB2312"/>
          <w:bCs/>
          <w:color w:val="auto"/>
        </w:rPr>
        <w:t>时期是我国基本实现社会主义现代化夯实基础、全面发力的关键时期，也是酒泉</w:t>
      </w:r>
      <w:r>
        <w:rPr>
          <w:rFonts w:ascii="仿宋_GB2312" w:hAnsi="仿宋_GB2312" w:eastAsia="仿宋_GB2312" w:cs="仿宋_GB2312"/>
          <w:bCs/>
          <w:color w:val="auto"/>
          <w:lang w:val="en"/>
        </w:rPr>
        <w:t>“</w:t>
      </w:r>
      <w:r>
        <w:rPr>
          <w:rFonts w:ascii="仿宋_GB2312" w:hAnsi="仿宋_GB2312" w:eastAsia="仿宋_GB2312" w:cs="仿宋_GB2312"/>
          <w:bCs/>
          <w:color w:val="auto"/>
        </w:rPr>
        <w:t>率先发展、勇作标兵</w:t>
      </w:r>
      <w:r>
        <w:rPr>
          <w:rFonts w:ascii="仿宋_GB2312" w:hAnsi="仿宋_GB2312" w:eastAsia="仿宋_GB2312" w:cs="仿宋_GB2312"/>
          <w:bCs/>
          <w:color w:val="auto"/>
          <w:lang w:val="en"/>
        </w:rPr>
        <w:t>”</w:t>
      </w:r>
      <w:r>
        <w:rPr>
          <w:rFonts w:ascii="仿宋_GB2312" w:hAnsi="仿宋_GB2312" w:eastAsia="仿宋_GB2312" w:cs="仿宋_GB2312"/>
          <w:bCs/>
          <w:color w:val="auto"/>
        </w:rPr>
        <w:t>的关键期。新一轮发展面临全球产业科技创新空前活跃、国家重大战略部署高效赋能、省市高质量发展政策叠加等战略机遇，为酒泉工业高质量发展注入了新活力。同时,工业发展仍面临产业接续支撑力不足、产业聚集效应不够明显、产业同质化竞争激烈、要素保障制约趋紧等问题。为抢抓机遇，应对挑战，推进工业强市和新型工业化，支撑全市率先发展，编制本规划。</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ascii="仿宋_GB2312" w:hAnsi="仿宋_GB2312" w:eastAsia="仿宋_GB2312" w:cs="仿宋_GB2312"/>
          <w:bCs/>
          <w:color w:val="auto"/>
        </w:rPr>
      </w:pPr>
      <w:r>
        <w:rPr>
          <w:rFonts w:ascii="仿宋_GB2312" w:hAnsi="仿宋_GB2312" w:eastAsia="仿宋_GB2312" w:cs="仿宋_GB2312"/>
          <w:bCs/>
          <w:color w:val="auto"/>
        </w:rPr>
        <w:t>《规划》立足全市工业发展基础，以高质量发展为主题，以发展新质生产力为主线，以推进新型工业化为核心，着力构建以经开区（工业园区、工业集中区）为主阵地的</w:t>
      </w:r>
      <w:r>
        <w:rPr>
          <w:rFonts w:ascii="仿宋_GB2312" w:hAnsi="仿宋_GB2312" w:eastAsia="仿宋_GB2312" w:cs="仿宋_GB2312"/>
          <w:bCs/>
          <w:color w:val="auto"/>
          <w:lang w:val="en"/>
        </w:rPr>
        <w:t>“</w:t>
      </w:r>
      <w:r>
        <w:rPr>
          <w:rFonts w:ascii="仿宋_GB2312" w:hAnsi="仿宋_GB2312" w:eastAsia="仿宋_GB2312" w:cs="仿宋_GB2312"/>
          <w:bCs/>
          <w:color w:val="auto"/>
        </w:rPr>
        <w:t>三区协同、多点联动</w:t>
      </w:r>
      <w:r>
        <w:rPr>
          <w:rFonts w:ascii="仿宋_GB2312" w:hAnsi="仿宋_GB2312" w:eastAsia="仿宋_GB2312" w:cs="仿宋_GB2312"/>
          <w:bCs/>
          <w:color w:val="auto"/>
          <w:lang w:val="en"/>
        </w:rPr>
        <w:t>”</w:t>
      </w:r>
      <w:r>
        <w:rPr>
          <w:rFonts w:ascii="仿宋_GB2312" w:hAnsi="仿宋_GB2312" w:eastAsia="仿宋_GB2312" w:cs="仿宋_GB2312"/>
          <w:bCs/>
          <w:color w:val="auto"/>
        </w:rPr>
        <w:t>工业空间发展格局，</w:t>
      </w:r>
      <w:r>
        <w:rPr>
          <w:rFonts w:hint="eastAsia" w:ascii="仿宋_GB2312" w:hAnsi="仿宋_GB2312" w:eastAsia="仿宋_GB2312" w:cs="仿宋_GB2312"/>
          <w:bCs/>
          <w:color w:val="auto"/>
        </w:rPr>
        <w:t>围绕</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绿电+</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产业多态融合，</w:t>
      </w:r>
      <w:r>
        <w:rPr>
          <w:rFonts w:ascii="仿宋_GB2312" w:hAnsi="仿宋_GB2312" w:eastAsia="仿宋_GB2312" w:cs="仿宋_GB2312"/>
          <w:bCs/>
          <w:color w:val="auto"/>
        </w:rPr>
        <w:t>重点推进首位产业高端跃升、战略产业纵深突破、</w:t>
      </w:r>
      <w:r>
        <w:rPr>
          <w:rFonts w:hint="eastAsia" w:ascii="仿宋_GB2312" w:hAnsi="仿宋_GB2312" w:eastAsia="仿宋_GB2312" w:cs="仿宋_GB2312"/>
          <w:bCs/>
          <w:color w:val="auto"/>
          <w:lang w:eastAsia="zh-CN"/>
        </w:rPr>
        <w:t>优势</w:t>
      </w:r>
      <w:r>
        <w:rPr>
          <w:rFonts w:ascii="仿宋_GB2312" w:hAnsi="仿宋_GB2312" w:eastAsia="仿宋_GB2312" w:cs="仿宋_GB2312"/>
          <w:bCs/>
          <w:color w:val="auto"/>
        </w:rPr>
        <w:t>产业焕新升级、区域特色产业提质增效，构建集</w:t>
      </w:r>
      <w:r>
        <w:rPr>
          <w:rFonts w:ascii="仿宋_GB2312" w:hAnsi="仿宋_GB2312" w:eastAsia="仿宋_GB2312" w:cs="仿宋_GB2312"/>
          <w:bCs/>
          <w:color w:val="auto"/>
          <w:lang w:val="en"/>
        </w:rPr>
        <w:t>“</w:t>
      </w:r>
      <w:r>
        <w:rPr>
          <w:rFonts w:ascii="仿宋_GB2312" w:hAnsi="仿宋_GB2312" w:eastAsia="仿宋_GB2312" w:cs="仿宋_GB2312"/>
          <w:bCs/>
          <w:color w:val="auto"/>
        </w:rPr>
        <w:t>国家所需、酒泉所能、群众所盼、未来所向</w:t>
      </w:r>
      <w:r>
        <w:rPr>
          <w:rFonts w:ascii="仿宋_GB2312" w:hAnsi="仿宋_GB2312" w:eastAsia="仿宋_GB2312" w:cs="仿宋_GB2312"/>
          <w:bCs/>
          <w:color w:val="auto"/>
          <w:lang w:val="en"/>
        </w:rPr>
        <w:t>”</w:t>
      </w:r>
      <w:r>
        <w:rPr>
          <w:rFonts w:ascii="仿宋_GB2312" w:hAnsi="仿宋_GB2312" w:eastAsia="仿宋_GB2312" w:cs="仿宋_GB2312"/>
          <w:bCs/>
          <w:color w:val="auto"/>
        </w:rPr>
        <w:t>富有酒泉特色和优势的现代化产业体系，推进新型工业化进程，加快实施</w:t>
      </w:r>
      <w:r>
        <w:rPr>
          <w:rFonts w:hint="eastAsia" w:ascii="仿宋_GB2312" w:hAnsi="仿宋_GB2312" w:eastAsia="仿宋_GB2312" w:cs="仿宋_GB2312"/>
          <w:bCs/>
          <w:color w:val="auto"/>
        </w:rPr>
        <w:t>筑基强链育集群</w:t>
      </w:r>
      <w:r>
        <w:rPr>
          <w:rFonts w:hint="eastAsia" w:ascii="仿宋_GB2312" w:hAnsi="仿宋_GB2312" w:eastAsia="仿宋_GB2312" w:cs="仿宋_GB2312"/>
          <w:bCs/>
          <w:color w:val="auto"/>
          <w:lang w:eastAsia="zh-CN"/>
        </w:rPr>
        <w:t>、</w:t>
      </w:r>
      <w:r>
        <w:rPr>
          <w:rFonts w:ascii="仿宋_GB2312" w:hAnsi="仿宋_GB2312" w:eastAsia="仿宋_GB2312" w:cs="仿宋_GB2312"/>
          <w:bCs/>
          <w:color w:val="auto"/>
        </w:rPr>
        <w:t>狠抓项目扩体量、激发活力促创新、数智赋能助转型等</w:t>
      </w:r>
      <w:r>
        <w:rPr>
          <w:rFonts w:hint="eastAsia" w:ascii="仿宋_GB2312" w:hAnsi="仿宋_GB2312" w:eastAsia="仿宋_GB2312" w:cs="仿宋_GB2312"/>
          <w:bCs/>
          <w:color w:val="auto"/>
          <w:lang w:eastAsia="zh-CN"/>
        </w:rPr>
        <w:t>九</w:t>
      </w:r>
      <w:r>
        <w:rPr>
          <w:rFonts w:ascii="仿宋_GB2312" w:hAnsi="仿宋_GB2312" w:eastAsia="仿宋_GB2312" w:cs="仿宋_GB2312"/>
          <w:bCs/>
          <w:color w:val="auto"/>
        </w:rPr>
        <w:t>大工程，重视环境保护，推动工业高质量发展。</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ascii="仿宋_GB2312" w:hAnsi="仿宋_GB2312" w:eastAsia="仿宋_GB2312" w:cs="仿宋_GB2312"/>
          <w:bCs/>
          <w:color w:val="auto"/>
        </w:rPr>
      </w:pPr>
      <w:r>
        <w:rPr>
          <w:rFonts w:ascii="仿宋_GB2312" w:hAnsi="仿宋_GB2312" w:eastAsia="仿宋_GB2312" w:cs="仿宋_GB2312"/>
          <w:bCs/>
          <w:color w:val="auto"/>
        </w:rPr>
        <w:t>本规划系我市</w:t>
      </w:r>
      <w:r>
        <w:rPr>
          <w:rFonts w:ascii="仿宋_GB2312" w:hAnsi="仿宋_GB2312" w:eastAsia="仿宋_GB2312" w:cs="仿宋_GB2312"/>
          <w:bCs/>
          <w:color w:val="auto"/>
          <w:lang w:val="en"/>
        </w:rPr>
        <w:t>“</w:t>
      </w:r>
      <w:r>
        <w:rPr>
          <w:rFonts w:ascii="仿宋_GB2312" w:hAnsi="仿宋_GB2312" w:eastAsia="仿宋_GB2312" w:cs="仿宋_GB2312"/>
          <w:bCs/>
          <w:color w:val="auto"/>
        </w:rPr>
        <w:t>十五五</w:t>
      </w:r>
      <w:r>
        <w:rPr>
          <w:rFonts w:ascii="仿宋_GB2312" w:hAnsi="仿宋_GB2312" w:eastAsia="仿宋_GB2312" w:cs="仿宋_GB2312"/>
          <w:bCs/>
          <w:color w:val="auto"/>
          <w:lang w:val="en"/>
        </w:rPr>
        <w:t>”</w:t>
      </w:r>
      <w:r>
        <w:rPr>
          <w:rFonts w:ascii="仿宋_GB2312" w:hAnsi="仿宋_GB2312" w:eastAsia="仿宋_GB2312" w:cs="仿宋_GB2312"/>
          <w:bCs/>
          <w:color w:val="auto"/>
        </w:rPr>
        <w:t>期间工业和信息化高质量发展的综合指导性规划，适用范围为酒泉市工业经济和信息化相关领域，实施期限为2026-2030年。</w:t>
      </w:r>
    </w:p>
    <w:p>
      <w:pPr>
        <w:pStyle w:val="3"/>
        <w:keepLines w:val="0"/>
        <w:pageBreakBefore w:val="0"/>
        <w:kinsoku/>
        <w:wordWrap/>
        <w:overflowPunct/>
        <w:topLinePunct w:val="0"/>
        <w:bidi w:val="0"/>
        <w:spacing w:before="0" w:beforeAutospacing="0" w:after="0" w:afterAutospacing="0" w:line="560" w:lineRule="exact"/>
        <w:ind w:firstLine="0" w:firstLineChars="0"/>
        <w:jc w:val="center"/>
        <w:textAlignment w:val="auto"/>
        <w:rPr>
          <w:rFonts w:hint="default" w:ascii="Times New Roman" w:hAnsi="Times New Roman" w:eastAsia="黑体"/>
          <w:color w:val="auto"/>
          <w:sz w:val="32"/>
          <w:szCs w:val="32"/>
        </w:rPr>
      </w:pPr>
      <w:r>
        <w:rPr>
          <w:rFonts w:hint="default" w:ascii="Times New Roman" w:hAnsi="Times New Roman" w:eastAsia="黑体"/>
          <w:color w:val="auto"/>
          <w:sz w:val="32"/>
          <w:szCs w:val="32"/>
        </w:rPr>
        <w:br w:type="page"/>
      </w:r>
      <w:bookmarkEnd w:id="0"/>
      <w:bookmarkStart w:id="3" w:name="_Toc22092"/>
      <w:bookmarkStart w:id="4" w:name="_Toc2080255081"/>
      <w:r>
        <w:rPr>
          <w:rFonts w:hint="default" w:ascii="Times New Roman" w:hAnsi="Times New Roman" w:eastAsia="黑体"/>
          <w:b w:val="0"/>
          <w:bCs w:val="0"/>
          <w:color w:val="auto"/>
          <w:sz w:val="36"/>
          <w:szCs w:val="36"/>
        </w:rPr>
        <w:t>第一章 发展基础与环境</w:t>
      </w:r>
      <w:bookmarkEnd w:id="3"/>
      <w:bookmarkEnd w:id="4"/>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5" w:name="_Toc787494520"/>
      <w:bookmarkStart w:id="6" w:name="_Toc30244"/>
      <w:r>
        <w:rPr>
          <w:rFonts w:hint="eastAsia" w:ascii="楷体_GB2312" w:hAnsi="楷体_GB2312" w:eastAsia="楷体_GB2312" w:cs="楷体_GB2312"/>
          <w:color w:val="auto"/>
        </w:rPr>
        <w:t>一、发展基础</w:t>
      </w:r>
      <w:bookmarkEnd w:id="5"/>
      <w:bookmarkEnd w:id="6"/>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7" w:name="_Toc28976"/>
      <w:bookmarkStart w:id="8" w:name="_Toc438476629"/>
      <w:bookmarkStart w:id="9" w:name="_Toc31714"/>
      <w:r>
        <w:rPr>
          <w:rFonts w:ascii="仿宋_GB2312" w:hAnsi="仿宋_GB2312" w:eastAsia="仿宋_GB2312" w:cs="仿宋_GB2312"/>
          <w:color w:val="auto"/>
        </w:rPr>
        <w:t>（一）主要成就</w:t>
      </w:r>
      <w:bookmarkEnd w:id="7"/>
      <w:bookmarkEnd w:id="8"/>
    </w:p>
    <w:bookmarkEnd w:id="9"/>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bCs/>
          <w:color w:val="auto"/>
        </w:rPr>
      </w:pPr>
      <w:r>
        <w:rPr>
          <w:rFonts w:hint="eastAsia" w:ascii="仿宋_GB2312" w:hAnsi="仿宋_GB2312" w:eastAsia="仿宋_GB2312" w:cs="仿宋_GB2312"/>
          <w:b/>
          <w:bCs/>
          <w:color w:val="auto"/>
        </w:rPr>
        <w:t>综合实力持续跃升。</w:t>
      </w:r>
      <w:bookmarkStart w:id="10" w:name="_Toc21028"/>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十四五</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期间，我市坚定不移实施</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工业强市</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战略，扎实推进新型工业化，</w:t>
      </w:r>
      <w:r>
        <w:rPr>
          <w:rFonts w:hint="eastAsia" w:ascii="仿宋_GB2312" w:hAnsi="仿宋_GB2312" w:eastAsia="仿宋_GB2312" w:cs="仿宋_GB2312"/>
          <w:color w:val="auto"/>
          <w:szCs w:val="32"/>
        </w:rPr>
        <w:t>打好系列稳增长政策</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组合拳</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w:t>
      </w:r>
      <w:r>
        <w:rPr>
          <w:rFonts w:hint="eastAsia" w:ascii="仿宋_GB2312" w:hAnsi="仿宋_GB2312" w:eastAsia="仿宋_GB2312" w:cs="仿宋_GB2312"/>
          <w:bCs/>
          <w:color w:val="auto"/>
        </w:rPr>
        <w:t>工业项目建设稳步推进，工业发展呈现良好态势。</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十四五</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末，全市工业增加值达</w:t>
      </w:r>
      <w:r>
        <w:rPr>
          <w:rFonts w:ascii="仿宋_GB2312" w:hAnsi="仿宋_GB2312" w:eastAsia="仿宋_GB2312" w:cs="仿宋_GB2312"/>
          <w:bCs/>
          <w:color w:val="auto"/>
          <w:lang w:val="en"/>
        </w:rPr>
        <w:t>420.9</w:t>
      </w:r>
      <w:r>
        <w:rPr>
          <w:rFonts w:hint="eastAsia" w:ascii="仿宋_GB2312" w:hAnsi="仿宋_GB2312" w:eastAsia="仿宋_GB2312" w:cs="仿宋_GB2312"/>
          <w:bCs/>
          <w:color w:val="auto"/>
        </w:rPr>
        <w:t>亿元，占GDP比重稳定在</w:t>
      </w:r>
      <w:r>
        <w:rPr>
          <w:rFonts w:ascii="仿宋_GB2312" w:hAnsi="仿宋_GB2312" w:eastAsia="仿宋_GB2312" w:cs="仿宋_GB2312"/>
          <w:bCs/>
          <w:color w:val="auto"/>
          <w:lang w:val="en"/>
        </w:rPr>
        <w:t>40</w:t>
      </w:r>
      <w:r>
        <w:rPr>
          <w:rFonts w:hint="eastAsia" w:ascii="仿宋_GB2312" w:hAnsi="仿宋_GB2312" w:eastAsia="仿宋_GB2312" w:cs="仿宋_GB2312"/>
          <w:bCs/>
          <w:color w:val="auto"/>
        </w:rPr>
        <w:t>%左右；规上工业产值突破900亿元，规模以上工业增加值年均增长10%以上，增速保持全省前列。全市工业固定资产投资年均增速达到20%以上。全市规上工业企业年均增加55户以上，总数</w:t>
      </w:r>
      <w:r>
        <w:rPr>
          <w:rFonts w:hint="eastAsia" w:ascii="仿宋_GB2312" w:hAnsi="仿宋_GB2312" w:eastAsia="仿宋_GB2312" w:cs="仿宋_GB2312"/>
          <w:bCs/>
          <w:color w:val="auto"/>
          <w:lang w:val="en-US" w:eastAsia="zh-CN"/>
        </w:rPr>
        <w:t>达到455</w:t>
      </w:r>
      <w:r>
        <w:rPr>
          <w:rFonts w:hint="eastAsia" w:ascii="仿宋_GB2312" w:hAnsi="仿宋_GB2312" w:eastAsia="仿宋_GB2312" w:cs="仿宋_GB2312"/>
          <w:bCs/>
          <w:color w:val="auto"/>
        </w:rPr>
        <w:t>户。</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bCs/>
          <w:color w:val="auto"/>
        </w:rPr>
      </w:pPr>
      <w:r>
        <w:rPr>
          <w:rFonts w:hint="eastAsia" w:ascii="仿宋_GB2312" w:hAnsi="仿宋_GB2312" w:eastAsia="仿宋_GB2312" w:cs="仿宋_GB2312"/>
          <w:b/>
          <w:bCs/>
          <w:color w:val="auto"/>
        </w:rPr>
        <w:t>产业体系逐步优化</w:t>
      </w:r>
      <w:bookmarkEnd w:id="10"/>
      <w:r>
        <w:rPr>
          <w:rFonts w:hint="eastAsia" w:ascii="仿宋_GB2312" w:hAnsi="仿宋_GB2312" w:eastAsia="仿宋_GB2312" w:cs="仿宋_GB2312"/>
          <w:b/>
          <w:bCs/>
          <w:color w:val="auto"/>
        </w:rPr>
        <w:t>。</w:t>
      </w:r>
      <w:bookmarkStart w:id="11" w:name="_Toc15757"/>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十四五</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期间，我市全力打造现代化产业体系，推动新能源及新能源装备制造向</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群</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发力、化工产业向</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精</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延展、矿产品加工向</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绿</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转型、核及核关联产业向</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深</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拓展、航天航空产业向</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新</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布局，着力改造提升传统产业，培育壮大新兴产业。新能源行业占规上工业比重不断增加，实现了新能源发电与新能源装备制造协同发展的良好局面；化工产业形成了以石油化工重点支撑、煤化工以点带面、精细化工集群发展的产业格局；矿产品加工初步形成煤炭、铁精粉、黄金、钒、硅石等各具特色的产业链条；核及核关联、商业航天、低空经济、氢能等产业破题发展，产业基础逐步夯实。</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rPr>
        <w:t>产业链群优势显现</w:t>
      </w:r>
      <w:bookmarkEnd w:id="11"/>
      <w:r>
        <w:rPr>
          <w:rFonts w:hint="eastAsia" w:ascii="仿宋_GB2312" w:hAnsi="仿宋_GB2312" w:eastAsia="仿宋_GB2312" w:cs="仿宋_GB2312"/>
          <w:b/>
          <w:bCs/>
          <w:color w:val="auto"/>
        </w:rPr>
        <w:t>。</w:t>
      </w:r>
      <w:bookmarkStart w:id="12" w:name="_Toc16821"/>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十四五</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期间</w:t>
      </w:r>
      <w:r>
        <w:rPr>
          <w:rFonts w:hint="eastAsia" w:ascii="仿宋_GB2312" w:hAnsi="仿宋_GB2312" w:eastAsia="仿宋_GB2312" w:cs="仿宋_GB2312"/>
          <w:color w:val="auto"/>
          <w:szCs w:val="32"/>
        </w:rPr>
        <w:t>，风电、光伏、光热、储能、氢能、智慧电网等新能源全产业链体系已初步形成，建成全国最大的陆上风电装备制造产业基地，风电装备制造产业集群被认定为国家级中小企业特色产业集群，全产业链推进新能源装备制造基地建设典型经验获国务院通报表扬。化工产业高端化、精细化、差异化发展，玉门化工新材料产业集群和金塔精细化工产业集群认定为省级中小企业特色产业集群。新一轮找矿突破战略行动取得突破，矿产品精深加工产业链式发展已具雏形。核技术产业园项目顺利推进，初步形成了乏燃料后处理、放射性废物处理处置等核及核关联产业集群。</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rPr>
        <w:t>创新</w:t>
      </w:r>
      <w:bookmarkEnd w:id="12"/>
      <w:r>
        <w:rPr>
          <w:rFonts w:hint="eastAsia" w:ascii="仿宋_GB2312" w:hAnsi="仿宋_GB2312" w:eastAsia="仿宋_GB2312" w:cs="仿宋_GB2312"/>
          <w:b/>
          <w:bCs/>
          <w:color w:val="auto"/>
        </w:rPr>
        <w:t>能力明显提升。</w:t>
      </w:r>
      <w:bookmarkStart w:id="13" w:name="_Toc28486"/>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十四五</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期间</w:t>
      </w:r>
      <w:r>
        <w:rPr>
          <w:rFonts w:hint="eastAsia" w:ascii="仿宋_GB2312" w:hAnsi="仿宋_GB2312" w:eastAsia="仿宋_GB2312" w:cs="仿宋_GB2312"/>
          <w:color w:val="auto"/>
          <w:szCs w:val="32"/>
        </w:rPr>
        <w:t>，</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强科技</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行动不断深化，综合科技进步指数达到69.8%，科技创新综合实力位居全省前列。光热浮法玻璃、天然气掺氢、智能化风电叶片模具、制种玉米机械化等160余项产业关键技术取得实质性突破，全球首个</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双塔一机光热储能项目</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、全国首个</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人工硐室压缩空气储能示范工程</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、全省首个</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氢能装备制造项目</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相继落地。</w:t>
      </w:r>
      <w:r>
        <w:rPr>
          <w:rFonts w:hint="eastAsia" w:ascii="仿宋_GB2312" w:hAnsi="仿宋_GB2312" w:eastAsia="仿宋_GB2312" w:cs="仿宋_GB2312"/>
          <w:color w:val="auto"/>
          <w:szCs w:val="32"/>
        </w:rPr>
        <w:t>国家级</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专精特新</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小巨人企业</w:t>
      </w:r>
      <w:r>
        <w:rPr>
          <w:rFonts w:hint="eastAsia" w:ascii="仿宋_GB2312" w:hAnsi="仿宋_GB2312" w:eastAsia="仿宋_GB2312" w:cs="仿宋_GB2312"/>
          <w:color w:val="auto"/>
          <w:szCs w:val="32"/>
          <w:lang w:val="en-US" w:eastAsia="zh-CN"/>
        </w:rPr>
        <w:t>达到4户，</w:t>
      </w:r>
      <w:r>
        <w:rPr>
          <w:rFonts w:hint="eastAsia" w:ascii="仿宋_GB2312" w:hAnsi="仿宋_GB2312" w:eastAsia="仿宋_GB2312" w:cs="仿宋_GB2312"/>
          <w:color w:val="auto"/>
          <w:szCs w:val="32"/>
        </w:rPr>
        <w:t>省级</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专精特新</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企业</w:t>
      </w:r>
      <w:r>
        <w:rPr>
          <w:rFonts w:hint="eastAsia" w:ascii="仿宋_GB2312" w:hAnsi="仿宋_GB2312" w:eastAsia="仿宋_GB2312" w:cs="仿宋_GB2312"/>
          <w:color w:val="auto"/>
          <w:szCs w:val="32"/>
          <w:lang w:val="en-US" w:eastAsia="zh-CN"/>
        </w:rPr>
        <w:t>到86户，数量较</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十三五</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末</w:t>
      </w:r>
      <w:r>
        <w:rPr>
          <w:rFonts w:hint="eastAsia" w:ascii="仿宋_GB2312" w:hAnsi="仿宋_GB2312" w:eastAsia="仿宋_GB2312" w:cs="仿宋_GB2312"/>
          <w:color w:val="auto"/>
          <w:szCs w:val="32"/>
          <w:lang w:val="en-US" w:eastAsia="zh-CN"/>
        </w:rPr>
        <w:t>增加3倍。</w:t>
      </w:r>
      <w:r>
        <w:rPr>
          <w:rFonts w:hint="eastAsia" w:ascii="仿宋_GB2312" w:hAnsi="仿宋_GB2312" w:eastAsia="仿宋_GB2312" w:cs="仿宋_GB2312"/>
          <w:color w:val="auto"/>
          <w:szCs w:val="32"/>
        </w:rPr>
        <w:t>奥凯种机、大禹节水获得</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全国制造业单项冠军</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称号，3户企业获评省级制造业单项冠军。</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rPr>
        <w:t>数智低碳稳步转型</w:t>
      </w:r>
      <w:bookmarkEnd w:id="13"/>
      <w:r>
        <w:rPr>
          <w:rFonts w:hint="eastAsia" w:ascii="仿宋_GB2312" w:hAnsi="仿宋_GB2312" w:eastAsia="仿宋_GB2312" w:cs="仿宋_GB2312"/>
          <w:b/>
          <w:bCs/>
          <w:color w:val="auto"/>
        </w:rPr>
        <w:t>。</w:t>
      </w:r>
      <w:bookmarkStart w:id="14" w:name="_Toc25555"/>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十四五</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期间</w:t>
      </w:r>
      <w:r>
        <w:rPr>
          <w:rFonts w:hint="eastAsia" w:ascii="仿宋_GB2312" w:hAnsi="仿宋_GB2312" w:eastAsia="仿宋_GB2312" w:cs="仿宋_GB2312"/>
          <w:color w:val="auto"/>
          <w:szCs w:val="32"/>
        </w:rPr>
        <w:t>，我市数字基础设施明显改善，成功创建全省首个国家</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千兆城市</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，成功入选国家第二批中小企业数字化转型试点城市，大力支持461家中小企业开展数字化改造。智能转型稳步推进，累计创建先进级智能工厂</w:t>
      </w:r>
      <w:r>
        <w:rPr>
          <w:rFonts w:ascii="仿宋_GB2312" w:hAnsi="仿宋_GB2312" w:eastAsia="仿宋_GB2312" w:cs="仿宋_GB2312"/>
          <w:color w:val="auto"/>
          <w:szCs w:val="32"/>
          <w:lang w:val="en"/>
        </w:rPr>
        <w:t>5</w:t>
      </w:r>
      <w:r>
        <w:rPr>
          <w:rFonts w:hint="eastAsia" w:ascii="仿宋_GB2312" w:hAnsi="仿宋_GB2312" w:eastAsia="仿宋_GB2312" w:cs="仿宋_GB2312"/>
          <w:color w:val="auto"/>
          <w:szCs w:val="32"/>
        </w:rPr>
        <w:t>家、基础级智能工厂</w:t>
      </w:r>
      <w:r>
        <w:rPr>
          <w:rFonts w:ascii="仿宋_GB2312" w:hAnsi="仿宋_GB2312" w:eastAsia="仿宋_GB2312" w:cs="仿宋_GB2312"/>
          <w:color w:val="auto"/>
          <w:szCs w:val="32"/>
          <w:lang w:val="en"/>
        </w:rPr>
        <w:t>9</w:t>
      </w:r>
      <w:r>
        <w:rPr>
          <w:rFonts w:hint="eastAsia" w:ascii="仿宋_GB2312" w:hAnsi="仿宋_GB2312" w:eastAsia="仿宋_GB2312" w:cs="仿宋_GB2312"/>
          <w:color w:val="auto"/>
          <w:szCs w:val="32"/>
        </w:rPr>
        <w:t>家、智能制造优秀场景</w:t>
      </w:r>
      <w:r>
        <w:rPr>
          <w:rFonts w:ascii="仿宋_GB2312" w:hAnsi="仿宋_GB2312" w:eastAsia="仿宋_GB2312" w:cs="仿宋_GB2312"/>
          <w:color w:val="auto"/>
          <w:szCs w:val="32"/>
          <w:lang w:val="en"/>
        </w:rPr>
        <w:t>10</w:t>
      </w:r>
      <w:r>
        <w:rPr>
          <w:rFonts w:hint="eastAsia" w:ascii="仿宋_GB2312" w:hAnsi="仿宋_GB2312" w:eastAsia="仿宋_GB2312" w:cs="仿宋_GB2312"/>
          <w:color w:val="auto"/>
          <w:szCs w:val="32"/>
        </w:rPr>
        <w:t>家，1</w:t>
      </w:r>
      <w:r>
        <w:rPr>
          <w:rFonts w:hint="eastAsia" w:ascii="仿宋_GB2312" w:hAnsi="仿宋_GB2312" w:eastAsia="仿宋_GB2312" w:cs="仿宋_GB2312"/>
          <w:color w:val="auto"/>
          <w:szCs w:val="32"/>
          <w:lang w:val="en-US" w:eastAsia="zh-CN"/>
        </w:rPr>
        <w:t>7</w:t>
      </w:r>
      <w:r>
        <w:rPr>
          <w:rFonts w:hint="eastAsia" w:ascii="仿宋_GB2312" w:hAnsi="仿宋_GB2312" w:eastAsia="仿宋_GB2312" w:cs="仿宋_GB2312"/>
          <w:color w:val="auto"/>
          <w:szCs w:val="32"/>
        </w:rPr>
        <w:t>家企业通过国家两化融合贯标评定。绿色化转型成效显著，培育国家级绿色园区1家、绿色工厂</w:t>
      </w:r>
      <w:r>
        <w:rPr>
          <w:rFonts w:ascii="仿宋_GB2312" w:hAnsi="仿宋_GB2312" w:eastAsia="仿宋_GB2312" w:cs="仿宋_GB2312"/>
          <w:color w:val="auto"/>
          <w:szCs w:val="32"/>
          <w:lang w:val="en"/>
        </w:rPr>
        <w:t>9</w:t>
      </w:r>
      <w:r>
        <w:rPr>
          <w:rFonts w:hint="eastAsia" w:ascii="仿宋_GB2312" w:hAnsi="仿宋_GB2312" w:eastAsia="仿宋_GB2312" w:cs="仿宋_GB2312"/>
          <w:color w:val="auto"/>
          <w:szCs w:val="32"/>
        </w:rPr>
        <w:t>家。</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rPr>
        <w:t>园区承载强基提质</w:t>
      </w:r>
      <w:bookmarkEnd w:id="14"/>
      <w:r>
        <w:rPr>
          <w:rFonts w:hint="eastAsia" w:ascii="仿宋_GB2312" w:hAnsi="仿宋_GB2312" w:eastAsia="仿宋_GB2312" w:cs="仿宋_GB2312"/>
          <w:b/>
          <w:bCs/>
          <w:color w:val="auto"/>
        </w:rPr>
        <w:t>。</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十四五</w:t>
      </w:r>
      <w:r>
        <w:rPr>
          <w:rFonts w:hint="default" w:ascii="仿宋_GB2312" w:hAnsi="仿宋_GB2312" w:eastAsia="仿宋_GB2312" w:cs="仿宋_GB2312"/>
          <w:bCs/>
          <w:color w:val="auto"/>
          <w:lang w:val="en"/>
        </w:rPr>
        <w:t>”</w:t>
      </w:r>
      <w:r>
        <w:rPr>
          <w:rFonts w:hint="eastAsia" w:ascii="仿宋_GB2312" w:hAnsi="仿宋_GB2312" w:eastAsia="仿宋_GB2312" w:cs="仿宋_GB2312"/>
          <w:bCs/>
          <w:color w:val="auto"/>
        </w:rPr>
        <w:t>期间</w:t>
      </w:r>
      <w:r>
        <w:rPr>
          <w:rFonts w:hint="eastAsia" w:ascii="仿宋_GB2312" w:hAnsi="仿宋_GB2312" w:eastAsia="仿宋_GB2312" w:cs="仿宋_GB2312"/>
          <w:color w:val="auto"/>
          <w:szCs w:val="32"/>
        </w:rPr>
        <w:t>，酒泉经开区连续六年省级考核优秀，进入全国省级开发区升级潜力百强，获评国家级绿色工业园区。</w:t>
      </w:r>
      <w:r>
        <w:rPr>
          <w:rFonts w:hint="eastAsia" w:ascii="仿宋_GB2312" w:hAnsi="仿宋_GB2312" w:eastAsia="仿宋_GB2312" w:cs="仿宋_GB2312"/>
          <w:color w:val="auto"/>
          <w:szCs w:val="32"/>
          <w:lang w:val="en-US" w:eastAsia="zh-CN"/>
        </w:rPr>
        <w:t>玉门经济开发区成功入选</w:t>
      </w:r>
      <w:r>
        <w:rPr>
          <w:rFonts w:hint="default" w:ascii="仿宋_GB2312" w:hAnsi="仿宋_GB2312" w:eastAsia="仿宋_GB2312" w:cs="仿宋_GB2312"/>
          <w:color w:val="auto"/>
          <w:szCs w:val="32"/>
          <w:lang w:val="en" w:eastAsia="zh-CN"/>
        </w:rPr>
        <w:t>“</w:t>
      </w:r>
      <w:r>
        <w:rPr>
          <w:rFonts w:hint="eastAsia" w:ascii="仿宋_GB2312" w:hAnsi="仿宋_GB2312" w:eastAsia="仿宋_GB2312" w:cs="仿宋_GB2312"/>
          <w:color w:val="auto"/>
          <w:szCs w:val="32"/>
          <w:lang w:val="en-US" w:eastAsia="zh-CN"/>
        </w:rPr>
        <w:t>2025中国省级开发区发展潜力百强</w:t>
      </w:r>
      <w:r>
        <w:rPr>
          <w:rFonts w:hint="default" w:ascii="仿宋_GB2312" w:hAnsi="仿宋_GB2312" w:eastAsia="仿宋_GB2312" w:cs="仿宋_GB2312"/>
          <w:color w:val="auto"/>
          <w:szCs w:val="32"/>
          <w:lang w:val="en" w:eastAsia="zh-CN"/>
        </w:rPr>
        <w:t>”</w:t>
      </w:r>
      <w:r>
        <w:rPr>
          <w:rFonts w:hint="eastAsia" w:ascii="仿宋_GB2312" w:hAnsi="仿宋_GB2312" w:eastAsia="仿宋_GB2312" w:cs="仿宋_GB2312"/>
          <w:color w:val="auto"/>
          <w:szCs w:val="32"/>
          <w:lang w:val="en-US" w:eastAsia="zh-CN"/>
        </w:rPr>
        <w:t>，</w:t>
      </w:r>
      <w:r>
        <w:rPr>
          <w:rFonts w:hint="eastAsia" w:ascii="仿宋_GB2312" w:hAnsi="仿宋_GB2312" w:eastAsia="仿宋_GB2312" w:cs="仿宋_GB2312"/>
          <w:color w:val="auto"/>
          <w:szCs w:val="32"/>
        </w:rPr>
        <w:t>瓜州工业集中区、敦煌循环经济产业园提档升级，成功晋升省级开发区。</w:t>
      </w:r>
      <w:r>
        <w:rPr>
          <w:rFonts w:hint="eastAsia" w:ascii="仿宋_GB2312" w:hAnsi="仿宋_GB2312" w:eastAsia="仿宋_GB2312" w:cs="仿宋_GB2312"/>
          <w:color w:val="auto"/>
          <w:szCs w:val="32"/>
          <w:lang w:bidi="ar"/>
        </w:rPr>
        <w:t>玉门老市区化工园区、玉门东镇建化园区、金塔北河湾化工园区、瓜州柳沟煤化工园区等</w:t>
      </w:r>
      <w:r>
        <w:rPr>
          <w:rFonts w:hint="eastAsia" w:ascii="仿宋_GB2312" w:hAnsi="仿宋_GB2312" w:eastAsia="仿宋_GB2312" w:cs="仿宋_GB2312"/>
          <w:color w:val="auto"/>
          <w:szCs w:val="32"/>
        </w:rPr>
        <w:t>4个化工园区通过甘肃省化工园区复核认定，全部认定为一级化工园区。</w:t>
      </w:r>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15" w:name="_Toc1382477406"/>
      <w:bookmarkStart w:id="16" w:name="_Toc7104"/>
      <w:r>
        <w:rPr>
          <w:rFonts w:ascii="仿宋_GB2312" w:hAnsi="仿宋_GB2312" w:eastAsia="仿宋_GB2312" w:cs="仿宋_GB2312"/>
          <w:color w:val="auto"/>
        </w:rPr>
        <w:t>（二）存在问题</w:t>
      </w:r>
      <w:bookmarkEnd w:id="15"/>
      <w:bookmarkEnd w:id="16"/>
    </w:p>
    <w:p>
      <w:pPr>
        <w:pStyle w:val="18"/>
        <w:keepLines w:val="0"/>
        <w:pageBreakBefore w:val="0"/>
        <w:kinsoku/>
        <w:wordWrap/>
        <w:overflowPunct/>
        <w:topLinePunct w:val="0"/>
        <w:bidi w:val="0"/>
        <w:spacing w:before="0" w:beforeAutospacing="0" w:after="0" w:afterAutospacing="0" w:line="560" w:lineRule="exact"/>
        <w:ind w:firstLine="643"/>
        <w:textAlignment w:val="auto"/>
        <w:rPr>
          <w:rFonts w:ascii="仿宋_GB2312" w:hAnsi="仿宋_GB2312" w:eastAsia="仿宋_GB2312" w:cs="仿宋_GB2312"/>
          <w:color w:val="auto"/>
          <w:kern w:val="2"/>
          <w:sz w:val="32"/>
          <w:szCs w:val="32"/>
          <w:lang w:bidi="ar"/>
        </w:rPr>
      </w:pPr>
      <w:r>
        <w:rPr>
          <w:rFonts w:hint="eastAsia" w:ascii="仿宋_GB2312" w:hAnsi="仿宋_GB2312" w:eastAsia="仿宋_GB2312" w:cs="仿宋_GB2312"/>
          <w:b/>
          <w:bCs/>
          <w:color w:val="auto"/>
          <w:sz w:val="32"/>
          <w:szCs w:val="32"/>
        </w:rPr>
        <w:t>产业接续支撑力不足。</w:t>
      </w:r>
      <w:r>
        <w:rPr>
          <w:rFonts w:hint="eastAsia" w:ascii="仿宋_GB2312" w:hAnsi="仿宋_GB2312" w:eastAsia="仿宋_GB2312" w:cs="仿宋_GB2312"/>
          <w:color w:val="auto"/>
          <w:kern w:val="2"/>
          <w:sz w:val="32"/>
          <w:szCs w:val="32"/>
          <w:lang w:bidi="ar"/>
        </w:rPr>
        <w:t>受大宗商品价格波动、价格传导不畅影响，石化、矿产品等传统优势产业增长乏力，新能源产业受消纳能力不足、外送通道受限影响，出现增速放缓、结构固化问题，新兴产业暂未形成有效接续支撑。叠加市场需求波动、企业生产成本攀升、创新收益不确定性等因素，企业扩产意愿低迷，招商引资与项目落地难度加大，部分在建项目进度滞后、已投产项目达产率偏低，工业经济稳增长压力持续加大。</w:t>
      </w:r>
    </w:p>
    <w:p>
      <w:pPr>
        <w:pStyle w:val="18"/>
        <w:keepLines w:val="0"/>
        <w:pageBreakBefore w:val="0"/>
        <w:kinsoku/>
        <w:wordWrap/>
        <w:overflowPunct/>
        <w:topLinePunct w:val="0"/>
        <w:bidi w:val="0"/>
        <w:spacing w:before="0" w:beforeAutospacing="0" w:after="0" w:afterAutospacing="0" w:line="560" w:lineRule="exact"/>
        <w:ind w:firstLine="643"/>
        <w:textAlignment w:val="auto"/>
        <w:rPr>
          <w:rFonts w:ascii="仿宋_GB2312" w:hAnsi="仿宋_GB2312" w:eastAsia="仿宋_GB2312" w:cs="仿宋_GB2312"/>
          <w:color w:val="auto"/>
          <w:kern w:val="2"/>
          <w:sz w:val="32"/>
          <w:szCs w:val="32"/>
          <w:lang w:bidi="ar"/>
        </w:rPr>
      </w:pPr>
      <w:r>
        <w:rPr>
          <w:rFonts w:hint="eastAsia" w:ascii="楷体_GB2312" w:hAnsi="楷体_GB2312" w:eastAsia="楷体_GB2312" w:cs="楷体_GB2312"/>
          <w:b/>
          <w:bCs/>
          <w:color w:val="auto"/>
          <w:sz w:val="32"/>
          <w:szCs w:val="32"/>
        </w:rPr>
        <w:t>产业聚集效应不够明显。</w:t>
      </w:r>
      <w:r>
        <w:rPr>
          <w:rFonts w:hint="eastAsia" w:ascii="仿宋_GB2312" w:hAnsi="仿宋_GB2312" w:eastAsia="仿宋_GB2312" w:cs="仿宋_GB2312"/>
          <w:color w:val="auto"/>
          <w:sz w:val="32"/>
          <w:szCs w:val="32"/>
        </w:rPr>
        <w:t>多数主导产业处于价值链中低端，产业体量偏小、集聚度不足。矿产品精深加工链条短、附加值低，镍、钴及</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三稀矿产</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勘探开发力度不足；化工产业企业联动性弱，中小企业占比高，基础原料对外依存度高，高端化学品、新材料产能短缺；农产品加工企业布局分散。新材料、航天航空、数字经济等战略性新兴产业培育滞后，未能形成规模效应。</w:t>
      </w:r>
    </w:p>
    <w:p>
      <w:pPr>
        <w:pStyle w:val="18"/>
        <w:keepLines w:val="0"/>
        <w:pageBreakBefore w:val="0"/>
        <w:kinsoku/>
        <w:wordWrap/>
        <w:overflowPunct/>
        <w:topLinePunct w:val="0"/>
        <w:bidi w:val="0"/>
        <w:spacing w:before="0" w:beforeAutospacing="0" w:after="0" w:afterAutospacing="0" w:line="560" w:lineRule="exact"/>
        <w:ind w:firstLine="643"/>
        <w:textAlignment w:val="auto"/>
        <w:rPr>
          <w:rFonts w:ascii="仿宋_GB2312" w:hAnsi="仿宋_GB2312" w:eastAsia="仿宋_GB2312" w:cs="仿宋_GB2312"/>
          <w:color w:val="auto"/>
          <w:kern w:val="2"/>
          <w:sz w:val="32"/>
          <w:szCs w:val="32"/>
          <w:lang w:bidi="ar"/>
        </w:rPr>
      </w:pPr>
      <w:r>
        <w:rPr>
          <w:rFonts w:hint="eastAsia" w:ascii="仿宋_GB2312" w:hAnsi="仿宋_GB2312" w:eastAsia="仿宋_GB2312" w:cs="仿宋_GB2312"/>
          <w:b/>
          <w:bCs/>
          <w:color w:val="auto"/>
          <w:sz w:val="32"/>
          <w:szCs w:val="32"/>
        </w:rPr>
        <w:t>产业同质化竞争激烈。</w:t>
      </w:r>
      <w:r>
        <w:rPr>
          <w:rFonts w:hint="eastAsia" w:ascii="仿宋_GB2312" w:hAnsi="仿宋_GB2312" w:eastAsia="仿宋_GB2312" w:cs="仿宋_GB2312"/>
          <w:color w:val="auto"/>
          <w:kern w:val="2"/>
          <w:sz w:val="32"/>
          <w:szCs w:val="32"/>
          <w:lang w:bidi="ar"/>
        </w:rPr>
        <w:t>化工领域除玉门老市区园区</w:t>
      </w:r>
      <w:r>
        <w:rPr>
          <w:rFonts w:hint="eastAsia" w:ascii="仿宋_GB2312" w:hAnsi="仿宋_GB2312" w:eastAsia="仿宋_GB2312" w:cs="仿宋_GB2312"/>
          <w:color w:val="auto"/>
          <w:kern w:val="2"/>
          <w:sz w:val="32"/>
          <w:szCs w:val="32"/>
          <w:lang w:val="en-US" w:eastAsia="zh-CN" w:bidi="ar"/>
        </w:rPr>
        <w:t>外，</w:t>
      </w:r>
      <w:r>
        <w:rPr>
          <w:rFonts w:hint="eastAsia" w:ascii="仿宋_GB2312" w:hAnsi="仿宋_GB2312" w:eastAsia="仿宋_GB2312" w:cs="仿宋_GB2312"/>
          <w:color w:val="auto"/>
          <w:kern w:val="2"/>
          <w:sz w:val="32"/>
          <w:szCs w:val="32"/>
          <w:lang w:bidi="ar"/>
        </w:rPr>
        <w:t>其余三</w:t>
      </w:r>
      <w:r>
        <w:rPr>
          <w:rFonts w:hint="eastAsia" w:ascii="仿宋_GB2312" w:hAnsi="仿宋_GB2312" w:eastAsia="仿宋_GB2312" w:cs="仿宋_GB2312"/>
          <w:color w:val="auto"/>
          <w:kern w:val="2"/>
          <w:sz w:val="32"/>
          <w:szCs w:val="32"/>
          <w:lang w:val="en-US" w:eastAsia="zh-CN" w:bidi="ar"/>
        </w:rPr>
        <w:t>个</w:t>
      </w:r>
      <w:r>
        <w:rPr>
          <w:rFonts w:hint="eastAsia" w:ascii="仿宋_GB2312" w:hAnsi="仿宋_GB2312" w:eastAsia="仿宋_GB2312" w:cs="仿宋_GB2312"/>
          <w:color w:val="auto"/>
          <w:kern w:val="2"/>
          <w:sz w:val="32"/>
          <w:szCs w:val="32"/>
          <w:lang w:bidi="ar"/>
        </w:rPr>
        <w:t>化工园区均集中布局煤化工</w:t>
      </w:r>
      <w:r>
        <w:rPr>
          <w:rFonts w:hint="eastAsia" w:ascii="仿宋_GB2312" w:hAnsi="仿宋_GB2312" w:eastAsia="仿宋_GB2312" w:cs="仿宋_GB2312"/>
          <w:color w:val="auto"/>
          <w:kern w:val="2"/>
          <w:sz w:val="32"/>
          <w:szCs w:val="32"/>
          <w:lang w:eastAsia="zh-CN" w:bidi="ar"/>
        </w:rPr>
        <w:t>，</w:t>
      </w:r>
      <w:r>
        <w:rPr>
          <w:rFonts w:hint="eastAsia" w:ascii="仿宋_GB2312" w:hAnsi="仿宋_GB2312" w:eastAsia="仿宋_GB2312" w:cs="仿宋_GB2312"/>
          <w:color w:val="auto"/>
          <w:kern w:val="2"/>
          <w:sz w:val="32"/>
          <w:szCs w:val="32"/>
          <w:lang w:val="en-US" w:eastAsia="zh-CN" w:bidi="ar"/>
        </w:rPr>
        <w:t>药物中间体、</w:t>
      </w:r>
      <w:r>
        <w:rPr>
          <w:rFonts w:hint="eastAsia" w:ascii="仿宋_GB2312" w:hAnsi="仿宋_GB2312" w:eastAsia="仿宋_GB2312" w:cs="仿宋_GB2312"/>
          <w:color w:val="auto"/>
          <w:kern w:val="2"/>
          <w:sz w:val="32"/>
          <w:szCs w:val="32"/>
          <w:lang w:bidi="ar"/>
        </w:rPr>
        <w:t>染料颜料等精细化工，承接产业转移过程中同质化问题明显。新能源及装备制造领域市场趋于饱和，成本竞争白热化，同时青海、内蒙古、新疆等周边地区同步将风光产业作为核心支柱，区域竞争进一步挤压本地产业发展空间。</w:t>
      </w:r>
    </w:p>
    <w:p>
      <w:pPr>
        <w:pStyle w:val="18"/>
        <w:keepLines w:val="0"/>
        <w:pageBreakBefore w:val="0"/>
        <w:kinsoku/>
        <w:wordWrap/>
        <w:overflowPunct/>
        <w:topLinePunct w:val="0"/>
        <w:bidi w:val="0"/>
        <w:spacing w:before="0" w:beforeAutospacing="0" w:after="0" w:afterAutospacing="0" w:line="560" w:lineRule="exact"/>
        <w:ind w:firstLine="643"/>
        <w:textAlignment w:val="auto"/>
        <w:rPr>
          <w:rFonts w:ascii="仿宋_GB2312" w:hAnsi="仿宋_GB2312" w:eastAsia="仿宋_GB2312" w:cs="仿宋_GB2312"/>
          <w:color w:val="auto"/>
          <w:kern w:val="2"/>
          <w:sz w:val="32"/>
          <w:szCs w:val="32"/>
          <w:lang w:bidi="ar"/>
        </w:rPr>
      </w:pPr>
      <w:r>
        <w:rPr>
          <w:rFonts w:hint="eastAsia" w:ascii="仿宋_GB2312" w:hAnsi="仿宋_GB2312" w:eastAsia="仿宋_GB2312" w:cs="仿宋_GB2312"/>
          <w:b/>
          <w:color w:val="auto"/>
          <w:sz w:val="32"/>
          <w:szCs w:val="32"/>
        </w:rPr>
        <w:t>生产性服务业发展滞后。</w:t>
      </w:r>
      <w:r>
        <w:rPr>
          <w:rFonts w:hint="eastAsia" w:ascii="仿宋_GB2312" w:hAnsi="仿宋_GB2312" w:eastAsia="仿宋_GB2312" w:cs="仿宋_GB2312"/>
          <w:color w:val="auto"/>
          <w:kern w:val="2"/>
          <w:sz w:val="32"/>
          <w:szCs w:val="32"/>
        </w:rPr>
        <w:t>全市工业配套的生产性服务业起步晚、层次低，研发设计、检验检测、中试孵化等高端服务供给短缺，产业服务集中在仓储物流、批发零售等低端领域。新能源设备运维等特色服务尚未形成规模，多数制造企业缺乏服务化转型能力，难以提供定制化服务、整体解决方案，无法满足现代化产业发展需求，制约产业链整体竞争力提升</w:t>
      </w:r>
      <w:r>
        <w:rPr>
          <w:rFonts w:hint="eastAsia" w:ascii="仿宋_GB2312" w:hAnsi="仿宋_GB2312" w:eastAsia="仿宋_GB2312" w:cs="仿宋_GB2312"/>
          <w:color w:val="auto"/>
          <w:kern w:val="2"/>
          <w:sz w:val="32"/>
          <w:szCs w:val="32"/>
          <w:lang w:bidi="ar"/>
        </w:rPr>
        <w:t>。</w:t>
      </w:r>
    </w:p>
    <w:p>
      <w:pPr>
        <w:pStyle w:val="18"/>
        <w:keepLines w:val="0"/>
        <w:pageBreakBefore w:val="0"/>
        <w:kinsoku/>
        <w:wordWrap/>
        <w:overflowPunct/>
        <w:topLinePunct w:val="0"/>
        <w:bidi w:val="0"/>
        <w:spacing w:before="0" w:beforeAutospacing="0" w:after="0" w:afterAutospacing="0" w:line="560" w:lineRule="exact"/>
        <w:ind w:firstLine="643"/>
        <w:jc w:val="both"/>
        <w:textAlignment w:val="auto"/>
        <w:rPr>
          <w:rFonts w:ascii="仿宋_GB2312" w:hAnsi="仿宋_GB2312" w:eastAsia="仿宋_GB2312" w:cs="仿宋_GB2312"/>
          <w:color w:val="auto"/>
          <w:szCs w:val="32"/>
          <w:lang w:bidi="ar"/>
        </w:rPr>
      </w:pPr>
      <w:r>
        <w:rPr>
          <w:rFonts w:hint="eastAsia" w:ascii="仿宋_GB2312" w:hAnsi="仿宋_GB2312" w:eastAsia="仿宋_GB2312" w:cs="仿宋_GB2312"/>
          <w:b/>
          <w:bCs/>
          <w:color w:val="auto"/>
          <w:kern w:val="2"/>
          <w:sz w:val="32"/>
          <w:szCs w:val="32"/>
        </w:rPr>
        <w:t>要素保障制约趋紧。</w:t>
      </w:r>
      <w:r>
        <w:rPr>
          <w:rFonts w:hint="eastAsia" w:ascii="仿宋_GB2312" w:hAnsi="仿宋_GB2312" w:eastAsia="仿宋_GB2312" w:cs="仿宋_GB2312"/>
          <w:color w:val="auto"/>
          <w:kern w:val="2"/>
          <w:sz w:val="32"/>
          <w:szCs w:val="32"/>
        </w:rPr>
        <w:t>工业用地、能耗指标存量不足，难以满足大项目、好项目落地需求。水资源总量偏少、配置不合理、利用效率偏低，供需矛盾突出；电网外送通道容量有限，局部网架薄弱，制约新能源大规模消纳。生态本底脆弱，荒漠化、沙化土地占比高，环境承载力有限。同时本地科教资源匮乏，高层次产业人才、技能型人才引留困难；产业发展资金渠道单一，多重要素瓶颈成为工业高质量发展的硬性制约。</w:t>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17" w:name="_Toc1703"/>
      <w:bookmarkStart w:id="18" w:name="_Toc1194099759"/>
      <w:r>
        <w:rPr>
          <w:rFonts w:hint="eastAsia" w:ascii="楷体_GB2312" w:hAnsi="楷体_GB2312" w:eastAsia="楷体_GB2312" w:cs="楷体_GB2312"/>
          <w:color w:val="auto"/>
        </w:rPr>
        <w:t>二、发展环境</w:t>
      </w:r>
      <w:bookmarkEnd w:id="17"/>
      <w:bookmarkEnd w:id="18"/>
    </w:p>
    <w:p>
      <w:pPr>
        <w:pStyle w:val="18"/>
        <w:keepLines w:val="0"/>
        <w:pageBreakBefore w:val="0"/>
        <w:kinsoku/>
        <w:wordWrap/>
        <w:overflowPunct/>
        <w:topLinePunct w:val="0"/>
        <w:bidi w:val="0"/>
        <w:spacing w:before="0" w:beforeAutospacing="0" w:after="0" w:afterAutospacing="0" w:line="560" w:lineRule="exact"/>
        <w:ind w:firstLine="64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新一轮科技革命、</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双碳</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战略、新时代推进西部大开发、高质量共建</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一带一路</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、全国区域协调发展和全国统一大市场建设等国际国内重大战略持续深入实施，正在加速形成陆海内外联动、东西双向互济的开放格局，支持西部地区特别是酒泉市经济持续快速发展的红利叠加效应逐步显现。</w:t>
      </w:r>
    </w:p>
    <w:p>
      <w:pPr>
        <w:pStyle w:val="18"/>
        <w:keepLines w:val="0"/>
        <w:pageBreakBefore w:val="0"/>
        <w:kinsoku/>
        <w:wordWrap/>
        <w:overflowPunct/>
        <w:topLinePunct w:val="0"/>
        <w:bidi w:val="0"/>
        <w:spacing w:before="0" w:beforeAutospacing="0" w:after="0" w:afterAutospacing="0" w:line="560" w:lineRule="exact"/>
        <w:ind w:firstLine="643"/>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从国际看，全球产业变革与对外开放深化，打开外向发展新空间。一是</w:t>
      </w:r>
      <w:r>
        <w:rPr>
          <w:rFonts w:hint="eastAsia" w:ascii="仿宋_GB2312" w:hAnsi="仿宋_GB2312" w:eastAsia="仿宋_GB2312" w:cs="仿宋_GB2312"/>
          <w:color w:val="auto"/>
          <w:sz w:val="32"/>
          <w:szCs w:val="32"/>
        </w:rPr>
        <w:t>全球绿色贸易规则重塑，绿电优势转化为竞争优势。欧盟自2026年起正式征收碳关税，覆盖钢铁、水泥、铝、电力、化肥等高载能行业，倒逼全球制造业向低碳化转型。酒泉坐拥富集的绿色电力资源，可依托绿电优势打造零碳园区、绿电产业园，承接外向型高载能产业，帮助出口企业规避碳关税壁垒，抢占国际绿色产品市场。</w:t>
      </w:r>
      <w:r>
        <w:rPr>
          <w:rFonts w:hint="eastAsia" w:ascii="仿宋_GB2312" w:hAnsi="仿宋_GB2312" w:eastAsia="仿宋_GB2312" w:cs="仿宋_GB2312"/>
          <w:b/>
          <w:bCs/>
          <w:color w:val="auto"/>
          <w:sz w:val="32"/>
          <w:szCs w:val="32"/>
        </w:rPr>
        <w:t>二是</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一带一路</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纵深推进，区位枢纽价值凸显。中国-中亚五国深化经贸合作，中吉乌铁路进入实质施工阶段，打通我国通往中亚、中东、欧洲的陆路大通道。酒泉作为河西走廊西端、向西开放前沿节点，陆港枢纽地位进一步强化，工业产品出口、跨境产业合作、国际物流往来通道全面畅通，为工业外向型发展赋能。</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color w:val="auto"/>
          <w:sz w:val="32"/>
          <w:szCs w:val="32"/>
        </w:rPr>
        <w:t>全球能源转型提速，清洁能源市场扩容。全球多国加码可再生能源布局，我国提出2035年非化石能源消费占比超30%、风电光伏总装机较2020年增长6倍以上的目标，全球清洁能源产业链需求持续攀升，为酒泉做大做强新能源全产业链、打造世界级清洁能源谷提供广阔市场。</w:t>
      </w:r>
    </w:p>
    <w:p>
      <w:pPr>
        <w:pStyle w:val="18"/>
        <w:keepLines w:val="0"/>
        <w:pageBreakBefore w:val="0"/>
        <w:kinsoku/>
        <w:wordWrap/>
        <w:overflowPunct/>
        <w:topLinePunct w:val="0"/>
        <w:bidi w:val="0"/>
        <w:spacing w:before="0" w:beforeAutospacing="0" w:after="0" w:afterAutospacing="0" w:line="560" w:lineRule="exact"/>
        <w:ind w:firstLine="643"/>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从国内看，国家战略密集赋能，政策红利持续释放。</w:t>
      </w:r>
      <w:r>
        <w:rPr>
          <w:rFonts w:hint="eastAsia" w:ascii="仿宋_GB2312" w:hAnsi="仿宋_GB2312" w:eastAsia="仿宋_GB2312" w:cs="仿宋_GB2312"/>
          <w:color w:val="auto"/>
          <w:sz w:val="32"/>
          <w:szCs w:val="32"/>
        </w:rPr>
        <w:t>当前我国经济坚持稳中求进、以进促稳总基调，实体经济地位持续强化，制造业、新型能源体系成为稳增长核心抓手，国内统一大市场建设加速推进，要素流动、产业分工、供需循环更加顺畅，为西部资源型城市工业转型升级提供了稳定的宏观经济环境。</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新型工业化与制造强国战略。党的二十届四中全会围绕</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十五五</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规划明确提出，坚持实体经济为本，推进制造业智能化、绿色化、融合化发展，加快建设制造强国、航天强国。酒泉可依托新能源装备、航天航空、核产业基础，深度融入国家战略，推动装备制造智能化升级，做强航天、核等战略配套产业。</w:t>
      </w:r>
      <w:r>
        <w:rPr>
          <w:rFonts w:hint="eastAsia" w:ascii="仿宋_GB2312" w:hAnsi="仿宋_GB2312" w:eastAsia="仿宋_GB2312" w:cs="仿宋_GB2312"/>
          <w:b/>
          <w:bCs/>
          <w:color w:val="auto"/>
          <w:sz w:val="32"/>
          <w:szCs w:val="32"/>
        </w:rPr>
        <w:t>二是</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双碳</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与新型能源体系政策。国家持续完善新能源消纳、绿电直</w:t>
      </w:r>
      <w:r>
        <w:rPr>
          <w:rFonts w:hint="eastAsia" w:ascii="仿宋_GB2312" w:hAnsi="仿宋_GB2312" w:eastAsia="仿宋_GB2312" w:cs="仿宋_GB2312"/>
          <w:color w:val="auto"/>
          <w:sz w:val="32"/>
          <w:szCs w:val="32"/>
          <w:lang w:val="en-US" w:eastAsia="zh-CN"/>
        </w:rPr>
        <w:t>连</w:t>
      </w:r>
      <w:r>
        <w:rPr>
          <w:rFonts w:hint="eastAsia" w:ascii="仿宋_GB2312" w:hAnsi="仿宋_GB2312" w:eastAsia="仿宋_GB2312" w:cs="仿宋_GB2312"/>
          <w:color w:val="auto"/>
          <w:sz w:val="32"/>
          <w:szCs w:val="32"/>
        </w:rPr>
        <w:t>等配套政策，印发《关于促进新能源消纳和调控的指导意见》，明确推动</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沙戈荒</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新能源基地就地消纳、引导高载能产业向西部清洁能源富集地区转移，支持新能源与算力、新材料、绿氢等产业融合发展。酒泉作为国家</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沙戈荒</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新能源核心基地，可依托政策推动新能源装机扩容、外送通道建设，大力发展</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新能源+</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新业态，拓展绿电多元化应用场景。</w:t>
      </w:r>
      <w:r>
        <w:rPr>
          <w:rFonts w:hint="eastAsia" w:ascii="仿宋_GB2312" w:hAnsi="仿宋_GB2312" w:eastAsia="仿宋_GB2312" w:cs="仿宋_GB2312"/>
          <w:b/>
          <w:bCs/>
          <w:color w:val="auto"/>
          <w:sz w:val="32"/>
          <w:szCs w:val="32"/>
        </w:rPr>
        <w:t>三是</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东数西算</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工程落地。全国一体化算力网络布局持续优化，东部算力需求向西转移，酒泉依托绿电、冷凉气候双重优势，可布局绿色智算中心、数据中心，打造绿色算力枢纽，实现绿电、算力、实体经济深度融合，培育数字经济新增长点。</w:t>
      </w:r>
    </w:p>
    <w:p>
      <w:pPr>
        <w:pStyle w:val="18"/>
        <w:keepLines w:val="0"/>
        <w:pageBreakBefore w:val="0"/>
        <w:kinsoku/>
        <w:wordWrap/>
        <w:overflowPunct/>
        <w:topLinePunct w:val="0"/>
        <w:bidi w:val="0"/>
        <w:spacing w:before="0" w:beforeAutospacing="0" w:after="0" w:afterAutospacing="0" w:line="560" w:lineRule="exact"/>
        <w:ind w:firstLine="643"/>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从省内看，多个战略交汇重构酒泉产业发展格局。</w:t>
      </w:r>
      <w:r>
        <w:rPr>
          <w:rFonts w:hint="eastAsia" w:ascii="仿宋_GB2312" w:hAnsi="仿宋_GB2312" w:eastAsia="仿宋_GB2312" w:cs="仿宋_GB2312"/>
          <w:color w:val="auto"/>
          <w:kern w:val="2"/>
          <w:sz w:val="32"/>
          <w:szCs w:val="32"/>
          <w:lang w:bidi="ar"/>
        </w:rPr>
        <w:t>甘肃全力打造</w:t>
      </w:r>
      <w:r>
        <w:rPr>
          <w:rFonts w:hint="default" w:ascii="仿宋_GB2312" w:hAnsi="仿宋_GB2312" w:eastAsia="仿宋_GB2312" w:cs="仿宋_GB2312"/>
          <w:color w:val="auto"/>
          <w:kern w:val="2"/>
          <w:sz w:val="32"/>
          <w:szCs w:val="32"/>
          <w:lang w:val="en" w:bidi="ar"/>
        </w:rPr>
        <w:t>“</w:t>
      </w:r>
      <w:r>
        <w:rPr>
          <w:rFonts w:hint="eastAsia" w:ascii="仿宋_GB2312" w:hAnsi="仿宋_GB2312" w:eastAsia="仿宋_GB2312" w:cs="仿宋_GB2312"/>
          <w:color w:val="auto"/>
          <w:kern w:val="2"/>
          <w:sz w:val="32"/>
          <w:szCs w:val="32"/>
          <w:lang w:bidi="ar"/>
        </w:rPr>
        <w:t>七地一屏一通道</w:t>
      </w:r>
      <w:r>
        <w:rPr>
          <w:rFonts w:hint="default" w:ascii="仿宋_GB2312" w:hAnsi="仿宋_GB2312" w:eastAsia="仿宋_GB2312" w:cs="仿宋_GB2312"/>
          <w:color w:val="auto"/>
          <w:kern w:val="2"/>
          <w:sz w:val="32"/>
          <w:szCs w:val="32"/>
          <w:lang w:val="en" w:bidi="ar"/>
        </w:rPr>
        <w:t>”</w:t>
      </w:r>
      <w:r>
        <w:rPr>
          <w:rFonts w:hint="eastAsia" w:ascii="仿宋_GB2312" w:hAnsi="仿宋_GB2312" w:eastAsia="仿宋_GB2312" w:cs="仿宋_GB2312"/>
          <w:color w:val="auto"/>
          <w:kern w:val="2"/>
          <w:sz w:val="32"/>
          <w:szCs w:val="32"/>
          <w:lang w:bidi="ar"/>
        </w:rPr>
        <w:t>，酒泉位于河西走廊西端,被省上确定为区域中心城市，在全省西部大开发及高质量共建</w:t>
      </w:r>
      <w:r>
        <w:rPr>
          <w:rFonts w:hint="default" w:ascii="仿宋_GB2312" w:hAnsi="仿宋_GB2312" w:eastAsia="仿宋_GB2312" w:cs="仿宋_GB2312"/>
          <w:color w:val="auto"/>
          <w:kern w:val="2"/>
          <w:sz w:val="32"/>
          <w:szCs w:val="32"/>
          <w:lang w:val="en" w:bidi="ar"/>
        </w:rPr>
        <w:t>“</w:t>
      </w:r>
      <w:r>
        <w:rPr>
          <w:rFonts w:hint="eastAsia" w:ascii="仿宋_GB2312" w:hAnsi="仿宋_GB2312" w:eastAsia="仿宋_GB2312" w:cs="仿宋_GB2312"/>
          <w:color w:val="auto"/>
          <w:kern w:val="2"/>
          <w:sz w:val="32"/>
          <w:szCs w:val="32"/>
          <w:lang w:bidi="ar"/>
        </w:rPr>
        <w:t>一带一路</w:t>
      </w:r>
      <w:r>
        <w:rPr>
          <w:rFonts w:hint="default" w:ascii="仿宋_GB2312" w:hAnsi="仿宋_GB2312" w:eastAsia="仿宋_GB2312" w:cs="仿宋_GB2312"/>
          <w:color w:val="auto"/>
          <w:kern w:val="2"/>
          <w:sz w:val="32"/>
          <w:szCs w:val="32"/>
          <w:lang w:val="en" w:bidi="ar"/>
        </w:rPr>
        <w:t>”</w:t>
      </w:r>
      <w:r>
        <w:rPr>
          <w:rFonts w:hint="eastAsia" w:ascii="仿宋_GB2312" w:hAnsi="仿宋_GB2312" w:eastAsia="仿宋_GB2312" w:cs="仿宋_GB2312"/>
          <w:color w:val="auto"/>
          <w:kern w:val="2"/>
          <w:sz w:val="32"/>
          <w:szCs w:val="32"/>
          <w:lang w:bidi="ar"/>
        </w:rPr>
        <w:t>发展中具有关键作用，这为酒泉深度融入高质量共建</w:t>
      </w:r>
      <w:r>
        <w:rPr>
          <w:rFonts w:hint="default" w:ascii="仿宋_GB2312" w:hAnsi="仿宋_GB2312" w:eastAsia="仿宋_GB2312" w:cs="仿宋_GB2312"/>
          <w:color w:val="auto"/>
          <w:kern w:val="2"/>
          <w:sz w:val="32"/>
          <w:szCs w:val="32"/>
          <w:lang w:val="en" w:bidi="ar"/>
        </w:rPr>
        <w:t>“</w:t>
      </w:r>
      <w:r>
        <w:rPr>
          <w:rFonts w:hint="eastAsia" w:ascii="仿宋_GB2312" w:hAnsi="仿宋_GB2312" w:eastAsia="仿宋_GB2312" w:cs="仿宋_GB2312"/>
          <w:color w:val="auto"/>
          <w:kern w:val="2"/>
          <w:sz w:val="32"/>
          <w:szCs w:val="32"/>
          <w:lang w:bidi="ar"/>
        </w:rPr>
        <w:t>一带一路</w:t>
      </w:r>
      <w:r>
        <w:rPr>
          <w:rFonts w:hint="default" w:ascii="仿宋_GB2312" w:hAnsi="仿宋_GB2312" w:eastAsia="仿宋_GB2312" w:cs="仿宋_GB2312"/>
          <w:color w:val="auto"/>
          <w:kern w:val="2"/>
          <w:sz w:val="32"/>
          <w:szCs w:val="32"/>
          <w:lang w:val="en" w:bidi="ar"/>
        </w:rPr>
        <w:t>”</w:t>
      </w:r>
      <w:r>
        <w:rPr>
          <w:rFonts w:hint="eastAsia" w:ascii="仿宋_GB2312" w:hAnsi="仿宋_GB2312" w:eastAsia="仿宋_GB2312" w:cs="仿宋_GB2312"/>
          <w:color w:val="auto"/>
          <w:kern w:val="2"/>
          <w:sz w:val="32"/>
          <w:szCs w:val="32"/>
          <w:lang w:bidi="ar"/>
        </w:rPr>
        <w:t>、新时代西部大开发和西部陆海新通道建设等多重战略，</w:t>
      </w:r>
      <w:r>
        <w:rPr>
          <w:rFonts w:hint="eastAsia" w:ascii="仿宋_GB2312" w:hAnsi="仿宋_GB2312" w:eastAsia="仿宋_GB2312" w:cs="仿宋_GB2312"/>
          <w:color w:val="auto"/>
          <w:sz w:val="32"/>
          <w:szCs w:val="32"/>
        </w:rPr>
        <w:t>更好利用国内国际两个市场、两种资源，强化丝绸之路经济带节点功能，发展外向型制造产业，打造</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一带一路</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绿电智造枢纽，构建现代化产业体系提供了广阔空间</w:t>
      </w:r>
      <w:r>
        <w:rPr>
          <w:rFonts w:hint="eastAsia" w:ascii="仿宋_GB2312" w:hAnsi="仿宋_GB2312" w:eastAsia="仿宋_GB2312" w:cs="仿宋_GB2312"/>
          <w:color w:val="auto"/>
          <w:kern w:val="2"/>
          <w:sz w:val="32"/>
          <w:szCs w:val="32"/>
          <w:lang w:bidi="ar"/>
        </w:rPr>
        <w:t>。同时，省上提出打造东中部产业向西转移重要承接地，酒泉工业基础扎实、资源丰富,具备承接产业转移的条件，有利于酒泉深化东西部区域合作,壮大特色优势产业，促进资源与技术协同、生产要素创新配置,打造东中部产业转移新高地。</w:t>
      </w:r>
    </w:p>
    <w:p>
      <w:pPr>
        <w:pStyle w:val="18"/>
        <w:keepLines w:val="0"/>
        <w:pageBreakBefore w:val="0"/>
        <w:kinsoku/>
        <w:wordWrap/>
        <w:overflowPunct/>
        <w:topLinePunct w:val="0"/>
        <w:bidi w:val="0"/>
        <w:spacing w:before="0" w:beforeAutospacing="0" w:after="0" w:afterAutospacing="0" w:line="560" w:lineRule="exact"/>
        <w:ind w:firstLine="64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看到发展机遇的同时，也深刻认识到，</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十五五</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期间酒泉市新型工业化发展也面临</w:t>
      </w:r>
      <w:r>
        <w:rPr>
          <w:rFonts w:hint="eastAsia" w:ascii="仿宋_GB2312" w:hAnsi="仿宋_GB2312" w:eastAsia="仿宋_GB2312" w:cs="仿宋_GB2312"/>
          <w:color w:val="auto"/>
          <w:sz w:val="32"/>
          <w:szCs w:val="32"/>
          <w:lang w:val="en-US" w:eastAsia="zh-CN"/>
        </w:rPr>
        <w:t>前所未有的</w:t>
      </w:r>
      <w:r>
        <w:rPr>
          <w:rFonts w:hint="eastAsia" w:ascii="仿宋_GB2312" w:hAnsi="仿宋_GB2312" w:eastAsia="仿宋_GB2312" w:cs="仿宋_GB2312"/>
          <w:color w:val="auto"/>
          <w:sz w:val="32"/>
          <w:szCs w:val="32"/>
        </w:rPr>
        <w:t>挑战。一是全球化退潮与区域博弈的双重挤压，欧美发达国家通过</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供应链本土化</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政策推动新能源及新能源装备制造核心环节</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近岸外包</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，东南亚等新兴经济体加速布局新能源中低端产能，西部陆海新通道沿线区域新能源装备制造竞争加剧，光伏等产业</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提质增效</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对我市新能源及新能源装备制造等产业发展带来严峻挑战。二是加快形成新质生产力和加快推进新型工业化的发展目标，要求工业发展方式加快高端化智能化绿色化转型，酒泉市加快制造业发展模式变革成为亟待突破的问题。三是随着新一轮科技革命和产业变革加速，人工智能、生物技术、清洁能源、未来网络、量子技术加速突破和产业化，对酒泉市因地制宜发展新质生产力，构建以产业科技创新能力和全要素生产率提升为标志的制造业创新体系提出了更高要求。</w:t>
      </w:r>
    </w:p>
    <w:p>
      <w:pPr>
        <w:keepLines w:val="0"/>
        <w:pageBreakBefore w:val="0"/>
        <w:kinsoku/>
        <w:wordWrap/>
        <w:overflowPunct/>
        <w:topLinePunct w:val="0"/>
        <w:bidi w:val="0"/>
        <w:spacing w:line="560" w:lineRule="exact"/>
        <w:ind w:firstLine="640"/>
        <w:textAlignment w:val="auto"/>
        <w:rPr>
          <w:rFonts w:ascii="仿宋_GB2312" w:hAnsi="仿宋_GB2312" w:eastAsia="仿宋_GB2312" w:cs="仿宋_GB2312"/>
          <w:color w:val="auto"/>
          <w:szCs w:val="32"/>
        </w:rPr>
      </w:pPr>
      <w:r>
        <w:rPr>
          <w:rFonts w:hint="eastAsia" w:ascii="仿宋_GB2312" w:hAnsi="仿宋_GB2312" w:eastAsia="仿宋_GB2312" w:cs="仿宋_GB2312"/>
          <w:color w:val="auto"/>
          <w:szCs w:val="32"/>
        </w:rPr>
        <w:br w:type="page"/>
      </w:r>
    </w:p>
    <w:p>
      <w:pPr>
        <w:pStyle w:val="3"/>
        <w:keepLines w:val="0"/>
        <w:pageBreakBefore w:val="0"/>
        <w:kinsoku/>
        <w:wordWrap/>
        <w:overflowPunct/>
        <w:topLinePunct w:val="0"/>
        <w:bidi w:val="0"/>
        <w:spacing w:before="0" w:beforeAutospacing="0" w:after="0" w:afterAutospacing="0" w:line="560" w:lineRule="exact"/>
        <w:ind w:firstLine="0" w:firstLineChars="0"/>
        <w:jc w:val="center"/>
        <w:textAlignment w:val="auto"/>
        <w:rPr>
          <w:rFonts w:hint="default" w:ascii="Times New Roman" w:hAnsi="Times New Roman" w:eastAsia="黑体"/>
          <w:color w:val="auto"/>
          <w:sz w:val="36"/>
          <w:szCs w:val="36"/>
        </w:rPr>
      </w:pPr>
      <w:bookmarkStart w:id="19" w:name="_Toc3362"/>
      <w:bookmarkStart w:id="20" w:name="_Toc1444137214"/>
      <w:bookmarkStart w:id="21" w:name="_Toc11842"/>
      <w:r>
        <w:rPr>
          <w:rFonts w:hint="default" w:ascii="Times New Roman" w:hAnsi="Times New Roman" w:eastAsia="黑体"/>
          <w:b w:val="0"/>
          <w:bCs w:val="0"/>
          <w:color w:val="auto"/>
          <w:sz w:val="36"/>
          <w:szCs w:val="36"/>
        </w:rPr>
        <w:t>第</w:t>
      </w:r>
      <w:r>
        <w:rPr>
          <w:rFonts w:ascii="Times New Roman" w:hAnsi="Times New Roman" w:eastAsia="黑体"/>
          <w:b w:val="0"/>
          <w:bCs w:val="0"/>
          <w:color w:val="auto"/>
          <w:sz w:val="36"/>
          <w:szCs w:val="36"/>
        </w:rPr>
        <w:t>二</w:t>
      </w:r>
      <w:r>
        <w:rPr>
          <w:rFonts w:hint="default" w:ascii="Times New Roman" w:hAnsi="Times New Roman" w:eastAsia="黑体"/>
          <w:b w:val="0"/>
          <w:bCs w:val="0"/>
          <w:color w:val="auto"/>
          <w:sz w:val="36"/>
          <w:szCs w:val="36"/>
        </w:rPr>
        <w:t xml:space="preserve">章 </w:t>
      </w:r>
      <w:r>
        <w:rPr>
          <w:rFonts w:ascii="Times New Roman" w:hAnsi="Times New Roman" w:eastAsia="黑体"/>
          <w:b w:val="0"/>
          <w:bCs w:val="0"/>
          <w:color w:val="auto"/>
          <w:sz w:val="36"/>
          <w:szCs w:val="36"/>
        </w:rPr>
        <w:t>总体要求</w:t>
      </w:r>
      <w:bookmarkEnd w:id="19"/>
      <w:bookmarkEnd w:id="20"/>
    </w:p>
    <w:p>
      <w:pPr>
        <w:pStyle w:val="4"/>
        <w:keepLines w:val="0"/>
        <w:pageBreakBefore w:val="0"/>
        <w:kinsoku/>
        <w:wordWrap/>
        <w:overflowPunct/>
        <w:topLinePunct w:val="0"/>
        <w:bidi w:val="0"/>
        <w:spacing w:before="0" w:after="0" w:line="560" w:lineRule="exact"/>
        <w:ind w:firstLine="0" w:firstLineChars="0"/>
        <w:textAlignment w:val="auto"/>
        <w:rPr>
          <w:rFonts w:ascii="楷体_GB2312" w:hAnsi="楷体_GB2312" w:eastAsia="楷体_GB2312" w:cs="楷体_GB2312"/>
          <w:color w:val="auto"/>
        </w:rPr>
      </w:pP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22" w:name="_Toc20300"/>
      <w:bookmarkStart w:id="23" w:name="_Toc987560329"/>
      <w:r>
        <w:rPr>
          <w:rFonts w:ascii="楷体_GB2312" w:hAnsi="楷体_GB2312" w:eastAsia="楷体_GB2312" w:cs="楷体_GB2312"/>
          <w:color w:val="auto"/>
        </w:rPr>
        <w:t>一、指导思想</w:t>
      </w:r>
      <w:bookmarkEnd w:id="21"/>
      <w:bookmarkEnd w:id="22"/>
      <w:bookmarkEnd w:id="23"/>
    </w:p>
    <w:p>
      <w:pPr>
        <w:keepLines w:val="0"/>
        <w:pageBreakBefore w:val="0"/>
        <w:kinsoku/>
        <w:wordWrap/>
        <w:overflowPunct/>
        <w:topLinePunct w:val="0"/>
        <w:bidi w:val="0"/>
        <w:spacing w:line="560" w:lineRule="exact"/>
        <w:ind w:firstLine="640"/>
        <w:jc w:val="left"/>
        <w:textAlignment w:val="auto"/>
        <w:rPr>
          <w:rFonts w:ascii="仿宋_GB2312" w:hAnsi="仿宋_GB2312" w:eastAsia="仿宋_GB2312" w:cs="仿宋_GB2312"/>
          <w:color w:val="auto"/>
          <w:lang w:val="en"/>
        </w:rPr>
      </w:pPr>
      <w:bookmarkStart w:id="24" w:name="_Toc8457"/>
      <w:bookmarkStart w:id="25" w:name="_Toc11512"/>
      <w:r>
        <w:rPr>
          <w:rFonts w:hint="eastAsia" w:ascii="仿宋_GB2312" w:hAnsi="仿宋_GB2312" w:eastAsia="仿宋_GB2312" w:cs="仿宋_GB2312"/>
          <w:color w:val="auto"/>
          <w:szCs w:val="32"/>
          <w:lang w:val="en"/>
        </w:rPr>
        <w:t>以习近平新时代中国特色社会主义思想为指导，深入贯彻党的二十大</w:t>
      </w:r>
      <w:r>
        <w:rPr>
          <w:rFonts w:hint="eastAsia" w:ascii="仿宋_GB2312" w:hAnsi="仿宋_GB2312" w:eastAsia="仿宋_GB2312" w:cs="仿宋_GB2312"/>
          <w:color w:val="auto"/>
          <w:szCs w:val="32"/>
        </w:rPr>
        <w:t>和二十届历次全会</w:t>
      </w:r>
      <w:r>
        <w:rPr>
          <w:rFonts w:hint="eastAsia" w:ascii="仿宋_GB2312" w:hAnsi="仿宋_GB2312" w:eastAsia="仿宋_GB2312" w:cs="仿宋_GB2312"/>
          <w:color w:val="auto"/>
          <w:szCs w:val="32"/>
          <w:lang w:val="en"/>
        </w:rPr>
        <w:t>精神，全面落实习近平总书记关于新型工业化的重要论述</w:t>
      </w:r>
      <w:r>
        <w:rPr>
          <w:rFonts w:hint="eastAsia" w:ascii="仿宋_GB2312" w:hAnsi="仿宋_GB2312" w:eastAsia="仿宋_GB2312" w:cs="仿宋_GB2312"/>
          <w:color w:val="auto"/>
          <w:szCs w:val="32"/>
        </w:rPr>
        <w:t>和视察</w:t>
      </w:r>
      <w:r>
        <w:rPr>
          <w:rFonts w:hint="eastAsia" w:ascii="仿宋_GB2312" w:hAnsi="仿宋_GB2312" w:eastAsia="仿宋_GB2312" w:cs="仿宋_GB2312"/>
          <w:color w:val="auto"/>
          <w:szCs w:val="32"/>
          <w:lang w:val="en"/>
        </w:rPr>
        <w:t>甘肃重要讲话重要指示批示精神，</w:t>
      </w:r>
      <w:r>
        <w:rPr>
          <w:rFonts w:hint="eastAsia" w:ascii="仿宋_GB2312" w:hAnsi="仿宋_GB2312" w:eastAsia="仿宋_GB2312" w:cs="仿宋_GB2312"/>
          <w:color w:val="auto"/>
          <w:szCs w:val="32"/>
        </w:rPr>
        <w:t>按照</w:t>
      </w:r>
      <w:r>
        <w:rPr>
          <w:rFonts w:hint="eastAsia" w:ascii="仿宋_GB2312" w:hAnsi="仿宋_GB2312" w:eastAsia="仿宋_GB2312" w:cs="仿宋_GB2312"/>
          <w:color w:val="auto"/>
          <w:szCs w:val="32"/>
          <w:lang w:val="en"/>
        </w:rPr>
        <w:t>省委省政府着力打造</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lang w:val="en"/>
        </w:rPr>
        <w:t>七地一屏一通道</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lang w:val="en"/>
        </w:rPr>
        <w:t>重要工作部署</w:t>
      </w:r>
      <w:r>
        <w:rPr>
          <w:rFonts w:hint="eastAsia" w:ascii="仿宋_GB2312" w:hAnsi="仿宋_GB2312" w:eastAsia="仿宋_GB2312" w:cs="仿宋_GB2312"/>
          <w:color w:val="auto"/>
          <w:szCs w:val="32"/>
        </w:rPr>
        <w:t>和对酒泉</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率先发展、勇作标兵</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要求</w:t>
      </w:r>
      <w:r>
        <w:rPr>
          <w:rFonts w:hint="eastAsia" w:ascii="仿宋_GB2312" w:hAnsi="仿宋_GB2312" w:eastAsia="仿宋_GB2312" w:cs="仿宋_GB2312"/>
          <w:color w:val="auto"/>
          <w:szCs w:val="32"/>
          <w:lang w:val="en"/>
        </w:rPr>
        <w:t>，立足</w:t>
      </w:r>
      <w:r>
        <w:rPr>
          <w:rFonts w:hint="eastAsia" w:ascii="仿宋_GB2312" w:hAnsi="仿宋_GB2312" w:eastAsia="仿宋_GB2312" w:cs="仿宋_GB2312"/>
          <w:color w:val="auto"/>
          <w:szCs w:val="32"/>
        </w:rPr>
        <w:t>全市</w:t>
      </w:r>
      <w:r>
        <w:rPr>
          <w:rFonts w:hint="eastAsia" w:ascii="仿宋_GB2312" w:hAnsi="仿宋_GB2312" w:eastAsia="仿宋_GB2312" w:cs="仿宋_GB2312"/>
          <w:color w:val="auto"/>
          <w:szCs w:val="32"/>
          <w:lang w:val="en"/>
        </w:rPr>
        <w:t>资源禀赋和产业基础优势，</w:t>
      </w:r>
      <w:r>
        <w:rPr>
          <w:rFonts w:hint="eastAsia" w:ascii="仿宋_GB2312" w:hAnsi="仿宋_GB2312" w:eastAsia="仿宋_GB2312" w:cs="仿宋_GB2312"/>
          <w:color w:val="auto"/>
          <w:szCs w:val="32"/>
        </w:rPr>
        <w:t>深入实施</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强工业</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行动，坚持工业强市战略，坚持强龙头、补链条、聚集群，</w:t>
      </w:r>
      <w:r>
        <w:rPr>
          <w:rFonts w:hint="eastAsia" w:ascii="仿宋_GB2312" w:hAnsi="仿宋_GB2312" w:eastAsia="仿宋_GB2312" w:cs="仿宋_GB2312"/>
          <w:color w:val="auto"/>
          <w:szCs w:val="32"/>
          <w:lang w:val="en"/>
        </w:rPr>
        <w:t>以高质量发展为主题，以智能化、绿色化、融合化为方向，</w:t>
      </w:r>
      <w:r>
        <w:rPr>
          <w:rFonts w:hint="eastAsia" w:ascii="仿宋_GB2312" w:hAnsi="仿宋_GB2312" w:eastAsia="仿宋_GB2312" w:cs="仿宋_GB2312"/>
          <w:color w:val="auto"/>
          <w:szCs w:val="32"/>
        </w:rPr>
        <w:t>以</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绿电</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为牵引，统筹推进</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绿电</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与产业深度融合，加快</w:t>
      </w:r>
      <w:r>
        <w:rPr>
          <w:rFonts w:hint="eastAsia" w:ascii="仿宋_GB2312" w:hAnsi="仿宋_GB2312" w:eastAsia="仿宋_GB2312" w:cs="仿宋_GB2312"/>
          <w:color w:val="auto"/>
          <w:szCs w:val="32"/>
          <w:lang w:val="en"/>
        </w:rPr>
        <w:t>推进新型工业化，推动实现从</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lang w:val="en"/>
        </w:rPr>
        <w:t>新能源生产基地</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lang w:val="en"/>
        </w:rPr>
        <w:t>向</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lang w:val="en"/>
        </w:rPr>
        <w:t>绿电驱动工业高地</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lang w:val="en"/>
        </w:rPr>
        <w:t>跃升，着力</w:t>
      </w:r>
      <w:r>
        <w:rPr>
          <w:rFonts w:hint="eastAsia" w:ascii="仿宋_GB2312" w:hAnsi="仿宋_GB2312" w:eastAsia="仿宋_GB2312" w:cs="仿宋_GB2312"/>
          <w:color w:val="auto"/>
        </w:rPr>
        <w:t>打造酒泉亿千瓦级清洁能源谷、全国重要的新能源及新能源装备制造产业基地和</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绿电+</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产业高地，构建特色鲜明、集群发展、服务国家战略的现代化产业体系，为</w:t>
      </w:r>
      <w:r>
        <w:rPr>
          <w:rFonts w:hint="eastAsia" w:ascii="仿宋_GB2312" w:hAnsi="仿宋_GB2312" w:eastAsia="仿宋_GB2312" w:cs="仿宋_GB2312"/>
          <w:color w:val="auto"/>
          <w:lang w:val="en"/>
        </w:rPr>
        <w:t>中国式现代化</w:t>
      </w:r>
      <w:r>
        <w:rPr>
          <w:rFonts w:hint="eastAsia" w:ascii="仿宋_GB2312" w:hAnsi="仿宋_GB2312" w:eastAsia="仿宋_GB2312" w:cs="仿宋_GB2312"/>
          <w:color w:val="auto"/>
        </w:rPr>
        <w:t>酒泉</w:t>
      </w:r>
      <w:r>
        <w:rPr>
          <w:rFonts w:hint="eastAsia" w:ascii="仿宋_GB2312" w:hAnsi="仿宋_GB2312" w:eastAsia="仿宋_GB2312" w:cs="仿宋_GB2312"/>
          <w:color w:val="auto"/>
          <w:lang w:val="en"/>
        </w:rPr>
        <w:t>实践提供</w:t>
      </w:r>
      <w:r>
        <w:rPr>
          <w:rFonts w:hint="eastAsia" w:ascii="仿宋_GB2312" w:hAnsi="仿宋_GB2312" w:eastAsia="仿宋_GB2312" w:cs="仿宋_GB2312"/>
          <w:color w:val="auto"/>
        </w:rPr>
        <w:t>强力</w:t>
      </w:r>
      <w:r>
        <w:rPr>
          <w:rFonts w:hint="eastAsia" w:ascii="仿宋_GB2312" w:hAnsi="仿宋_GB2312" w:eastAsia="仿宋_GB2312" w:cs="仿宋_GB2312"/>
          <w:color w:val="auto"/>
          <w:lang w:val="en"/>
        </w:rPr>
        <w:t>支撑。</w:t>
      </w:r>
    </w:p>
    <w:bookmarkEnd w:id="24"/>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26" w:name="_Toc1534987590"/>
      <w:r>
        <w:rPr>
          <w:rFonts w:hint="eastAsia" w:ascii="楷体_GB2312" w:hAnsi="楷体_GB2312" w:eastAsia="楷体_GB2312" w:cs="楷体_GB2312"/>
          <w:color w:val="auto"/>
        </w:rPr>
        <w:t>二、发展目标</w:t>
      </w:r>
      <w:bookmarkEnd w:id="25"/>
      <w:bookmarkEnd w:id="26"/>
    </w:p>
    <w:p>
      <w:pPr>
        <w:keepLines w:val="0"/>
        <w:pageBreakBefore w:val="0"/>
        <w:kinsoku/>
        <w:wordWrap/>
        <w:overflowPunct/>
        <w:topLinePunct w:val="0"/>
        <w:bidi w:val="0"/>
        <w:spacing w:line="560" w:lineRule="exact"/>
        <w:ind w:firstLine="640"/>
        <w:textAlignment w:val="auto"/>
        <w:rPr>
          <w:rFonts w:ascii="仿宋_GB2312" w:hAnsi="仿宋_GB2312" w:eastAsia="仿宋_GB2312" w:cs="仿宋_GB2312"/>
          <w:color w:val="auto"/>
          <w:szCs w:val="32"/>
        </w:rPr>
      </w:pPr>
      <w:r>
        <w:rPr>
          <w:rFonts w:hint="eastAsia" w:ascii="仿宋_GB2312" w:hAnsi="仿宋_GB2312" w:eastAsia="仿宋_GB2312" w:cs="仿宋_GB2312"/>
          <w:color w:val="auto"/>
          <w:kern w:val="0"/>
          <w:szCs w:val="32"/>
          <w:lang w:bidi="ar"/>
        </w:rPr>
        <w:t>立足酒泉工业产业实际，以高质量发展为核心引领、链群培育为形态指引、技术创新为关键支撑、绿色低碳为鲜明底色，</w:t>
      </w:r>
      <w:r>
        <w:rPr>
          <w:rFonts w:hint="eastAsia" w:ascii="仿宋_GB2312" w:hAnsi="仿宋_GB2312" w:eastAsia="仿宋_GB2312" w:cs="仿宋_GB2312"/>
          <w:color w:val="auto"/>
          <w:szCs w:val="32"/>
        </w:rPr>
        <w:t>从综合质效、链群发展、科技创新、数实融合、绿色低碳、企业培育六个维度，系统构建酒泉市</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十五五</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工业发展指标体系，为工业高质量发展提供科学量化指引。</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rPr>
      </w:pPr>
      <w:r>
        <w:rPr>
          <w:rFonts w:hint="eastAsia" w:ascii="仿宋_GB2312" w:hAnsi="仿宋_GB2312" w:eastAsia="仿宋_GB2312" w:cs="仿宋_GB2312"/>
          <w:b/>
          <w:bCs/>
          <w:color w:val="auto"/>
        </w:rPr>
        <w:t>综合质效实现新突破。</w:t>
      </w:r>
      <w:r>
        <w:rPr>
          <w:rFonts w:hint="eastAsia" w:ascii="仿宋_GB2312" w:hAnsi="仿宋_GB2312" w:eastAsia="仿宋_GB2312" w:cs="仿宋_GB2312"/>
          <w:color w:val="auto"/>
        </w:rPr>
        <w:t>到2030年，工业总产值达到2000亿元，工业增加值达到700亿元、占GDP比重达到45%左右，规上工业增加值年均增长1</w:t>
      </w:r>
      <w:r>
        <w:rPr>
          <w:rFonts w:hint="eastAsia" w:ascii="仿宋_GB2312" w:hAnsi="仿宋_GB2312" w:eastAsia="仿宋_GB2312" w:cs="仿宋_GB2312"/>
          <w:color w:val="auto"/>
          <w:lang w:val="en-US" w:eastAsia="zh-CN"/>
        </w:rPr>
        <w:t>2</w:t>
      </w:r>
      <w:r>
        <w:rPr>
          <w:rFonts w:hint="eastAsia" w:ascii="仿宋_GB2312" w:hAnsi="仿宋_GB2312" w:eastAsia="仿宋_GB2312" w:cs="仿宋_GB2312"/>
          <w:color w:val="auto"/>
        </w:rPr>
        <w:t>%以上，战略性新兴产业占规上工业增加值比重达到20%，工业固定资产投资年均增长10%左右。</w:t>
      </w:r>
    </w:p>
    <w:p>
      <w:pPr>
        <w:pStyle w:val="9"/>
        <w:keepLines w:val="0"/>
        <w:pageBreakBefore w:val="0"/>
        <w:kinsoku/>
        <w:wordWrap/>
        <w:overflowPunct/>
        <w:topLinePunct w:val="0"/>
        <w:bidi w:val="0"/>
        <w:spacing w:line="560" w:lineRule="exact"/>
        <w:ind w:firstLine="643"/>
        <w:textAlignment w:val="auto"/>
        <w:rPr>
          <w:rFonts w:hAnsi="仿宋_GB2312" w:cs="仿宋_GB2312"/>
          <w:color w:val="auto"/>
          <w:shd w:val="clear" w:color="auto" w:fill="FFFFFF"/>
        </w:rPr>
      </w:pPr>
      <w:r>
        <w:rPr>
          <w:rFonts w:hint="eastAsia" w:hAnsi="仿宋_GB2312" w:cs="仿宋_GB2312"/>
          <w:b/>
          <w:bCs/>
          <w:color w:val="auto"/>
        </w:rPr>
        <w:t>集群发展迈上新台阶。</w:t>
      </w:r>
      <w:r>
        <w:rPr>
          <w:rFonts w:hint="eastAsia" w:hAnsi="仿宋_GB2312" w:cs="仿宋_GB2312"/>
          <w:color w:val="auto"/>
        </w:rPr>
        <w:t>到2030年，</w:t>
      </w:r>
      <w:r>
        <w:rPr>
          <w:rFonts w:hint="eastAsia" w:hAnsi="仿宋_GB2312" w:cs="仿宋_GB2312"/>
          <w:color w:val="auto"/>
          <w:szCs w:val="24"/>
        </w:rPr>
        <w:t>国家级产业集群达到2个</w:t>
      </w:r>
      <w:r>
        <w:rPr>
          <w:rFonts w:hint="eastAsia" w:hAnsi="仿宋_GB2312" w:cs="仿宋_GB2312"/>
          <w:color w:val="auto"/>
          <w:shd w:val="clear" w:color="auto" w:fill="FFFFFF"/>
        </w:rPr>
        <w:t>、省级产业集群达到</w:t>
      </w:r>
      <w:r>
        <w:rPr>
          <w:rFonts w:hint="eastAsia" w:hAnsi="仿宋_GB2312" w:cs="仿宋_GB2312"/>
          <w:color w:val="auto"/>
          <w:shd w:val="clear" w:color="auto" w:fill="FFFFFF"/>
          <w:lang w:val="en-US" w:eastAsia="zh-CN"/>
        </w:rPr>
        <w:t>5</w:t>
      </w:r>
      <w:r>
        <w:rPr>
          <w:rFonts w:hint="eastAsia" w:hAnsi="仿宋_GB2312" w:cs="仿宋_GB2312"/>
          <w:color w:val="auto"/>
          <w:shd w:val="clear" w:color="auto" w:fill="FFFFFF"/>
        </w:rPr>
        <w:t>个；打造1个千亿级产业集群、1个五百亿级产业集群；打造3个五百亿级工业园区。</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rPr>
      </w:pPr>
      <w:r>
        <w:rPr>
          <w:rFonts w:hint="eastAsia" w:ascii="仿宋_GB2312" w:hAnsi="仿宋_GB2312" w:eastAsia="仿宋_GB2312" w:cs="仿宋_GB2312"/>
          <w:b/>
          <w:bCs/>
          <w:color w:val="auto"/>
        </w:rPr>
        <w:t>创新驱动进入新阶段。</w:t>
      </w:r>
      <w:r>
        <w:rPr>
          <w:rFonts w:hint="eastAsia" w:ascii="仿宋_GB2312" w:hAnsi="仿宋_GB2312" w:eastAsia="仿宋_GB2312" w:cs="仿宋_GB2312"/>
          <w:color w:val="auto"/>
        </w:rPr>
        <w:t>到2030年，规上工业企业有研发活动占比达20%，新产品销售收入占企业营业收入比重达</w:t>
      </w:r>
      <w:r>
        <w:rPr>
          <w:rFonts w:hint="eastAsia" w:ascii="仿宋_GB2312" w:hAnsi="仿宋_GB2312" w:eastAsia="仿宋_GB2312" w:cs="仿宋_GB2312"/>
          <w:color w:val="auto"/>
          <w:lang w:val="en-US" w:eastAsia="zh-CN"/>
        </w:rPr>
        <w:t>17.5</w:t>
      </w:r>
      <w:r>
        <w:rPr>
          <w:rFonts w:hint="eastAsia" w:ascii="仿宋_GB2312" w:hAnsi="仿宋_GB2312" w:eastAsia="仿宋_GB2312" w:cs="仿宋_GB2312"/>
          <w:color w:val="auto"/>
        </w:rPr>
        <w:t>%，</w:t>
      </w:r>
      <w:r>
        <w:rPr>
          <w:rFonts w:hint="eastAsia" w:ascii="仿宋_GB2312" w:hAnsi="仿宋_GB2312" w:eastAsia="仿宋_GB2312" w:cs="仿宋_GB2312"/>
          <w:color w:val="auto"/>
          <w:lang w:val="en-US" w:eastAsia="zh-CN"/>
        </w:rPr>
        <w:t>规上工业企业研发经费支出</w:t>
      </w:r>
      <w:r>
        <w:rPr>
          <w:rFonts w:hint="eastAsia" w:ascii="仿宋_GB2312" w:hAnsi="仿宋_GB2312" w:eastAsia="仿宋_GB2312" w:cs="仿宋_GB2312"/>
          <w:color w:val="auto"/>
        </w:rPr>
        <w:t>占营业收入比重达到</w:t>
      </w:r>
      <w:r>
        <w:rPr>
          <w:rFonts w:hint="eastAsia" w:ascii="仿宋_GB2312" w:hAnsi="仿宋_GB2312" w:eastAsia="仿宋_GB2312" w:cs="仿宋_GB2312"/>
          <w:color w:val="auto"/>
          <w:lang w:val="en-US" w:eastAsia="zh-CN"/>
        </w:rPr>
        <w:t>1.5</w:t>
      </w:r>
      <w:r>
        <w:rPr>
          <w:rFonts w:hint="eastAsia" w:ascii="仿宋_GB2312" w:hAnsi="仿宋_GB2312" w:eastAsia="仿宋_GB2312" w:cs="仿宋_GB2312"/>
          <w:color w:val="auto"/>
        </w:rPr>
        <w:t>%；省级企业技术中心数量达到30个，创新型中小企业数量达到350</w:t>
      </w:r>
      <w:r>
        <w:rPr>
          <w:rFonts w:hint="eastAsia" w:ascii="仿宋_GB2312" w:hAnsi="仿宋_GB2312" w:eastAsia="仿宋_GB2312" w:cs="仿宋_GB2312"/>
          <w:color w:val="auto"/>
          <w:szCs w:val="32"/>
        </w:rPr>
        <w:t>家</w:t>
      </w:r>
      <w:r>
        <w:rPr>
          <w:rFonts w:hint="eastAsia" w:ascii="仿宋_GB2312" w:hAnsi="仿宋_GB2312" w:eastAsia="仿宋_GB2312" w:cs="仿宋_GB2312"/>
          <w:color w:val="auto"/>
        </w:rPr>
        <w:t>。</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rPr>
      </w:pPr>
      <w:r>
        <w:rPr>
          <w:rFonts w:hint="eastAsia" w:ascii="仿宋_GB2312" w:hAnsi="仿宋_GB2312" w:eastAsia="仿宋_GB2312" w:cs="仿宋_GB2312"/>
          <w:b/>
          <w:bCs/>
          <w:color w:val="auto"/>
        </w:rPr>
        <w:t>数实融合取得新进展。</w:t>
      </w:r>
      <w:r>
        <w:rPr>
          <w:rFonts w:hint="eastAsia" w:ascii="仿宋_GB2312" w:hAnsi="仿宋_GB2312" w:eastAsia="仿宋_GB2312" w:cs="仿宋_GB2312"/>
          <w:color w:val="auto"/>
        </w:rPr>
        <w:t>到2030年，规上工业企业数字化转型覆盖率达到95%，创建国家卓越级智能工厂1-2家，省级智能工厂、省级智能制造优秀场景和5G全连接工厂达到</w:t>
      </w:r>
      <w:r>
        <w:rPr>
          <w:rFonts w:hint="eastAsia" w:ascii="仿宋_GB2312" w:hAnsi="仿宋_GB2312" w:eastAsia="仿宋_GB2312" w:cs="仿宋_GB2312"/>
          <w:color w:val="auto"/>
          <w:lang w:val="en-US" w:eastAsia="zh-CN"/>
        </w:rPr>
        <w:t>60</w:t>
      </w:r>
      <w:r>
        <w:rPr>
          <w:rFonts w:hint="eastAsia" w:ascii="仿宋_GB2312" w:hAnsi="仿宋_GB2312" w:eastAsia="仿宋_GB2312" w:cs="仿宋_GB2312"/>
          <w:color w:val="auto"/>
        </w:rPr>
        <w:t>个以上。</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rPr>
      </w:pPr>
      <w:r>
        <w:rPr>
          <w:rFonts w:hint="eastAsia" w:ascii="仿宋_GB2312" w:hAnsi="仿宋_GB2312" w:eastAsia="仿宋_GB2312" w:cs="仿宋_GB2312"/>
          <w:b/>
          <w:bCs/>
          <w:color w:val="auto"/>
        </w:rPr>
        <w:t>绿色低碳形成新优势。</w:t>
      </w:r>
      <w:r>
        <w:rPr>
          <w:rFonts w:hint="eastAsia" w:ascii="仿宋_GB2312" w:hAnsi="仿宋_GB2312" w:eastAsia="仿宋_GB2312" w:cs="仿宋_GB2312"/>
          <w:color w:val="auto"/>
          <w:szCs w:val="40"/>
        </w:rPr>
        <w:t>到2030年，国家级绿色园区达到2个、绿色工厂达到12个、省级绿色工厂达到30个；打造零碳工厂3个，工业节水型企业达到10个以上；规上工业万元增加值能耗下降10%，规上工业用水重复利用率达到</w:t>
      </w:r>
      <w:r>
        <w:rPr>
          <w:rFonts w:hint="eastAsia" w:ascii="仿宋_GB2312" w:hAnsi="仿宋_GB2312" w:eastAsia="仿宋_GB2312" w:cs="仿宋_GB2312"/>
          <w:color w:val="auto"/>
          <w:szCs w:val="40"/>
          <w:lang w:val="en-US" w:eastAsia="zh-CN"/>
        </w:rPr>
        <w:t>95</w:t>
      </w:r>
      <w:r>
        <w:rPr>
          <w:rFonts w:hint="eastAsia" w:ascii="仿宋_GB2312" w:hAnsi="仿宋_GB2312" w:eastAsia="仿宋_GB2312" w:cs="仿宋_GB2312"/>
          <w:color w:val="auto"/>
          <w:szCs w:val="40"/>
        </w:rPr>
        <w:t>%。</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rPr>
      </w:pPr>
      <w:r>
        <w:rPr>
          <w:rFonts w:hint="eastAsia" w:ascii="仿宋_GB2312" w:hAnsi="仿宋_GB2312" w:eastAsia="仿宋_GB2312" w:cs="仿宋_GB2312"/>
          <w:b/>
          <w:bCs/>
          <w:color w:val="auto"/>
        </w:rPr>
        <w:t>企业培育取得新成效。</w:t>
      </w:r>
      <w:r>
        <w:rPr>
          <w:rFonts w:hint="eastAsia" w:ascii="仿宋_GB2312" w:hAnsi="仿宋_GB2312" w:eastAsia="仿宋_GB2312" w:cs="仿宋_GB2312"/>
          <w:color w:val="auto"/>
        </w:rPr>
        <w:t>到2030年，规上工业企业达到700家，国家级</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专精特新</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小巨人企业达到6家，省级</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专精特新</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企业突破110家；国家级制造业单项冠军达到3个，省级制造业单项冠军达到5个。</w:t>
      </w:r>
    </w:p>
    <w:p>
      <w:pPr>
        <w:keepLines w:val="0"/>
        <w:pageBreakBefore w:val="0"/>
        <w:kinsoku/>
        <w:wordWrap/>
        <w:overflowPunct/>
        <w:topLinePunct w:val="0"/>
        <w:bidi w:val="0"/>
        <w:spacing w:line="560" w:lineRule="exact"/>
        <w:ind w:firstLine="643"/>
        <w:textAlignment w:val="auto"/>
        <w:rPr>
          <w:rFonts w:ascii="Times New Roman" w:hAnsi="Times New Roman"/>
          <w:color w:val="auto"/>
        </w:rPr>
      </w:pPr>
      <w:r>
        <w:rPr>
          <w:rFonts w:hint="eastAsia" w:ascii="仿宋_GB2312" w:hAnsi="仿宋_GB2312" w:eastAsia="仿宋_GB2312" w:cs="仿宋_GB2312"/>
          <w:b/>
          <w:bCs/>
          <w:color w:val="auto"/>
        </w:rPr>
        <w:t>治理效能实现新提升。</w:t>
      </w:r>
      <w:r>
        <w:rPr>
          <w:rFonts w:hint="eastAsia" w:ascii="仿宋_GB2312" w:hAnsi="仿宋_GB2312" w:eastAsia="仿宋_GB2312" w:cs="仿宋_GB2312"/>
          <w:color w:val="auto"/>
        </w:rPr>
        <w:t>到2030年，新型工业化发展的体制机制和产业治理体系更加完善，工业强市战略实施机制和工作推进体系等更加健全，产业开放合作不断深化，治理效能显著提升。</w:t>
      </w:r>
    </w:p>
    <w:p>
      <w:pPr>
        <w:keepLines w:val="0"/>
        <w:pageBreakBefore w:val="0"/>
        <w:shd w:val="clear" w:color="auto" w:fill="FFFFFF"/>
        <w:kinsoku/>
        <w:wordWrap/>
        <w:overflowPunct/>
        <w:topLinePunct w:val="0"/>
        <w:bidi w:val="0"/>
        <w:spacing w:line="560" w:lineRule="exact"/>
        <w:ind w:firstLine="0" w:firstLineChars="0"/>
        <w:jc w:val="center"/>
        <w:textAlignment w:val="auto"/>
        <w:rPr>
          <w:rFonts w:ascii="Times New Roman" w:hAnsi="Times New Roman" w:eastAsia="仿宋"/>
          <w:color w:val="auto"/>
          <w:kern w:val="0"/>
          <w:sz w:val="24"/>
        </w:rPr>
      </w:pPr>
      <w:r>
        <w:rPr>
          <w:rFonts w:ascii="Times New Roman" w:hAnsi="Times New Roman" w:eastAsia="仿宋"/>
          <w:b/>
          <w:bCs/>
          <w:color w:val="auto"/>
          <w:kern w:val="0"/>
          <w:sz w:val="24"/>
        </w:rPr>
        <w:t>表1 酒泉</w:t>
      </w:r>
      <w:r>
        <w:rPr>
          <w:rFonts w:ascii="Times New Roman" w:hAnsi="Times New Roman" w:eastAsia="仿宋"/>
          <w:b/>
          <w:bCs/>
          <w:color w:val="auto"/>
          <w:kern w:val="0"/>
          <w:sz w:val="24"/>
          <w:lang w:val="en"/>
        </w:rPr>
        <w:t>“</w:t>
      </w:r>
      <w:r>
        <w:rPr>
          <w:rFonts w:ascii="Times New Roman" w:hAnsi="Times New Roman" w:eastAsia="仿宋"/>
          <w:b/>
          <w:bCs/>
          <w:color w:val="auto"/>
          <w:kern w:val="0"/>
          <w:sz w:val="24"/>
        </w:rPr>
        <w:t>十五五</w:t>
      </w:r>
      <w:r>
        <w:rPr>
          <w:rFonts w:ascii="Times New Roman" w:hAnsi="Times New Roman" w:eastAsia="仿宋"/>
          <w:b/>
          <w:bCs/>
          <w:color w:val="auto"/>
          <w:kern w:val="0"/>
          <w:sz w:val="24"/>
          <w:lang w:val="en"/>
        </w:rPr>
        <w:t>”</w:t>
      </w:r>
      <w:r>
        <w:rPr>
          <w:rFonts w:ascii="Times New Roman" w:hAnsi="Times New Roman" w:eastAsia="仿宋"/>
          <w:b/>
          <w:bCs/>
          <w:color w:val="auto"/>
          <w:kern w:val="0"/>
          <w:sz w:val="24"/>
        </w:rPr>
        <w:t>工业发展主要指标</w:t>
      </w:r>
    </w:p>
    <w:tbl>
      <w:tblPr>
        <w:tblStyle w:val="20"/>
        <w:tblW w:w="9036" w:type="dxa"/>
        <w:tblInd w:w="0" w:type="dxa"/>
        <w:tblLayout w:type="fixed"/>
        <w:tblCellMar>
          <w:top w:w="0" w:type="dxa"/>
          <w:left w:w="108" w:type="dxa"/>
          <w:bottom w:w="0" w:type="dxa"/>
          <w:right w:w="108" w:type="dxa"/>
        </w:tblCellMar>
      </w:tblPr>
      <w:tblGrid>
        <w:gridCol w:w="841"/>
        <w:gridCol w:w="818"/>
        <w:gridCol w:w="4516"/>
        <w:gridCol w:w="850"/>
        <w:gridCol w:w="1067"/>
        <w:gridCol w:w="944"/>
      </w:tblGrid>
      <w:tr>
        <w:tblPrEx>
          <w:tblCellMar>
            <w:top w:w="0" w:type="dxa"/>
            <w:left w:w="108" w:type="dxa"/>
            <w:bottom w:w="0" w:type="dxa"/>
            <w:right w:w="108" w:type="dxa"/>
          </w:tblCellMar>
        </w:tblPrEx>
        <w:trPr>
          <w:trHeight w:val="312" w:hRule="atLeast"/>
        </w:trPr>
        <w:tc>
          <w:tcPr>
            <w:tcW w:w="841"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color w:val="auto"/>
                <w:kern w:val="0"/>
                <w:sz w:val="24"/>
              </w:rPr>
            </w:pPr>
            <w:r>
              <w:rPr>
                <w:rFonts w:hint="eastAsia" w:ascii="仿宋_GB2312" w:hAnsi="仿宋_GB2312" w:eastAsia="仿宋_GB2312" w:cs="仿宋_GB2312"/>
                <w:b/>
                <w:color w:val="auto"/>
                <w:kern w:val="0"/>
                <w:sz w:val="24"/>
              </w:rPr>
              <w:t>类别</w:t>
            </w: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color w:val="auto"/>
                <w:kern w:val="0"/>
                <w:sz w:val="24"/>
              </w:rPr>
            </w:pPr>
            <w:r>
              <w:rPr>
                <w:rFonts w:hint="eastAsia" w:ascii="仿宋_GB2312" w:hAnsi="仿宋_GB2312" w:eastAsia="仿宋_GB2312" w:cs="仿宋_GB2312"/>
                <w:b/>
                <w:color w:val="auto"/>
                <w:kern w:val="0"/>
                <w:sz w:val="24"/>
              </w:rPr>
              <w:t>序号</w:t>
            </w:r>
          </w:p>
        </w:tc>
        <w:tc>
          <w:tcPr>
            <w:tcW w:w="4516"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color w:val="auto"/>
                <w:kern w:val="0"/>
                <w:sz w:val="24"/>
              </w:rPr>
            </w:pPr>
            <w:r>
              <w:rPr>
                <w:rFonts w:hint="eastAsia" w:ascii="仿宋_GB2312" w:hAnsi="仿宋_GB2312" w:eastAsia="仿宋_GB2312" w:cs="仿宋_GB2312"/>
                <w:b/>
                <w:color w:val="auto"/>
                <w:kern w:val="0"/>
                <w:sz w:val="24"/>
              </w:rPr>
              <w:t>指标</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color w:val="auto"/>
                <w:kern w:val="0"/>
                <w:sz w:val="24"/>
              </w:rPr>
            </w:pPr>
            <w:r>
              <w:rPr>
                <w:rFonts w:hint="eastAsia" w:ascii="仿宋_GB2312" w:hAnsi="仿宋_GB2312" w:eastAsia="仿宋_GB2312" w:cs="仿宋_GB2312"/>
                <w:b/>
                <w:color w:val="auto"/>
                <w:kern w:val="0"/>
                <w:sz w:val="24"/>
              </w:rPr>
              <w:t>单位</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color w:val="auto"/>
                <w:kern w:val="0"/>
                <w:sz w:val="24"/>
              </w:rPr>
            </w:pPr>
            <w:r>
              <w:rPr>
                <w:rFonts w:hint="eastAsia" w:ascii="仿宋_GB2312" w:hAnsi="仿宋_GB2312" w:eastAsia="仿宋_GB2312" w:cs="仿宋_GB2312"/>
                <w:b/>
                <w:color w:val="auto"/>
                <w:kern w:val="0"/>
                <w:sz w:val="24"/>
              </w:rPr>
              <w:t>2030年</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b/>
                <w:color w:val="auto"/>
                <w:kern w:val="0"/>
                <w:sz w:val="24"/>
              </w:rPr>
            </w:pPr>
            <w:r>
              <w:rPr>
                <w:rFonts w:hint="eastAsia" w:ascii="仿宋_GB2312" w:hAnsi="仿宋_GB2312" w:eastAsia="仿宋_GB2312" w:cs="仿宋_GB2312"/>
                <w:b/>
                <w:color w:val="auto"/>
                <w:kern w:val="0"/>
                <w:sz w:val="24"/>
              </w:rPr>
              <w:t>属性</w:t>
            </w:r>
          </w:p>
        </w:tc>
      </w:tr>
      <w:tr>
        <w:tblPrEx>
          <w:tblCellMar>
            <w:top w:w="0" w:type="dxa"/>
            <w:left w:w="108" w:type="dxa"/>
            <w:bottom w:w="0" w:type="dxa"/>
            <w:right w:w="108" w:type="dxa"/>
          </w:tblCellMar>
        </w:tblPrEx>
        <w:trPr>
          <w:trHeight w:val="567" w:hRule="atLeast"/>
        </w:trPr>
        <w:tc>
          <w:tcPr>
            <w:tcW w:w="841" w:type="dxa"/>
            <w:vMerge w:val="restart"/>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综合质效</w:t>
            </w: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w:t>
            </w:r>
          </w:p>
        </w:tc>
        <w:tc>
          <w:tcPr>
            <w:tcW w:w="4516" w:type="dxa"/>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规上工业增加值增速（年均）</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hint="eastAsia" w:ascii="仿宋_GB2312" w:hAnsi="仿宋_GB2312" w:eastAsia="仿宋_GB2312" w:cs="仿宋_GB2312"/>
                <w:color w:val="auto"/>
                <w:kern w:val="0"/>
                <w:sz w:val="24"/>
                <w:lang w:val="en-US" w:eastAsia="zh-CN"/>
              </w:rPr>
            </w:pPr>
            <w:r>
              <w:rPr>
                <w:rFonts w:hint="eastAsia" w:ascii="仿宋_GB2312" w:hAnsi="仿宋_GB2312" w:eastAsia="仿宋_GB2312" w:cs="仿宋_GB2312"/>
                <w:color w:val="auto"/>
                <w:kern w:val="0"/>
                <w:sz w:val="24"/>
              </w:rPr>
              <w:t>1</w:t>
            </w:r>
            <w:r>
              <w:rPr>
                <w:rFonts w:hint="eastAsia" w:ascii="仿宋_GB2312" w:hAnsi="仿宋_GB2312" w:eastAsia="仿宋_GB2312" w:cs="仿宋_GB2312"/>
                <w:color w:val="auto"/>
                <w:kern w:val="0"/>
                <w:sz w:val="24"/>
                <w:lang w:val="en-US" w:eastAsia="zh-CN"/>
              </w:rPr>
              <w:t>2</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r>
        <w:tblPrEx>
          <w:tblCellMar>
            <w:top w:w="0" w:type="dxa"/>
            <w:left w:w="108" w:type="dxa"/>
            <w:bottom w:w="0" w:type="dxa"/>
            <w:right w:w="108" w:type="dxa"/>
          </w:tblCellMar>
        </w:tblPrEx>
        <w:trPr>
          <w:trHeight w:val="567" w:hRule="atLeast"/>
        </w:trPr>
        <w:tc>
          <w:tcPr>
            <w:tcW w:w="841" w:type="dxa"/>
            <w:vMerge w:val="continue"/>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w:t>
            </w:r>
          </w:p>
        </w:tc>
        <w:tc>
          <w:tcPr>
            <w:tcW w:w="4516" w:type="dxa"/>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工业增加值占地区生产总值比重</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45</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r>
        <w:tblPrEx>
          <w:tblCellMar>
            <w:top w:w="0" w:type="dxa"/>
            <w:left w:w="108" w:type="dxa"/>
            <w:bottom w:w="0" w:type="dxa"/>
            <w:right w:w="108" w:type="dxa"/>
          </w:tblCellMar>
        </w:tblPrEx>
        <w:trPr>
          <w:trHeight w:val="567" w:hRule="atLeast"/>
        </w:trPr>
        <w:tc>
          <w:tcPr>
            <w:tcW w:w="841" w:type="dxa"/>
            <w:vMerge w:val="continue"/>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w:t>
            </w:r>
          </w:p>
        </w:tc>
        <w:tc>
          <w:tcPr>
            <w:tcW w:w="4516" w:type="dxa"/>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战略性新兴产业占规上工业增加值比重</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20</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r>
        <w:tblPrEx>
          <w:tblCellMar>
            <w:top w:w="0" w:type="dxa"/>
            <w:left w:w="108" w:type="dxa"/>
            <w:bottom w:w="0" w:type="dxa"/>
            <w:right w:w="108" w:type="dxa"/>
          </w:tblCellMar>
        </w:tblPrEx>
        <w:trPr>
          <w:trHeight w:val="567" w:hRule="atLeast"/>
        </w:trPr>
        <w:tc>
          <w:tcPr>
            <w:tcW w:w="841" w:type="dxa"/>
            <w:vMerge w:val="continue"/>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4</w:t>
            </w:r>
          </w:p>
        </w:tc>
        <w:tc>
          <w:tcPr>
            <w:tcW w:w="4516"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固定资产投资增长率</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10</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r>
        <w:tblPrEx>
          <w:tblCellMar>
            <w:top w:w="0" w:type="dxa"/>
            <w:left w:w="108" w:type="dxa"/>
            <w:bottom w:w="0" w:type="dxa"/>
            <w:right w:w="108" w:type="dxa"/>
          </w:tblCellMar>
        </w:tblPrEx>
        <w:trPr>
          <w:trHeight w:val="567" w:hRule="atLeast"/>
        </w:trPr>
        <w:tc>
          <w:tcPr>
            <w:tcW w:w="841" w:type="dxa"/>
            <w:vMerge w:val="restart"/>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链群发展</w:t>
            </w: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5</w:t>
            </w:r>
          </w:p>
        </w:tc>
        <w:tc>
          <w:tcPr>
            <w:tcW w:w="4516"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国家级产业集群</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个</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r>
        <w:tblPrEx>
          <w:tblCellMar>
            <w:top w:w="0" w:type="dxa"/>
            <w:left w:w="108" w:type="dxa"/>
            <w:bottom w:w="0" w:type="dxa"/>
            <w:right w:w="108" w:type="dxa"/>
          </w:tblCellMar>
        </w:tblPrEx>
        <w:trPr>
          <w:trHeight w:val="567" w:hRule="atLeast"/>
        </w:trPr>
        <w:tc>
          <w:tcPr>
            <w:tcW w:w="841" w:type="dxa"/>
            <w:vMerge w:val="continue"/>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6</w:t>
            </w:r>
          </w:p>
        </w:tc>
        <w:tc>
          <w:tcPr>
            <w:tcW w:w="4516"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省级产业集群</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个</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hint="eastAsia" w:ascii="仿宋_GB2312" w:hAnsi="仿宋_GB2312" w:eastAsia="仿宋_GB2312" w:cs="仿宋_GB2312"/>
                <w:color w:val="auto"/>
                <w:kern w:val="0"/>
                <w:sz w:val="24"/>
                <w:lang w:eastAsia="zh-CN"/>
              </w:rPr>
            </w:pPr>
            <w:r>
              <w:rPr>
                <w:rFonts w:hint="eastAsia" w:ascii="仿宋_GB2312" w:hAnsi="仿宋_GB2312" w:eastAsia="仿宋_GB2312" w:cs="仿宋_GB2312"/>
                <w:color w:val="auto"/>
                <w:kern w:val="0"/>
                <w:sz w:val="24"/>
                <w:lang w:val="en-US" w:eastAsia="zh-CN"/>
              </w:rPr>
              <w:t>5</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r>
        <w:tblPrEx>
          <w:tblCellMar>
            <w:top w:w="0" w:type="dxa"/>
            <w:left w:w="108" w:type="dxa"/>
            <w:bottom w:w="0" w:type="dxa"/>
            <w:right w:w="108" w:type="dxa"/>
          </w:tblCellMar>
        </w:tblPrEx>
        <w:trPr>
          <w:trHeight w:val="567" w:hRule="atLeast"/>
        </w:trPr>
        <w:tc>
          <w:tcPr>
            <w:tcW w:w="841" w:type="dxa"/>
            <w:vMerge w:val="continue"/>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7</w:t>
            </w:r>
          </w:p>
        </w:tc>
        <w:tc>
          <w:tcPr>
            <w:tcW w:w="4516"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五百亿级工业园区</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个</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3</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r>
        <w:tblPrEx>
          <w:tblCellMar>
            <w:top w:w="0" w:type="dxa"/>
            <w:left w:w="108" w:type="dxa"/>
            <w:bottom w:w="0" w:type="dxa"/>
            <w:right w:w="108" w:type="dxa"/>
          </w:tblCellMar>
        </w:tblPrEx>
        <w:trPr>
          <w:trHeight w:val="567" w:hRule="atLeast"/>
        </w:trPr>
        <w:tc>
          <w:tcPr>
            <w:tcW w:w="841" w:type="dxa"/>
            <w:vMerge w:val="restart"/>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科技创新</w:t>
            </w: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8</w:t>
            </w:r>
          </w:p>
        </w:tc>
        <w:tc>
          <w:tcPr>
            <w:tcW w:w="4516" w:type="dxa"/>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规上企业有研发活动占比</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20</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r>
        <w:tblPrEx>
          <w:tblCellMar>
            <w:top w:w="0" w:type="dxa"/>
            <w:left w:w="108" w:type="dxa"/>
            <w:bottom w:w="0" w:type="dxa"/>
            <w:right w:w="108" w:type="dxa"/>
          </w:tblCellMar>
        </w:tblPrEx>
        <w:trPr>
          <w:trHeight w:val="567" w:hRule="atLeast"/>
        </w:trPr>
        <w:tc>
          <w:tcPr>
            <w:tcW w:w="841" w:type="dxa"/>
            <w:vMerge w:val="continue"/>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9</w:t>
            </w:r>
          </w:p>
        </w:tc>
        <w:tc>
          <w:tcPr>
            <w:tcW w:w="4516"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新产品销售收入占企业营业收入比重</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hint="default" w:ascii="仿宋_GB2312" w:hAnsi="仿宋_GB2312" w:eastAsia="仿宋_GB2312" w:cs="仿宋_GB2312"/>
                <w:color w:val="auto"/>
                <w:kern w:val="0"/>
                <w:sz w:val="24"/>
                <w:lang w:val="en-US" w:eastAsia="zh-CN"/>
              </w:rPr>
            </w:pPr>
            <w:r>
              <w:rPr>
                <w:rFonts w:hint="eastAsia" w:ascii="仿宋_GB2312" w:hAnsi="仿宋_GB2312" w:eastAsia="仿宋_GB2312" w:cs="仿宋_GB2312"/>
                <w:color w:val="auto"/>
                <w:kern w:val="0"/>
                <w:sz w:val="24"/>
                <w:lang w:val="en-US" w:eastAsia="zh-CN"/>
              </w:rPr>
              <w:t>17.5</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r>
        <w:tblPrEx>
          <w:tblCellMar>
            <w:top w:w="0" w:type="dxa"/>
            <w:left w:w="108" w:type="dxa"/>
            <w:bottom w:w="0" w:type="dxa"/>
            <w:right w:w="108" w:type="dxa"/>
          </w:tblCellMar>
        </w:tblPrEx>
        <w:trPr>
          <w:trHeight w:val="567" w:hRule="atLeast"/>
        </w:trPr>
        <w:tc>
          <w:tcPr>
            <w:tcW w:w="841" w:type="dxa"/>
            <w:vMerge w:val="continue"/>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10</w:t>
            </w:r>
          </w:p>
        </w:tc>
        <w:tc>
          <w:tcPr>
            <w:tcW w:w="4516"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lang w:val="en-US" w:eastAsia="zh-CN"/>
              </w:rPr>
              <w:t>规上工业企业研发经费支出</w:t>
            </w:r>
            <w:r>
              <w:rPr>
                <w:rFonts w:hint="eastAsia" w:ascii="仿宋_GB2312" w:hAnsi="仿宋_GB2312" w:eastAsia="仿宋_GB2312" w:cs="仿宋_GB2312"/>
                <w:color w:val="auto"/>
                <w:kern w:val="0"/>
                <w:sz w:val="24"/>
              </w:rPr>
              <w:t>占营业收入比重</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hint="default" w:ascii="仿宋_GB2312" w:hAnsi="仿宋_GB2312" w:eastAsia="仿宋_GB2312" w:cs="仿宋_GB2312"/>
                <w:color w:val="auto"/>
                <w:kern w:val="0"/>
                <w:sz w:val="24"/>
                <w:lang w:val="en-US" w:eastAsia="zh-CN"/>
              </w:rPr>
            </w:pPr>
            <w:r>
              <w:rPr>
                <w:rFonts w:hint="eastAsia" w:ascii="仿宋_GB2312" w:hAnsi="仿宋_GB2312" w:eastAsia="仿宋_GB2312" w:cs="仿宋_GB2312"/>
                <w:color w:val="auto"/>
                <w:kern w:val="0"/>
                <w:sz w:val="24"/>
              </w:rPr>
              <w:t>1</w:t>
            </w:r>
            <w:r>
              <w:rPr>
                <w:rFonts w:hint="eastAsia" w:ascii="仿宋_GB2312" w:hAnsi="仿宋_GB2312" w:eastAsia="仿宋_GB2312" w:cs="仿宋_GB2312"/>
                <w:color w:val="auto"/>
                <w:kern w:val="0"/>
                <w:sz w:val="24"/>
                <w:lang w:eastAsia="zh-CN"/>
              </w:rPr>
              <w:t>.</w:t>
            </w:r>
            <w:r>
              <w:rPr>
                <w:rFonts w:hint="eastAsia" w:ascii="仿宋_GB2312" w:hAnsi="仿宋_GB2312" w:eastAsia="仿宋_GB2312" w:cs="仿宋_GB2312"/>
                <w:color w:val="auto"/>
                <w:kern w:val="0"/>
                <w:sz w:val="24"/>
                <w:lang w:val="en-US" w:eastAsia="zh-CN"/>
              </w:rPr>
              <w:t>5</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r>
        <w:tblPrEx>
          <w:tblCellMar>
            <w:top w:w="0" w:type="dxa"/>
            <w:left w:w="108" w:type="dxa"/>
            <w:bottom w:w="0" w:type="dxa"/>
            <w:right w:w="108" w:type="dxa"/>
          </w:tblCellMar>
        </w:tblPrEx>
        <w:trPr>
          <w:trHeight w:val="567" w:hRule="atLeast"/>
        </w:trPr>
        <w:tc>
          <w:tcPr>
            <w:tcW w:w="841" w:type="dxa"/>
            <w:vMerge w:val="restart"/>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数实融合</w:t>
            </w: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11</w:t>
            </w:r>
          </w:p>
        </w:tc>
        <w:tc>
          <w:tcPr>
            <w:tcW w:w="4516" w:type="dxa"/>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规上工业企业数字化转型覆盖率</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95以上</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r>
        <w:tblPrEx>
          <w:tblCellMar>
            <w:top w:w="0" w:type="dxa"/>
            <w:left w:w="108" w:type="dxa"/>
            <w:bottom w:w="0" w:type="dxa"/>
            <w:right w:w="108" w:type="dxa"/>
          </w:tblCellMar>
        </w:tblPrEx>
        <w:trPr>
          <w:trHeight w:val="567" w:hRule="atLeast"/>
        </w:trPr>
        <w:tc>
          <w:tcPr>
            <w:tcW w:w="841" w:type="dxa"/>
            <w:vMerge w:val="continue"/>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12</w:t>
            </w:r>
          </w:p>
        </w:tc>
        <w:tc>
          <w:tcPr>
            <w:tcW w:w="4516" w:type="dxa"/>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应用场景（智能工厂、智能制造优秀场景和5G全连接工厂）</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家</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60以上</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r>
        <w:tblPrEx>
          <w:tblCellMar>
            <w:top w:w="0" w:type="dxa"/>
            <w:left w:w="108" w:type="dxa"/>
            <w:bottom w:w="0" w:type="dxa"/>
            <w:right w:w="108" w:type="dxa"/>
          </w:tblCellMar>
        </w:tblPrEx>
        <w:trPr>
          <w:trHeight w:val="567" w:hRule="atLeast"/>
        </w:trPr>
        <w:tc>
          <w:tcPr>
            <w:tcW w:w="841" w:type="dxa"/>
            <w:vMerge w:val="restart"/>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绿色低碳</w:t>
            </w: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13</w:t>
            </w:r>
          </w:p>
        </w:tc>
        <w:tc>
          <w:tcPr>
            <w:tcW w:w="4516" w:type="dxa"/>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规上工业万元增加值能耗下降幅度</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10</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约束值</w:t>
            </w:r>
          </w:p>
        </w:tc>
      </w:tr>
      <w:tr>
        <w:tblPrEx>
          <w:tblCellMar>
            <w:top w:w="0" w:type="dxa"/>
            <w:left w:w="108" w:type="dxa"/>
            <w:bottom w:w="0" w:type="dxa"/>
            <w:right w:w="108" w:type="dxa"/>
          </w:tblCellMar>
        </w:tblPrEx>
        <w:trPr>
          <w:trHeight w:val="567" w:hRule="atLeast"/>
        </w:trPr>
        <w:tc>
          <w:tcPr>
            <w:tcW w:w="841" w:type="dxa"/>
            <w:vMerge w:val="continue"/>
            <w:tcBorders>
              <w:top w:val="single" w:color="auto" w:sz="4" w:space="0"/>
              <w:left w:val="single" w:color="auto" w:sz="4" w:space="0"/>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p>
        </w:tc>
        <w:tc>
          <w:tcPr>
            <w:tcW w:w="818"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14</w:t>
            </w:r>
          </w:p>
        </w:tc>
        <w:tc>
          <w:tcPr>
            <w:tcW w:w="4516"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规上工业用水重复利用率</w:t>
            </w:r>
          </w:p>
        </w:tc>
        <w:tc>
          <w:tcPr>
            <w:tcW w:w="850"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w:t>
            </w:r>
          </w:p>
        </w:tc>
        <w:tc>
          <w:tcPr>
            <w:tcW w:w="1067"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hint="eastAsia" w:ascii="仿宋_GB2312" w:hAnsi="仿宋_GB2312" w:eastAsia="仿宋_GB2312" w:cs="仿宋_GB2312"/>
                <w:color w:val="auto"/>
                <w:kern w:val="0"/>
                <w:sz w:val="24"/>
                <w:lang w:val="en-US" w:eastAsia="zh-CN"/>
              </w:rPr>
            </w:pPr>
            <w:r>
              <w:rPr>
                <w:rFonts w:hint="eastAsia" w:ascii="仿宋_GB2312" w:hAnsi="仿宋_GB2312" w:eastAsia="仿宋_GB2312" w:cs="仿宋_GB2312"/>
                <w:color w:val="auto"/>
                <w:kern w:val="0"/>
                <w:sz w:val="24"/>
              </w:rPr>
              <w:t>9</w:t>
            </w:r>
            <w:r>
              <w:rPr>
                <w:rFonts w:hint="eastAsia" w:ascii="仿宋_GB2312" w:hAnsi="仿宋_GB2312" w:eastAsia="仿宋_GB2312" w:cs="仿宋_GB2312"/>
                <w:color w:val="auto"/>
                <w:kern w:val="0"/>
                <w:sz w:val="24"/>
                <w:lang w:val="en-US" w:eastAsia="zh-CN"/>
              </w:rPr>
              <w:t>5</w:t>
            </w:r>
          </w:p>
        </w:tc>
        <w:tc>
          <w:tcPr>
            <w:tcW w:w="944" w:type="dxa"/>
            <w:tcBorders>
              <w:top w:val="single" w:color="auto" w:sz="4" w:space="0"/>
              <w:left w:val="single" w:color="auto" w:sz="4" w:space="0"/>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约束值</w:t>
            </w:r>
          </w:p>
        </w:tc>
      </w:tr>
      <w:tr>
        <w:tblPrEx>
          <w:tblCellMar>
            <w:top w:w="0" w:type="dxa"/>
            <w:left w:w="108" w:type="dxa"/>
            <w:bottom w:w="0" w:type="dxa"/>
            <w:right w:w="108" w:type="dxa"/>
          </w:tblCellMar>
        </w:tblPrEx>
        <w:trPr>
          <w:trHeight w:val="567" w:hRule="atLeast"/>
        </w:trPr>
        <w:tc>
          <w:tcPr>
            <w:tcW w:w="841" w:type="dxa"/>
            <w:vMerge w:val="restart"/>
            <w:tcBorders>
              <w:top w:val="single" w:color="auto" w:sz="4" w:space="0"/>
              <w:left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企业培育</w:t>
            </w:r>
          </w:p>
        </w:tc>
        <w:tc>
          <w:tcPr>
            <w:tcW w:w="818" w:type="dxa"/>
            <w:tcBorders>
              <w:top w:val="single" w:color="auto" w:sz="4" w:space="0"/>
              <w:left w:val="nil"/>
              <w:bottom w:val="single" w:color="auto" w:sz="4" w:space="0"/>
              <w:right w:val="single" w:color="auto" w:sz="4" w:space="0"/>
            </w:tcBorders>
            <w:noWrap/>
            <w:vAlign w:val="center"/>
          </w:tcPr>
          <w:p>
            <w:pPr>
              <w:keepLines w:val="0"/>
              <w:pageBreakBefore w:val="0"/>
              <w:kinsoku/>
              <w:wordWrap/>
              <w:overflowPunct/>
              <w:topLinePunct w:val="0"/>
              <w:bidi w:val="0"/>
              <w:spacing w:line="240" w:lineRule="auto"/>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15</w:t>
            </w:r>
          </w:p>
        </w:tc>
        <w:tc>
          <w:tcPr>
            <w:tcW w:w="4516" w:type="dxa"/>
            <w:tcBorders>
              <w:top w:val="single" w:color="auto" w:sz="4" w:space="0"/>
              <w:left w:val="nil"/>
              <w:bottom w:val="single" w:color="auto" w:sz="4" w:space="0"/>
              <w:right w:val="single" w:color="auto" w:sz="4" w:space="0"/>
            </w:tcBorders>
            <w:vAlign w:val="center"/>
          </w:tcPr>
          <w:p>
            <w:pPr>
              <w:keepLines w:val="0"/>
              <w:pageBreakBefore w:val="0"/>
              <w:kinsoku/>
              <w:wordWrap/>
              <w:overflowPunct/>
              <w:topLinePunct w:val="0"/>
              <w:bidi w:val="0"/>
              <w:spacing w:line="240" w:lineRule="auto"/>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国家级</w:t>
            </w:r>
            <w:r>
              <w:rPr>
                <w:rFonts w:hint="default" w:ascii="仿宋_GB2312" w:hAnsi="仿宋_GB2312" w:eastAsia="仿宋_GB2312" w:cs="仿宋_GB2312"/>
                <w:color w:val="auto"/>
                <w:kern w:val="0"/>
                <w:sz w:val="24"/>
                <w:lang w:val="en"/>
              </w:rPr>
              <w:t>“</w:t>
            </w:r>
            <w:r>
              <w:rPr>
                <w:rFonts w:hint="eastAsia" w:ascii="仿宋_GB2312" w:hAnsi="仿宋_GB2312" w:eastAsia="仿宋_GB2312" w:cs="仿宋_GB2312"/>
                <w:color w:val="auto"/>
                <w:kern w:val="0"/>
                <w:sz w:val="24"/>
              </w:rPr>
              <w:t>专精特新</w:t>
            </w:r>
            <w:r>
              <w:rPr>
                <w:rFonts w:hint="default" w:ascii="仿宋_GB2312" w:hAnsi="仿宋_GB2312" w:eastAsia="仿宋_GB2312" w:cs="仿宋_GB2312"/>
                <w:color w:val="auto"/>
                <w:kern w:val="0"/>
                <w:sz w:val="24"/>
                <w:lang w:val="en"/>
              </w:rPr>
              <w:t>”</w:t>
            </w:r>
            <w:r>
              <w:rPr>
                <w:rFonts w:hint="eastAsia" w:ascii="仿宋_GB2312" w:hAnsi="仿宋_GB2312" w:eastAsia="仿宋_GB2312" w:cs="仿宋_GB2312"/>
                <w:color w:val="auto"/>
                <w:kern w:val="0"/>
                <w:sz w:val="24"/>
              </w:rPr>
              <w:t>小巨人企业</w:t>
            </w:r>
          </w:p>
        </w:tc>
        <w:tc>
          <w:tcPr>
            <w:tcW w:w="850" w:type="dxa"/>
            <w:tcBorders>
              <w:top w:val="single" w:color="auto" w:sz="4" w:space="0"/>
              <w:left w:val="nil"/>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家</w:t>
            </w:r>
          </w:p>
        </w:tc>
        <w:tc>
          <w:tcPr>
            <w:tcW w:w="1067" w:type="dxa"/>
            <w:tcBorders>
              <w:top w:val="single" w:color="auto" w:sz="4" w:space="0"/>
              <w:left w:val="nil"/>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6</w:t>
            </w:r>
          </w:p>
        </w:tc>
        <w:tc>
          <w:tcPr>
            <w:tcW w:w="944" w:type="dxa"/>
            <w:tcBorders>
              <w:top w:val="single" w:color="auto" w:sz="4" w:space="0"/>
              <w:left w:val="nil"/>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r>
        <w:tblPrEx>
          <w:tblCellMar>
            <w:top w:w="0" w:type="dxa"/>
            <w:left w:w="108" w:type="dxa"/>
            <w:bottom w:w="0" w:type="dxa"/>
            <w:right w:w="108" w:type="dxa"/>
          </w:tblCellMar>
        </w:tblPrEx>
        <w:trPr>
          <w:trHeight w:val="567" w:hRule="atLeast"/>
        </w:trPr>
        <w:tc>
          <w:tcPr>
            <w:tcW w:w="841" w:type="dxa"/>
            <w:vMerge w:val="continue"/>
            <w:tcBorders>
              <w:left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p>
        </w:tc>
        <w:tc>
          <w:tcPr>
            <w:tcW w:w="818" w:type="dxa"/>
            <w:tcBorders>
              <w:top w:val="single" w:color="auto" w:sz="4" w:space="0"/>
              <w:left w:val="nil"/>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16</w:t>
            </w:r>
          </w:p>
        </w:tc>
        <w:tc>
          <w:tcPr>
            <w:tcW w:w="4516" w:type="dxa"/>
            <w:tcBorders>
              <w:top w:val="single" w:color="auto" w:sz="4" w:space="0"/>
              <w:left w:val="nil"/>
              <w:bottom w:val="single" w:color="auto" w:sz="4" w:space="0"/>
              <w:right w:val="single" w:color="auto" w:sz="4" w:space="0"/>
            </w:tcBorders>
            <w:vAlign w:val="center"/>
          </w:tcPr>
          <w:p>
            <w:pPr>
              <w:keepLines w:val="0"/>
              <w:pageBreakBefore w:val="0"/>
              <w:kinsoku/>
              <w:wordWrap/>
              <w:overflowPunct/>
              <w:topLinePunct w:val="0"/>
              <w:bidi w:val="0"/>
              <w:spacing w:line="560" w:lineRule="exact"/>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省级</w:t>
            </w:r>
            <w:r>
              <w:rPr>
                <w:rFonts w:hint="default" w:ascii="仿宋_GB2312" w:hAnsi="仿宋_GB2312" w:eastAsia="仿宋_GB2312" w:cs="仿宋_GB2312"/>
                <w:color w:val="auto"/>
                <w:kern w:val="0"/>
                <w:sz w:val="24"/>
                <w:lang w:val="en"/>
              </w:rPr>
              <w:t>“</w:t>
            </w:r>
            <w:r>
              <w:rPr>
                <w:rFonts w:hint="eastAsia" w:ascii="仿宋_GB2312" w:hAnsi="仿宋_GB2312" w:eastAsia="仿宋_GB2312" w:cs="仿宋_GB2312"/>
                <w:color w:val="auto"/>
                <w:kern w:val="0"/>
                <w:sz w:val="24"/>
              </w:rPr>
              <w:t>专精特新</w:t>
            </w:r>
            <w:r>
              <w:rPr>
                <w:rFonts w:hint="default" w:ascii="仿宋_GB2312" w:hAnsi="仿宋_GB2312" w:eastAsia="仿宋_GB2312" w:cs="仿宋_GB2312"/>
                <w:color w:val="auto"/>
                <w:kern w:val="0"/>
                <w:sz w:val="24"/>
                <w:lang w:val="en"/>
              </w:rPr>
              <w:t>”</w:t>
            </w:r>
            <w:r>
              <w:rPr>
                <w:rFonts w:hint="eastAsia" w:ascii="仿宋_GB2312" w:hAnsi="仿宋_GB2312" w:eastAsia="仿宋_GB2312" w:cs="仿宋_GB2312"/>
                <w:color w:val="auto"/>
                <w:kern w:val="0"/>
                <w:sz w:val="24"/>
              </w:rPr>
              <w:t>企业</w:t>
            </w:r>
          </w:p>
        </w:tc>
        <w:tc>
          <w:tcPr>
            <w:tcW w:w="850" w:type="dxa"/>
            <w:tcBorders>
              <w:top w:val="single" w:color="auto" w:sz="4" w:space="0"/>
              <w:left w:val="nil"/>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家</w:t>
            </w:r>
          </w:p>
        </w:tc>
        <w:tc>
          <w:tcPr>
            <w:tcW w:w="1067" w:type="dxa"/>
            <w:tcBorders>
              <w:top w:val="single" w:color="auto" w:sz="4" w:space="0"/>
              <w:left w:val="nil"/>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110</w:t>
            </w:r>
          </w:p>
        </w:tc>
        <w:tc>
          <w:tcPr>
            <w:tcW w:w="944" w:type="dxa"/>
            <w:tcBorders>
              <w:top w:val="single" w:color="auto" w:sz="4" w:space="0"/>
              <w:left w:val="nil"/>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r>
        <w:tblPrEx>
          <w:tblCellMar>
            <w:top w:w="0" w:type="dxa"/>
            <w:left w:w="108" w:type="dxa"/>
            <w:bottom w:w="0" w:type="dxa"/>
            <w:right w:w="108" w:type="dxa"/>
          </w:tblCellMar>
        </w:tblPrEx>
        <w:trPr>
          <w:trHeight w:val="567" w:hRule="atLeast"/>
        </w:trPr>
        <w:tc>
          <w:tcPr>
            <w:tcW w:w="841" w:type="dxa"/>
            <w:vMerge w:val="continue"/>
            <w:tcBorders>
              <w:left w:val="single" w:color="auto" w:sz="4" w:space="0"/>
              <w:bottom w:val="single" w:color="000000" w:sz="4" w:space="0"/>
              <w:right w:val="single" w:color="auto" w:sz="4" w:space="0"/>
            </w:tcBorders>
            <w:vAlign w:val="center"/>
          </w:tcPr>
          <w:p>
            <w:pPr>
              <w:keepLines w:val="0"/>
              <w:pageBreakBefore w:val="0"/>
              <w:kinsoku/>
              <w:wordWrap/>
              <w:overflowPunct/>
              <w:topLinePunct w:val="0"/>
              <w:bidi w:val="0"/>
              <w:spacing w:line="560" w:lineRule="exact"/>
              <w:ind w:firstLine="0" w:firstLineChars="0"/>
              <w:jc w:val="left"/>
              <w:textAlignment w:val="auto"/>
              <w:rPr>
                <w:rFonts w:ascii="仿宋_GB2312" w:hAnsi="仿宋_GB2312" w:eastAsia="仿宋_GB2312" w:cs="仿宋_GB2312"/>
                <w:color w:val="auto"/>
                <w:kern w:val="0"/>
                <w:sz w:val="24"/>
              </w:rPr>
            </w:pPr>
          </w:p>
        </w:tc>
        <w:tc>
          <w:tcPr>
            <w:tcW w:w="818" w:type="dxa"/>
            <w:tcBorders>
              <w:top w:val="nil"/>
              <w:left w:val="nil"/>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17</w:t>
            </w:r>
          </w:p>
        </w:tc>
        <w:tc>
          <w:tcPr>
            <w:tcW w:w="4516" w:type="dxa"/>
            <w:tcBorders>
              <w:top w:val="nil"/>
              <w:left w:val="nil"/>
              <w:bottom w:val="single" w:color="auto" w:sz="4" w:space="0"/>
              <w:right w:val="single" w:color="auto" w:sz="4" w:space="0"/>
            </w:tcBorders>
            <w:vAlign w:val="center"/>
          </w:tcPr>
          <w:p>
            <w:pPr>
              <w:keepLines w:val="0"/>
              <w:pageBreakBefore w:val="0"/>
              <w:kinsoku/>
              <w:wordWrap/>
              <w:overflowPunct/>
              <w:topLinePunct w:val="0"/>
              <w:bidi w:val="0"/>
              <w:spacing w:line="560" w:lineRule="exact"/>
              <w:ind w:firstLine="0" w:firstLineChars="0"/>
              <w:jc w:val="left"/>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规上工业企业数量</w:t>
            </w:r>
          </w:p>
        </w:tc>
        <w:tc>
          <w:tcPr>
            <w:tcW w:w="850" w:type="dxa"/>
            <w:tcBorders>
              <w:top w:val="nil"/>
              <w:left w:val="nil"/>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家</w:t>
            </w:r>
          </w:p>
        </w:tc>
        <w:tc>
          <w:tcPr>
            <w:tcW w:w="1067" w:type="dxa"/>
            <w:tcBorders>
              <w:top w:val="nil"/>
              <w:left w:val="nil"/>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700</w:t>
            </w:r>
          </w:p>
        </w:tc>
        <w:tc>
          <w:tcPr>
            <w:tcW w:w="944" w:type="dxa"/>
            <w:tcBorders>
              <w:top w:val="nil"/>
              <w:left w:val="nil"/>
              <w:bottom w:val="single" w:color="auto" w:sz="4" w:space="0"/>
              <w:right w:val="single" w:color="auto" w:sz="4" w:space="0"/>
            </w:tcBorders>
            <w:noWrap/>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kern w:val="0"/>
                <w:sz w:val="24"/>
              </w:rPr>
            </w:pPr>
            <w:r>
              <w:rPr>
                <w:rFonts w:hint="eastAsia" w:ascii="仿宋_GB2312" w:hAnsi="仿宋_GB2312" w:eastAsia="仿宋_GB2312" w:cs="仿宋_GB2312"/>
                <w:color w:val="auto"/>
                <w:kern w:val="0"/>
                <w:sz w:val="24"/>
              </w:rPr>
              <w:t>预期值</w:t>
            </w:r>
          </w:p>
        </w:tc>
      </w:tr>
    </w:tbl>
    <w:p>
      <w:pPr>
        <w:pStyle w:val="3"/>
        <w:keepLines w:val="0"/>
        <w:pageBreakBefore w:val="0"/>
        <w:kinsoku/>
        <w:wordWrap/>
        <w:overflowPunct/>
        <w:topLinePunct w:val="0"/>
        <w:bidi w:val="0"/>
        <w:spacing w:before="0" w:beforeAutospacing="0" w:after="0" w:afterAutospacing="0" w:line="560" w:lineRule="exact"/>
        <w:ind w:firstLine="0" w:firstLineChars="0"/>
        <w:jc w:val="center"/>
        <w:textAlignment w:val="auto"/>
        <w:rPr>
          <w:rFonts w:hint="default" w:ascii="Times New Roman" w:hAnsi="Times New Roman" w:eastAsia="黑体"/>
          <w:color w:val="auto"/>
          <w:sz w:val="32"/>
          <w:szCs w:val="32"/>
        </w:rPr>
      </w:pPr>
      <w:r>
        <w:rPr>
          <w:rFonts w:hint="default" w:ascii="Times New Roman" w:hAnsi="Times New Roman" w:eastAsia="黑体"/>
          <w:color w:val="auto"/>
          <w:sz w:val="32"/>
          <w:szCs w:val="32"/>
        </w:rPr>
        <w:br w:type="page"/>
      </w:r>
      <w:bookmarkStart w:id="27" w:name="_Toc18316"/>
      <w:bookmarkStart w:id="28" w:name="_Toc332842767"/>
      <w:r>
        <w:rPr>
          <w:rFonts w:hint="default" w:ascii="Times New Roman" w:hAnsi="Times New Roman" w:eastAsia="黑体"/>
          <w:b w:val="0"/>
          <w:bCs w:val="0"/>
          <w:color w:val="auto"/>
          <w:sz w:val="36"/>
          <w:szCs w:val="36"/>
        </w:rPr>
        <w:t>第三章 空间布局</w:t>
      </w:r>
      <w:bookmarkEnd w:id="27"/>
      <w:bookmarkEnd w:id="28"/>
    </w:p>
    <w:p>
      <w:pPr>
        <w:pStyle w:val="18"/>
        <w:keepLines w:val="0"/>
        <w:pageBreakBefore w:val="0"/>
        <w:kinsoku/>
        <w:wordWrap/>
        <w:overflowPunct/>
        <w:topLinePunct w:val="0"/>
        <w:bidi w:val="0"/>
        <w:spacing w:before="0" w:beforeAutospacing="0" w:after="0" w:afterAutospacing="0" w:line="560" w:lineRule="exact"/>
        <w:ind w:firstLine="640"/>
        <w:jc w:val="both"/>
        <w:textAlignment w:val="auto"/>
        <w:rPr>
          <w:rFonts w:ascii="仿宋_GB2312" w:hAnsi="仿宋_GB2312" w:eastAsia="仿宋_GB2312" w:cs="仿宋_GB2312"/>
          <w:color w:val="auto"/>
          <w:kern w:val="2"/>
          <w:sz w:val="32"/>
        </w:rPr>
      </w:pPr>
    </w:p>
    <w:p>
      <w:pPr>
        <w:pStyle w:val="18"/>
        <w:keepLines w:val="0"/>
        <w:pageBreakBefore w:val="0"/>
        <w:kinsoku/>
        <w:wordWrap/>
        <w:overflowPunct/>
        <w:topLinePunct w:val="0"/>
        <w:bidi w:val="0"/>
        <w:spacing w:before="0" w:beforeAutospacing="0" w:after="0" w:afterAutospacing="0" w:line="560" w:lineRule="exact"/>
        <w:ind w:firstLine="640"/>
        <w:jc w:val="both"/>
        <w:textAlignment w:val="auto"/>
        <w:rPr>
          <w:rFonts w:ascii="仿宋_GB2312" w:hAnsi="仿宋_GB2312" w:eastAsia="仿宋_GB2312" w:cs="仿宋_GB2312"/>
          <w:color w:val="auto"/>
          <w:kern w:val="2"/>
          <w:sz w:val="32"/>
        </w:rPr>
      </w:pPr>
      <w:r>
        <w:rPr>
          <w:rFonts w:hint="eastAsia" w:ascii="仿宋_GB2312" w:hAnsi="仿宋_GB2312" w:eastAsia="仿宋_GB2312" w:cs="仿宋_GB2312"/>
          <w:color w:val="auto"/>
          <w:kern w:val="2"/>
          <w:sz w:val="32"/>
        </w:rPr>
        <w:t>坚持结构优化、错位发展、功能互补、合作共建的原则，促进产业布局从</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资源分布型</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向</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功能协同型</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转变，从</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能源输出地</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向</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产业承载地</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跃迁，构建</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三区协同、多点联动</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空间发展格局。</w:t>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29" w:name="_Toc14130"/>
      <w:bookmarkStart w:id="30" w:name="_Toc1497457608"/>
      <w:r>
        <w:rPr>
          <w:rFonts w:hint="eastAsia" w:ascii="楷体_GB2312" w:hAnsi="楷体_GB2312" w:eastAsia="楷体_GB2312" w:cs="楷体_GB2312"/>
          <w:color w:val="auto"/>
        </w:rPr>
        <w:t>一、</w:t>
      </w:r>
      <w:r>
        <w:rPr>
          <w:rFonts w:hint="default" w:ascii="楷体_GB2312" w:hAnsi="楷体_GB2312" w:eastAsia="楷体_GB2312" w:cs="楷体_GB2312"/>
          <w:color w:val="auto"/>
          <w:lang w:val="en"/>
        </w:rPr>
        <w:t>“</w:t>
      </w:r>
      <w:r>
        <w:rPr>
          <w:rFonts w:hint="eastAsia" w:ascii="楷体_GB2312" w:hAnsi="楷体_GB2312" w:eastAsia="楷体_GB2312" w:cs="楷体_GB2312"/>
          <w:color w:val="auto"/>
        </w:rPr>
        <w:t>三区</w:t>
      </w:r>
      <w:r>
        <w:rPr>
          <w:rFonts w:hint="default" w:ascii="楷体_GB2312" w:hAnsi="楷体_GB2312" w:eastAsia="楷体_GB2312" w:cs="楷体_GB2312"/>
          <w:color w:val="auto"/>
          <w:lang w:val="en"/>
        </w:rPr>
        <w:t>”</w:t>
      </w:r>
      <w:r>
        <w:rPr>
          <w:rFonts w:hint="eastAsia" w:ascii="楷体_GB2312" w:hAnsi="楷体_GB2312" w:eastAsia="楷体_GB2312" w:cs="楷体_GB2312"/>
          <w:color w:val="auto"/>
        </w:rPr>
        <w:t>协同</w:t>
      </w:r>
      <w:bookmarkEnd w:id="29"/>
      <w:bookmarkEnd w:id="30"/>
    </w:p>
    <w:p>
      <w:pPr>
        <w:pStyle w:val="18"/>
        <w:keepLines w:val="0"/>
        <w:pageBreakBefore w:val="0"/>
        <w:kinsoku/>
        <w:wordWrap/>
        <w:overflowPunct/>
        <w:topLinePunct w:val="0"/>
        <w:bidi w:val="0"/>
        <w:spacing w:before="0" w:beforeAutospacing="0" w:after="0" w:afterAutospacing="0" w:line="560" w:lineRule="exact"/>
        <w:ind w:firstLine="640"/>
        <w:jc w:val="both"/>
        <w:textAlignment w:val="auto"/>
        <w:rPr>
          <w:rFonts w:ascii="仿宋_GB2312" w:hAnsi="仿宋_GB2312" w:eastAsia="仿宋_GB2312" w:cs="仿宋_GB2312"/>
          <w:color w:val="auto"/>
          <w:kern w:val="2"/>
          <w:sz w:val="32"/>
        </w:rPr>
      </w:pPr>
      <w:bookmarkStart w:id="31" w:name="_Toc27531"/>
      <w:r>
        <w:rPr>
          <w:rFonts w:hint="eastAsia" w:ascii="仿宋_GB2312" w:hAnsi="仿宋_GB2312" w:eastAsia="仿宋_GB2312" w:cs="仿宋_GB2312"/>
          <w:color w:val="auto"/>
          <w:kern w:val="2"/>
          <w:sz w:val="32"/>
        </w:rPr>
        <w:t>立足全市工业经济发展现状及工业园区产业特色</w:t>
      </w:r>
      <w:r>
        <w:rPr>
          <w:rFonts w:ascii="仿宋_GB2312" w:hAnsi="仿宋_GB2312" w:eastAsia="仿宋_GB2312" w:cs="仿宋_GB2312"/>
          <w:color w:val="auto"/>
          <w:kern w:val="2"/>
          <w:sz w:val="32"/>
        </w:rPr>
        <w:t>，将全市</w:t>
      </w:r>
      <w:r>
        <w:rPr>
          <w:rFonts w:hint="eastAsia" w:ascii="仿宋_GB2312" w:hAnsi="仿宋_GB2312" w:eastAsia="仿宋_GB2312" w:cs="仿宋_GB2312"/>
          <w:color w:val="auto"/>
          <w:kern w:val="2"/>
          <w:sz w:val="32"/>
        </w:rPr>
        <w:t>工业园区规划</w:t>
      </w:r>
      <w:r>
        <w:rPr>
          <w:rFonts w:ascii="仿宋_GB2312" w:hAnsi="仿宋_GB2312" w:eastAsia="仿宋_GB2312" w:cs="仿宋_GB2312"/>
          <w:color w:val="auto"/>
          <w:kern w:val="2"/>
          <w:sz w:val="32"/>
        </w:rPr>
        <w:t>为东</w:t>
      </w:r>
      <w:r>
        <w:rPr>
          <w:rFonts w:hint="eastAsia" w:ascii="仿宋_GB2312" w:hAnsi="仿宋_GB2312" w:eastAsia="仿宋_GB2312" w:cs="仿宋_GB2312"/>
          <w:color w:val="auto"/>
          <w:kern w:val="2"/>
          <w:sz w:val="32"/>
        </w:rPr>
        <w:t>、</w:t>
      </w:r>
      <w:r>
        <w:rPr>
          <w:rFonts w:ascii="仿宋_GB2312" w:hAnsi="仿宋_GB2312" w:eastAsia="仿宋_GB2312" w:cs="仿宋_GB2312"/>
          <w:color w:val="auto"/>
          <w:kern w:val="2"/>
          <w:sz w:val="32"/>
        </w:rPr>
        <w:t>中</w:t>
      </w:r>
      <w:r>
        <w:rPr>
          <w:rFonts w:hint="eastAsia" w:ascii="仿宋_GB2312" w:hAnsi="仿宋_GB2312" w:eastAsia="仿宋_GB2312" w:cs="仿宋_GB2312"/>
          <w:color w:val="auto"/>
          <w:kern w:val="2"/>
          <w:sz w:val="32"/>
        </w:rPr>
        <w:t>、</w:t>
      </w:r>
      <w:r>
        <w:rPr>
          <w:rFonts w:ascii="仿宋_GB2312" w:hAnsi="仿宋_GB2312" w:eastAsia="仿宋_GB2312" w:cs="仿宋_GB2312"/>
          <w:color w:val="auto"/>
          <w:kern w:val="2"/>
          <w:sz w:val="32"/>
        </w:rPr>
        <w:t>西三大功能协同区，明确各片区发展</w:t>
      </w:r>
      <w:r>
        <w:rPr>
          <w:rFonts w:hint="eastAsia" w:ascii="仿宋_GB2312" w:hAnsi="仿宋_GB2312" w:eastAsia="仿宋_GB2312" w:cs="仿宋_GB2312"/>
          <w:color w:val="auto"/>
          <w:kern w:val="2"/>
          <w:sz w:val="32"/>
        </w:rPr>
        <w:t>重点</w:t>
      </w:r>
      <w:r>
        <w:rPr>
          <w:rFonts w:ascii="仿宋_GB2312" w:hAnsi="仿宋_GB2312" w:eastAsia="仿宋_GB2312" w:cs="仿宋_GB2312"/>
          <w:color w:val="auto"/>
          <w:kern w:val="2"/>
          <w:sz w:val="32"/>
        </w:rPr>
        <w:t>，引导</w:t>
      </w:r>
      <w:r>
        <w:rPr>
          <w:rFonts w:hint="eastAsia" w:ascii="仿宋_GB2312" w:hAnsi="仿宋_GB2312" w:eastAsia="仿宋_GB2312" w:cs="仿宋_GB2312"/>
          <w:color w:val="auto"/>
          <w:kern w:val="2"/>
          <w:sz w:val="32"/>
        </w:rPr>
        <w:t>区域</w:t>
      </w:r>
      <w:r>
        <w:rPr>
          <w:rFonts w:ascii="仿宋_GB2312" w:hAnsi="仿宋_GB2312" w:eastAsia="仿宋_GB2312" w:cs="仿宋_GB2312"/>
          <w:color w:val="auto"/>
          <w:kern w:val="2"/>
          <w:sz w:val="32"/>
        </w:rPr>
        <w:t>错位发展</w:t>
      </w:r>
      <w:r>
        <w:rPr>
          <w:rFonts w:hint="eastAsia" w:ascii="仿宋_GB2312" w:hAnsi="仿宋_GB2312" w:eastAsia="仿宋_GB2312" w:cs="仿宋_GB2312"/>
          <w:color w:val="auto"/>
          <w:kern w:val="2"/>
          <w:sz w:val="32"/>
        </w:rPr>
        <w:t>、</w:t>
      </w:r>
      <w:r>
        <w:rPr>
          <w:rFonts w:ascii="仿宋_GB2312" w:hAnsi="仿宋_GB2312" w:eastAsia="仿宋_GB2312" w:cs="仿宋_GB2312"/>
          <w:color w:val="auto"/>
          <w:kern w:val="2"/>
          <w:sz w:val="32"/>
        </w:rPr>
        <w:t>产业</w:t>
      </w:r>
      <w:r>
        <w:rPr>
          <w:rFonts w:hint="eastAsia" w:ascii="仿宋_GB2312" w:hAnsi="仿宋_GB2312" w:eastAsia="仿宋_GB2312" w:cs="仿宋_GB2312"/>
          <w:color w:val="auto"/>
          <w:kern w:val="2"/>
          <w:sz w:val="32"/>
        </w:rPr>
        <w:t>聚链成群</w:t>
      </w:r>
      <w:r>
        <w:rPr>
          <w:rFonts w:ascii="仿宋_GB2312" w:hAnsi="仿宋_GB2312" w:eastAsia="仿宋_GB2312" w:cs="仿宋_GB2312"/>
          <w:color w:val="auto"/>
          <w:kern w:val="2"/>
          <w:sz w:val="32"/>
        </w:rPr>
        <w:t>，形成各具特色</w:t>
      </w:r>
      <w:r>
        <w:rPr>
          <w:rFonts w:hint="eastAsia" w:ascii="仿宋_GB2312" w:hAnsi="仿宋_GB2312" w:eastAsia="仿宋_GB2312" w:cs="仿宋_GB2312"/>
          <w:color w:val="auto"/>
          <w:kern w:val="2"/>
          <w:sz w:val="32"/>
        </w:rPr>
        <w:t>、</w:t>
      </w:r>
      <w:r>
        <w:rPr>
          <w:rFonts w:ascii="仿宋_GB2312" w:hAnsi="仿宋_GB2312" w:eastAsia="仿宋_GB2312" w:cs="仿宋_GB2312"/>
          <w:color w:val="auto"/>
          <w:kern w:val="2"/>
          <w:sz w:val="32"/>
        </w:rPr>
        <w:t>优势互</w:t>
      </w:r>
      <w:r>
        <w:rPr>
          <w:rFonts w:hint="eastAsia" w:ascii="仿宋_GB2312" w:hAnsi="仿宋_GB2312" w:eastAsia="仿宋_GB2312" w:cs="仿宋_GB2312"/>
          <w:color w:val="auto"/>
          <w:kern w:val="2"/>
          <w:sz w:val="32"/>
        </w:rPr>
        <w:t>补、协同</w:t>
      </w:r>
      <w:r>
        <w:rPr>
          <w:rFonts w:ascii="仿宋_GB2312" w:hAnsi="仿宋_GB2312" w:eastAsia="仿宋_GB2312" w:cs="仿宋_GB2312"/>
          <w:color w:val="auto"/>
          <w:kern w:val="2"/>
          <w:sz w:val="32"/>
        </w:rPr>
        <w:t>发展新格局</w:t>
      </w:r>
      <w:r>
        <w:rPr>
          <w:rFonts w:hint="eastAsia" w:ascii="仿宋_GB2312" w:hAnsi="仿宋_GB2312" w:eastAsia="仿宋_GB2312" w:cs="仿宋_GB2312"/>
          <w:color w:val="auto"/>
          <w:kern w:val="2"/>
          <w:sz w:val="32"/>
        </w:rPr>
        <w:t>。</w:t>
      </w:r>
    </w:p>
    <w:p>
      <w:pPr>
        <w:pStyle w:val="18"/>
        <w:keepLines w:val="0"/>
        <w:pageBreakBefore w:val="0"/>
        <w:kinsoku/>
        <w:wordWrap/>
        <w:overflowPunct/>
        <w:topLinePunct w:val="0"/>
        <w:bidi w:val="0"/>
        <w:spacing w:before="0" w:beforeAutospacing="0" w:after="0" w:afterAutospacing="0" w:line="560" w:lineRule="exact"/>
        <w:ind w:firstLine="643"/>
        <w:jc w:val="both"/>
        <w:textAlignment w:val="auto"/>
        <w:rPr>
          <w:rFonts w:ascii="仿宋_GB2312" w:hAnsi="仿宋_GB2312" w:eastAsia="仿宋_GB2312" w:cs="仿宋_GB2312"/>
          <w:color w:val="auto"/>
          <w:kern w:val="2"/>
          <w:sz w:val="32"/>
        </w:rPr>
      </w:pPr>
      <w:r>
        <w:rPr>
          <w:rFonts w:hint="eastAsia" w:ascii="仿宋_GB2312" w:hAnsi="仿宋_GB2312" w:eastAsia="仿宋_GB2312" w:cs="仿宋_GB2312"/>
          <w:b/>
          <w:bCs/>
          <w:color w:val="auto"/>
          <w:kern w:val="2"/>
          <w:sz w:val="32"/>
        </w:rPr>
        <w:t>1.</w:t>
      </w:r>
      <w:r>
        <w:rPr>
          <w:rFonts w:ascii="仿宋_GB2312" w:hAnsi="仿宋_GB2312" w:eastAsia="仿宋_GB2312" w:cs="仿宋_GB2312"/>
          <w:b/>
          <w:bCs/>
          <w:color w:val="auto"/>
          <w:kern w:val="2"/>
          <w:sz w:val="32"/>
        </w:rPr>
        <w:t>创新引领与战略产业</w:t>
      </w:r>
      <w:r>
        <w:rPr>
          <w:rFonts w:hint="eastAsia" w:ascii="仿宋_GB2312" w:hAnsi="仿宋_GB2312" w:eastAsia="仿宋_GB2312" w:cs="仿宋_GB2312"/>
          <w:b/>
          <w:bCs/>
          <w:color w:val="auto"/>
          <w:kern w:val="2"/>
          <w:sz w:val="32"/>
        </w:rPr>
        <w:t>协同</w:t>
      </w:r>
      <w:r>
        <w:rPr>
          <w:rFonts w:ascii="仿宋_GB2312" w:hAnsi="仿宋_GB2312" w:eastAsia="仿宋_GB2312" w:cs="仿宋_GB2312"/>
          <w:b/>
          <w:bCs/>
          <w:color w:val="auto"/>
          <w:kern w:val="2"/>
          <w:sz w:val="32"/>
        </w:rPr>
        <w:t>区</w:t>
      </w:r>
      <w:r>
        <w:rPr>
          <w:rFonts w:hint="eastAsia" w:ascii="仿宋_GB2312" w:hAnsi="仿宋_GB2312" w:eastAsia="仿宋_GB2312" w:cs="仿宋_GB2312"/>
          <w:b/>
          <w:bCs/>
          <w:color w:val="auto"/>
          <w:kern w:val="2"/>
          <w:sz w:val="32"/>
        </w:rPr>
        <w:t>。</w:t>
      </w:r>
      <w:r>
        <w:rPr>
          <w:rFonts w:ascii="仿宋_GB2312" w:hAnsi="仿宋_GB2312" w:eastAsia="仿宋_GB2312" w:cs="仿宋_GB2312"/>
          <w:color w:val="auto"/>
          <w:kern w:val="2"/>
          <w:sz w:val="32"/>
        </w:rPr>
        <w:t>以酒泉经济技术开发区为核心，协同甘肃酒泉核</w:t>
      </w:r>
      <w:r>
        <w:rPr>
          <w:rFonts w:hint="eastAsia" w:ascii="仿宋_GB2312" w:hAnsi="仿宋_GB2312" w:eastAsia="仿宋_GB2312" w:cs="仿宋_GB2312"/>
          <w:color w:val="auto"/>
          <w:kern w:val="2"/>
          <w:sz w:val="32"/>
        </w:rPr>
        <w:t>技术</w:t>
      </w:r>
      <w:r>
        <w:rPr>
          <w:rFonts w:ascii="仿宋_GB2312" w:hAnsi="仿宋_GB2312" w:eastAsia="仿宋_GB2312" w:cs="仿宋_GB2312"/>
          <w:color w:val="auto"/>
          <w:kern w:val="2"/>
          <w:sz w:val="32"/>
        </w:rPr>
        <w:t>产业园</w:t>
      </w:r>
      <w:r>
        <w:rPr>
          <w:rFonts w:hint="eastAsia" w:ascii="仿宋_GB2312" w:hAnsi="仿宋_GB2312" w:eastAsia="仿宋_GB2312" w:cs="仿宋_GB2312"/>
          <w:color w:val="auto"/>
          <w:kern w:val="2"/>
          <w:sz w:val="32"/>
        </w:rPr>
        <w:t>、</w:t>
      </w:r>
      <w:r>
        <w:rPr>
          <w:rFonts w:ascii="仿宋_GB2312" w:hAnsi="仿宋_GB2312" w:eastAsia="仿宋_GB2312" w:cs="仿宋_GB2312"/>
          <w:color w:val="auto"/>
          <w:kern w:val="2"/>
          <w:sz w:val="32"/>
        </w:rPr>
        <w:t>酒泉航天产业园</w:t>
      </w:r>
      <w:r>
        <w:rPr>
          <w:rFonts w:hint="eastAsia" w:ascii="仿宋_GB2312" w:hAnsi="仿宋_GB2312" w:eastAsia="仿宋_GB2312" w:cs="仿宋_GB2312"/>
          <w:color w:val="auto"/>
          <w:kern w:val="2"/>
          <w:sz w:val="32"/>
        </w:rPr>
        <w:t>、</w:t>
      </w:r>
      <w:r>
        <w:rPr>
          <w:rFonts w:ascii="仿宋_GB2312" w:hAnsi="仿宋_GB2312" w:eastAsia="仿宋_GB2312" w:cs="仿宋_GB2312"/>
          <w:color w:val="auto"/>
          <w:kern w:val="2"/>
          <w:sz w:val="32"/>
        </w:rPr>
        <w:t>金塔工业集中区深度融入酒</w:t>
      </w:r>
      <w:r>
        <w:rPr>
          <w:rFonts w:hint="eastAsia" w:ascii="仿宋_GB2312" w:hAnsi="仿宋_GB2312" w:eastAsia="仿宋_GB2312" w:cs="仿宋_GB2312"/>
          <w:color w:val="auto"/>
          <w:kern w:val="2"/>
          <w:sz w:val="32"/>
        </w:rPr>
        <w:t>嘉一</w:t>
      </w:r>
      <w:r>
        <w:rPr>
          <w:rFonts w:ascii="仿宋_GB2312" w:hAnsi="仿宋_GB2312" w:eastAsia="仿宋_GB2312" w:cs="仿宋_GB2312"/>
          <w:color w:val="auto"/>
          <w:kern w:val="2"/>
          <w:sz w:val="32"/>
        </w:rPr>
        <w:t>体化发展，重点承担国家</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沙戈荒</w:t>
      </w:r>
      <w:r>
        <w:rPr>
          <w:rFonts w:hint="default" w:ascii="仿宋_GB2312" w:hAnsi="仿宋_GB2312" w:eastAsia="仿宋_GB2312" w:cs="仿宋_GB2312"/>
          <w:color w:val="auto"/>
          <w:kern w:val="2"/>
          <w:sz w:val="32"/>
          <w:lang w:val="en"/>
        </w:rPr>
        <w:t>”</w:t>
      </w:r>
      <w:r>
        <w:rPr>
          <w:rFonts w:ascii="仿宋_GB2312" w:hAnsi="仿宋_GB2312" w:eastAsia="仿宋_GB2312" w:cs="仿宋_GB2312"/>
          <w:color w:val="auto"/>
          <w:kern w:val="2"/>
          <w:sz w:val="32"/>
        </w:rPr>
        <w:t>大基地装备保供、智能制造科技创新策</w:t>
      </w:r>
      <w:r>
        <w:rPr>
          <w:rFonts w:hint="eastAsia" w:ascii="仿宋_GB2312" w:hAnsi="仿宋_GB2312" w:eastAsia="仿宋_GB2312" w:cs="仿宋_GB2312"/>
          <w:color w:val="auto"/>
          <w:kern w:val="2"/>
          <w:sz w:val="32"/>
        </w:rPr>
        <w:t>源和</w:t>
      </w:r>
      <w:r>
        <w:rPr>
          <w:rFonts w:ascii="仿宋_GB2312" w:hAnsi="仿宋_GB2312" w:eastAsia="仿宋_GB2312" w:cs="仿宋_GB2312"/>
          <w:color w:val="auto"/>
          <w:kern w:val="2"/>
          <w:sz w:val="32"/>
        </w:rPr>
        <w:t>军民融合攻坚</w:t>
      </w:r>
      <w:r>
        <w:rPr>
          <w:rFonts w:hint="eastAsia" w:ascii="仿宋_GB2312" w:hAnsi="仿宋_GB2312" w:eastAsia="仿宋_GB2312" w:cs="仿宋_GB2312"/>
          <w:color w:val="auto"/>
          <w:kern w:val="2"/>
          <w:sz w:val="32"/>
        </w:rPr>
        <w:t>、</w:t>
      </w:r>
      <w:r>
        <w:rPr>
          <w:rFonts w:ascii="仿宋_GB2312" w:hAnsi="仿宋_GB2312" w:eastAsia="仿宋_GB2312" w:cs="仿宋_GB2312"/>
          <w:color w:val="auto"/>
          <w:kern w:val="2"/>
          <w:sz w:val="32"/>
        </w:rPr>
        <w:t>未来产业培育、高端生产性服务</w:t>
      </w:r>
      <w:r>
        <w:rPr>
          <w:rFonts w:hint="eastAsia" w:ascii="仿宋_GB2312" w:hAnsi="仿宋_GB2312" w:eastAsia="仿宋_GB2312" w:cs="仿宋_GB2312"/>
          <w:color w:val="auto"/>
          <w:kern w:val="2"/>
          <w:sz w:val="32"/>
        </w:rPr>
        <w:t>赋能以及国家战略服务保障</w:t>
      </w:r>
      <w:r>
        <w:rPr>
          <w:rFonts w:ascii="仿宋_GB2312" w:hAnsi="仿宋_GB2312" w:eastAsia="仿宋_GB2312" w:cs="仿宋_GB2312"/>
          <w:color w:val="auto"/>
          <w:kern w:val="2"/>
          <w:sz w:val="32"/>
        </w:rPr>
        <w:t>等功能，打造西北新能源装备智造中心</w:t>
      </w:r>
      <w:r>
        <w:rPr>
          <w:rFonts w:hint="eastAsia" w:ascii="仿宋_GB2312" w:hAnsi="仿宋_GB2312" w:eastAsia="仿宋_GB2312" w:cs="仿宋_GB2312"/>
          <w:color w:val="auto"/>
          <w:kern w:val="2"/>
          <w:sz w:val="32"/>
        </w:rPr>
        <w:t>、</w:t>
      </w:r>
      <w:r>
        <w:rPr>
          <w:rFonts w:ascii="仿宋_GB2312" w:hAnsi="仿宋_GB2312" w:eastAsia="仿宋_GB2312" w:cs="仿宋_GB2312"/>
          <w:color w:val="auto"/>
          <w:kern w:val="2"/>
          <w:sz w:val="32"/>
        </w:rPr>
        <w:t>面向</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一带一路</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沿线国家</w:t>
      </w:r>
      <w:r>
        <w:rPr>
          <w:rFonts w:ascii="仿宋_GB2312" w:hAnsi="仿宋_GB2312" w:eastAsia="仿宋_GB2312" w:cs="仿宋_GB2312"/>
          <w:color w:val="auto"/>
          <w:kern w:val="2"/>
          <w:sz w:val="32"/>
        </w:rPr>
        <w:t>新能源装备和配套出口基地</w:t>
      </w:r>
      <w:r>
        <w:rPr>
          <w:rFonts w:hint="eastAsia" w:ascii="仿宋_GB2312" w:hAnsi="仿宋_GB2312" w:eastAsia="仿宋_GB2312" w:cs="仿宋_GB2312"/>
          <w:color w:val="auto"/>
          <w:kern w:val="2"/>
          <w:sz w:val="32"/>
        </w:rPr>
        <w:t>、</w:t>
      </w:r>
      <w:r>
        <w:rPr>
          <w:rFonts w:ascii="仿宋_GB2312" w:hAnsi="仿宋_GB2312" w:eastAsia="仿宋_GB2312" w:cs="仿宋_GB2312"/>
          <w:color w:val="auto"/>
          <w:kern w:val="2"/>
          <w:sz w:val="32"/>
        </w:rPr>
        <w:t>国家核产业</w:t>
      </w:r>
      <w:r>
        <w:rPr>
          <w:rFonts w:hint="eastAsia" w:ascii="仿宋_GB2312" w:hAnsi="仿宋_GB2312" w:eastAsia="仿宋_GB2312" w:cs="仿宋_GB2312"/>
          <w:color w:val="auto"/>
          <w:kern w:val="2"/>
          <w:sz w:val="32"/>
        </w:rPr>
        <w:t>基地和全国重要的航天产业创新发展示范区。</w:t>
      </w:r>
    </w:p>
    <w:p>
      <w:pPr>
        <w:pStyle w:val="18"/>
        <w:keepLines w:val="0"/>
        <w:pageBreakBefore w:val="0"/>
        <w:kinsoku/>
        <w:wordWrap/>
        <w:overflowPunct/>
        <w:topLinePunct w:val="0"/>
        <w:bidi w:val="0"/>
        <w:spacing w:before="0" w:beforeAutospacing="0" w:after="0" w:afterAutospacing="0" w:line="560" w:lineRule="exact"/>
        <w:ind w:firstLine="643"/>
        <w:jc w:val="both"/>
        <w:textAlignment w:val="auto"/>
        <w:rPr>
          <w:rFonts w:ascii="仿宋_GB2312" w:hAnsi="仿宋_GB2312" w:eastAsia="仿宋_GB2312" w:cs="仿宋_GB2312"/>
          <w:color w:val="auto"/>
          <w:kern w:val="2"/>
          <w:sz w:val="32"/>
        </w:rPr>
      </w:pPr>
      <w:r>
        <w:rPr>
          <w:rFonts w:hint="eastAsia" w:ascii="仿宋_GB2312" w:hAnsi="仿宋_GB2312" w:eastAsia="仿宋_GB2312" w:cs="仿宋_GB2312"/>
          <w:b/>
          <w:bCs/>
          <w:color w:val="auto"/>
          <w:kern w:val="2"/>
          <w:sz w:val="32"/>
        </w:rPr>
        <w:t>2.新能源</w:t>
      </w:r>
      <w:r>
        <w:rPr>
          <w:rFonts w:ascii="仿宋_GB2312" w:hAnsi="仿宋_GB2312" w:eastAsia="仿宋_GB2312" w:cs="仿宋_GB2312"/>
          <w:b/>
          <w:bCs/>
          <w:color w:val="auto"/>
          <w:kern w:val="2"/>
          <w:sz w:val="32"/>
        </w:rPr>
        <w:t>与高载能产业</w:t>
      </w:r>
      <w:r>
        <w:rPr>
          <w:rFonts w:hint="eastAsia" w:ascii="仿宋_GB2312" w:hAnsi="仿宋_GB2312" w:eastAsia="仿宋_GB2312" w:cs="仿宋_GB2312"/>
          <w:b/>
          <w:bCs/>
          <w:color w:val="auto"/>
          <w:kern w:val="2"/>
          <w:sz w:val="32"/>
        </w:rPr>
        <w:t>协同</w:t>
      </w:r>
      <w:r>
        <w:rPr>
          <w:rFonts w:ascii="仿宋_GB2312" w:hAnsi="仿宋_GB2312" w:eastAsia="仿宋_GB2312" w:cs="仿宋_GB2312"/>
          <w:b/>
          <w:bCs/>
          <w:color w:val="auto"/>
          <w:kern w:val="2"/>
          <w:sz w:val="32"/>
        </w:rPr>
        <w:t>区</w:t>
      </w:r>
      <w:r>
        <w:rPr>
          <w:rFonts w:hint="eastAsia" w:ascii="仿宋_GB2312" w:hAnsi="仿宋_GB2312" w:eastAsia="仿宋_GB2312" w:cs="仿宋_GB2312"/>
          <w:b/>
          <w:bCs/>
          <w:color w:val="auto"/>
          <w:kern w:val="2"/>
          <w:sz w:val="32"/>
        </w:rPr>
        <w:t>。</w:t>
      </w:r>
      <w:r>
        <w:rPr>
          <w:rFonts w:hint="eastAsia" w:ascii="仿宋_GB2312" w:hAnsi="仿宋_GB2312" w:eastAsia="仿宋_GB2312" w:cs="仿宋_GB2312"/>
          <w:color w:val="auto"/>
          <w:kern w:val="2"/>
          <w:sz w:val="32"/>
        </w:rPr>
        <w:t>以</w:t>
      </w:r>
      <w:r>
        <w:rPr>
          <w:rFonts w:ascii="仿宋_GB2312" w:hAnsi="仿宋_GB2312" w:eastAsia="仿宋_GB2312" w:cs="仿宋_GB2312"/>
          <w:color w:val="auto"/>
          <w:kern w:val="2"/>
          <w:sz w:val="32"/>
        </w:rPr>
        <w:t>玉门经济技术开发区</w:t>
      </w:r>
      <w:r>
        <w:rPr>
          <w:rFonts w:hint="eastAsia" w:ascii="仿宋_GB2312" w:hAnsi="仿宋_GB2312" w:eastAsia="仿宋_GB2312" w:cs="仿宋_GB2312"/>
          <w:color w:val="auto"/>
          <w:kern w:val="2"/>
          <w:sz w:val="32"/>
        </w:rPr>
        <w:t>、</w:t>
      </w:r>
      <w:r>
        <w:rPr>
          <w:rFonts w:ascii="仿宋_GB2312" w:hAnsi="仿宋_GB2312" w:eastAsia="仿宋_GB2312" w:cs="仿宋_GB2312"/>
          <w:color w:val="auto"/>
          <w:kern w:val="2"/>
          <w:sz w:val="32"/>
        </w:rPr>
        <w:t>瓜州工业集中区和金塔工业集中区北河湾循环经济产业园</w:t>
      </w:r>
      <w:r>
        <w:rPr>
          <w:rFonts w:hint="eastAsia" w:ascii="仿宋_GB2312" w:hAnsi="仿宋_GB2312" w:eastAsia="仿宋_GB2312" w:cs="仿宋_GB2312"/>
          <w:color w:val="auto"/>
          <w:kern w:val="2"/>
          <w:sz w:val="32"/>
        </w:rPr>
        <w:t>为主，</w:t>
      </w:r>
      <w:r>
        <w:rPr>
          <w:rFonts w:ascii="仿宋_GB2312" w:hAnsi="仿宋_GB2312" w:eastAsia="仿宋_GB2312" w:cs="仿宋_GB2312"/>
          <w:color w:val="auto"/>
          <w:kern w:val="2"/>
          <w:sz w:val="32"/>
        </w:rPr>
        <w:t>依托丰富的清洁能源和</w:t>
      </w:r>
      <w:r>
        <w:rPr>
          <w:rFonts w:hint="eastAsia" w:ascii="仿宋_GB2312" w:hAnsi="仿宋_GB2312" w:eastAsia="仿宋_GB2312" w:cs="仿宋_GB2312"/>
          <w:color w:val="auto"/>
          <w:kern w:val="2"/>
          <w:sz w:val="32"/>
        </w:rPr>
        <w:t>扎实</w:t>
      </w:r>
      <w:r>
        <w:rPr>
          <w:rFonts w:ascii="仿宋_GB2312" w:hAnsi="仿宋_GB2312" w:eastAsia="仿宋_GB2312" w:cs="仿宋_GB2312"/>
          <w:color w:val="auto"/>
          <w:kern w:val="2"/>
          <w:sz w:val="32"/>
        </w:rPr>
        <w:t>的产业</w:t>
      </w:r>
      <w:r>
        <w:rPr>
          <w:rFonts w:hint="eastAsia" w:ascii="仿宋_GB2312" w:hAnsi="仿宋_GB2312" w:eastAsia="仿宋_GB2312" w:cs="仿宋_GB2312"/>
          <w:color w:val="auto"/>
          <w:kern w:val="2"/>
          <w:sz w:val="32"/>
        </w:rPr>
        <w:t>基础</w:t>
      </w:r>
      <w:r>
        <w:rPr>
          <w:rFonts w:ascii="仿宋_GB2312" w:hAnsi="仿宋_GB2312" w:eastAsia="仿宋_GB2312" w:cs="仿宋_GB2312"/>
          <w:color w:val="auto"/>
          <w:kern w:val="2"/>
          <w:sz w:val="32"/>
        </w:rPr>
        <w:t>，重点</w:t>
      </w:r>
      <w:r>
        <w:rPr>
          <w:rFonts w:hint="eastAsia" w:ascii="仿宋_GB2312" w:hAnsi="仿宋_GB2312" w:eastAsia="仿宋_GB2312" w:cs="仿宋_GB2312"/>
          <w:color w:val="auto"/>
          <w:kern w:val="2"/>
          <w:sz w:val="32"/>
        </w:rPr>
        <w:t>承接</w:t>
      </w:r>
      <w:r>
        <w:rPr>
          <w:rFonts w:ascii="仿宋_GB2312" w:hAnsi="仿宋_GB2312" w:eastAsia="仿宋_GB2312" w:cs="仿宋_GB2312"/>
          <w:color w:val="auto"/>
          <w:kern w:val="2"/>
          <w:sz w:val="32"/>
        </w:rPr>
        <w:t>新能源耦合绿色化工</w:t>
      </w:r>
      <w:r>
        <w:rPr>
          <w:rFonts w:hint="eastAsia" w:ascii="仿宋_GB2312" w:hAnsi="仿宋_GB2312" w:eastAsia="仿宋_GB2312" w:cs="仿宋_GB2312"/>
          <w:color w:val="auto"/>
          <w:kern w:val="2"/>
          <w:sz w:val="32"/>
        </w:rPr>
        <w:t>、</w:t>
      </w:r>
      <w:r>
        <w:rPr>
          <w:rFonts w:ascii="仿宋_GB2312" w:hAnsi="仿宋_GB2312" w:eastAsia="仿宋_GB2312" w:cs="仿宋_GB2312"/>
          <w:color w:val="auto"/>
          <w:kern w:val="2"/>
          <w:sz w:val="32"/>
        </w:rPr>
        <w:t>新材料等以绿电消纳为主的高载能产业，打造全市</w:t>
      </w:r>
      <w:r>
        <w:rPr>
          <w:rFonts w:hint="eastAsia" w:ascii="仿宋_GB2312" w:hAnsi="仿宋_GB2312" w:eastAsia="仿宋_GB2312" w:cs="仿宋_GB2312"/>
          <w:color w:val="auto"/>
          <w:kern w:val="2"/>
          <w:sz w:val="32"/>
        </w:rPr>
        <w:t>产业规模化、集群化发展的主战场和</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源网荷储</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一体化发展的示范样板。</w:t>
      </w:r>
    </w:p>
    <w:p>
      <w:pPr>
        <w:pStyle w:val="18"/>
        <w:keepLines w:val="0"/>
        <w:pageBreakBefore w:val="0"/>
        <w:kinsoku/>
        <w:wordWrap/>
        <w:overflowPunct/>
        <w:topLinePunct w:val="0"/>
        <w:bidi w:val="0"/>
        <w:spacing w:before="0" w:beforeAutospacing="0" w:after="0" w:afterAutospacing="0" w:line="560" w:lineRule="exact"/>
        <w:ind w:firstLine="643"/>
        <w:jc w:val="both"/>
        <w:textAlignment w:val="auto"/>
        <w:rPr>
          <w:rFonts w:ascii="仿宋_GB2312" w:hAnsi="仿宋_GB2312" w:eastAsia="仿宋_GB2312" w:cs="仿宋_GB2312"/>
          <w:color w:val="auto"/>
          <w:kern w:val="2"/>
          <w:sz w:val="32"/>
        </w:rPr>
      </w:pPr>
      <w:r>
        <w:rPr>
          <w:rFonts w:hint="eastAsia" w:ascii="仿宋_GB2312" w:hAnsi="仿宋_GB2312" w:eastAsia="仿宋_GB2312" w:cs="仿宋_GB2312"/>
          <w:b/>
          <w:bCs/>
          <w:color w:val="auto"/>
          <w:kern w:val="2"/>
          <w:sz w:val="32"/>
        </w:rPr>
        <w:t>3.资源综合利用与循环经济协同区。</w:t>
      </w:r>
      <w:r>
        <w:rPr>
          <w:rFonts w:hint="eastAsia" w:ascii="仿宋_GB2312" w:hAnsi="仿宋_GB2312" w:eastAsia="仿宋_GB2312" w:cs="仿宋_GB2312"/>
          <w:color w:val="auto"/>
          <w:kern w:val="2"/>
          <w:sz w:val="32"/>
        </w:rPr>
        <w:t>以肃北马鬃山经开区和瓜州工业集中区为重点，联动敦煌循环经济产业园、阿克塞工业园区，依托有利的区位优势、丰富的矿产资源和能源基础，重点承担特色矿产资源绿色开发和精深加工、</w:t>
      </w:r>
      <w:r>
        <w:rPr>
          <w:rFonts w:hint="eastAsia" w:ascii="仿宋_GB2312" w:hAnsi="仿宋_GB2312" w:eastAsia="仿宋_GB2312" w:cs="仿宋_GB2312"/>
          <w:color w:val="auto"/>
          <w:kern w:val="2"/>
          <w:sz w:val="32"/>
          <w:lang w:val="en-US" w:eastAsia="zh-CN"/>
        </w:rPr>
        <w:t>工业固废资源利用、</w:t>
      </w:r>
      <w:r>
        <w:rPr>
          <w:rFonts w:hint="eastAsia" w:ascii="仿宋_GB2312" w:hAnsi="仿宋_GB2312" w:eastAsia="仿宋_GB2312" w:cs="仿宋_GB2312"/>
          <w:color w:val="auto"/>
          <w:kern w:val="2"/>
          <w:sz w:val="32"/>
        </w:rPr>
        <w:t>生态工业与综合服务等核心功能，打造绿色矿业和循环经济发展高地。</w:t>
      </w:r>
    </w:p>
    <w:p>
      <w:pPr>
        <w:pStyle w:val="18"/>
        <w:keepLines w:val="0"/>
        <w:pageBreakBefore w:val="0"/>
        <w:kinsoku/>
        <w:wordWrap/>
        <w:overflowPunct/>
        <w:topLinePunct w:val="0"/>
        <w:bidi w:val="0"/>
        <w:spacing w:before="0" w:beforeAutospacing="0" w:after="0" w:afterAutospacing="0" w:line="560" w:lineRule="exact"/>
        <w:ind w:firstLine="0" w:firstLineChars="0"/>
        <w:jc w:val="center"/>
        <w:textAlignment w:val="auto"/>
        <w:rPr>
          <w:rFonts w:ascii="楷体_GB2312" w:hAnsi="楷体_GB2312" w:eastAsia="楷体_GB2312" w:cs="楷体_GB2312"/>
          <w:b/>
          <w:color w:val="auto"/>
          <w:sz w:val="28"/>
          <w:szCs w:val="28"/>
        </w:rPr>
      </w:pPr>
      <w:r>
        <w:rPr>
          <w:rFonts w:hint="eastAsia"/>
          <w:color w:val="auto"/>
        </w:rPr>
        <w:drawing>
          <wp:anchor distT="0" distB="0" distL="0" distR="0" simplePos="0" relativeHeight="251659264" behindDoc="0" locked="0" layoutInCell="1" allowOverlap="1">
            <wp:simplePos x="0" y="0"/>
            <wp:positionH relativeFrom="column">
              <wp:posOffset>19050</wp:posOffset>
            </wp:positionH>
            <wp:positionV relativeFrom="paragraph">
              <wp:posOffset>189865</wp:posOffset>
            </wp:positionV>
            <wp:extent cx="5697220" cy="3632835"/>
            <wp:effectExtent l="0" t="0" r="5080" b="12065"/>
            <wp:wrapNone/>
            <wp:docPr id="381611844"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1611844" name="图片 1"/>
                    <pic:cNvPicPr>
                      <a:picLocks noChangeAspect="true"/>
                    </pic:cNvPicPr>
                  </pic:nvPicPr>
                  <pic:blipFill>
                    <a:blip r:embed="rId13" cstate="print">
                      <a:extLst>
                        <a:ext uri="{28A0092B-C50C-407E-A947-70E740481C1C}">
                          <a14:useLocalDpi xmlns:a14="http://schemas.microsoft.com/office/drawing/2010/main" val="false"/>
                        </a:ext>
                      </a:extLst>
                    </a:blip>
                    <a:srcRect l="2807" t="3489" r="2595" b="11212"/>
                    <a:stretch>
                      <a:fillRect/>
                    </a:stretch>
                  </pic:blipFill>
                  <pic:spPr>
                    <a:xfrm>
                      <a:off x="0" y="0"/>
                      <a:ext cx="5697220" cy="3632835"/>
                    </a:xfrm>
                    <a:prstGeom prst="rect">
                      <a:avLst/>
                    </a:prstGeom>
                    <a:ln>
                      <a:noFill/>
                    </a:ln>
                  </pic:spPr>
                </pic:pic>
              </a:graphicData>
            </a:graphic>
          </wp:anchor>
        </w:drawing>
      </w:r>
    </w:p>
    <w:p>
      <w:pPr>
        <w:pStyle w:val="18"/>
        <w:keepLines w:val="0"/>
        <w:pageBreakBefore w:val="0"/>
        <w:kinsoku/>
        <w:wordWrap/>
        <w:overflowPunct/>
        <w:topLinePunct w:val="0"/>
        <w:bidi w:val="0"/>
        <w:spacing w:before="0" w:beforeAutospacing="0" w:after="0" w:afterAutospacing="0" w:line="560" w:lineRule="exact"/>
        <w:ind w:firstLine="562"/>
        <w:jc w:val="center"/>
        <w:textAlignment w:val="auto"/>
        <w:rPr>
          <w:rFonts w:ascii="楷体_GB2312" w:hAnsi="楷体_GB2312" w:eastAsia="楷体_GB2312" w:cs="楷体_GB2312"/>
          <w:b/>
          <w:color w:val="auto"/>
          <w:sz w:val="28"/>
          <w:szCs w:val="28"/>
        </w:rPr>
      </w:pPr>
    </w:p>
    <w:p>
      <w:pPr>
        <w:pStyle w:val="18"/>
        <w:keepLines w:val="0"/>
        <w:pageBreakBefore w:val="0"/>
        <w:kinsoku/>
        <w:wordWrap/>
        <w:overflowPunct/>
        <w:topLinePunct w:val="0"/>
        <w:bidi w:val="0"/>
        <w:spacing w:before="0" w:beforeAutospacing="0" w:after="0" w:afterAutospacing="0" w:line="560" w:lineRule="exact"/>
        <w:ind w:firstLine="562"/>
        <w:jc w:val="center"/>
        <w:textAlignment w:val="auto"/>
        <w:rPr>
          <w:rFonts w:ascii="楷体_GB2312" w:hAnsi="楷体_GB2312" w:eastAsia="楷体_GB2312" w:cs="楷体_GB2312"/>
          <w:b/>
          <w:color w:val="auto"/>
          <w:sz w:val="28"/>
          <w:szCs w:val="28"/>
        </w:rPr>
      </w:pPr>
    </w:p>
    <w:p>
      <w:pPr>
        <w:pStyle w:val="18"/>
        <w:keepLines w:val="0"/>
        <w:pageBreakBefore w:val="0"/>
        <w:kinsoku/>
        <w:wordWrap/>
        <w:overflowPunct/>
        <w:topLinePunct w:val="0"/>
        <w:bidi w:val="0"/>
        <w:spacing w:before="0" w:beforeAutospacing="0" w:after="0" w:afterAutospacing="0" w:line="560" w:lineRule="exact"/>
        <w:ind w:firstLine="562"/>
        <w:jc w:val="center"/>
        <w:textAlignment w:val="auto"/>
        <w:rPr>
          <w:rFonts w:ascii="楷体_GB2312" w:hAnsi="楷体_GB2312" w:eastAsia="楷体_GB2312" w:cs="楷体_GB2312"/>
          <w:b/>
          <w:color w:val="auto"/>
          <w:sz w:val="28"/>
          <w:szCs w:val="28"/>
        </w:rPr>
      </w:pPr>
    </w:p>
    <w:p>
      <w:pPr>
        <w:pStyle w:val="18"/>
        <w:keepLines w:val="0"/>
        <w:pageBreakBefore w:val="0"/>
        <w:kinsoku/>
        <w:wordWrap/>
        <w:overflowPunct/>
        <w:topLinePunct w:val="0"/>
        <w:bidi w:val="0"/>
        <w:spacing w:before="0" w:beforeAutospacing="0" w:after="0" w:afterAutospacing="0" w:line="560" w:lineRule="exact"/>
        <w:ind w:firstLine="562"/>
        <w:jc w:val="center"/>
        <w:textAlignment w:val="auto"/>
        <w:rPr>
          <w:rFonts w:ascii="楷体_GB2312" w:hAnsi="楷体_GB2312" w:eastAsia="楷体_GB2312" w:cs="楷体_GB2312"/>
          <w:b/>
          <w:color w:val="auto"/>
          <w:sz w:val="28"/>
          <w:szCs w:val="28"/>
        </w:rPr>
      </w:pPr>
    </w:p>
    <w:p>
      <w:pPr>
        <w:pStyle w:val="18"/>
        <w:keepLines w:val="0"/>
        <w:pageBreakBefore w:val="0"/>
        <w:kinsoku/>
        <w:wordWrap/>
        <w:overflowPunct/>
        <w:topLinePunct w:val="0"/>
        <w:bidi w:val="0"/>
        <w:spacing w:before="0" w:beforeAutospacing="0" w:after="0" w:afterAutospacing="0" w:line="560" w:lineRule="exact"/>
        <w:ind w:firstLine="562"/>
        <w:jc w:val="center"/>
        <w:textAlignment w:val="auto"/>
        <w:rPr>
          <w:rFonts w:ascii="楷体_GB2312" w:hAnsi="楷体_GB2312" w:eastAsia="楷体_GB2312" w:cs="楷体_GB2312"/>
          <w:b/>
          <w:color w:val="auto"/>
          <w:sz w:val="28"/>
          <w:szCs w:val="28"/>
        </w:rPr>
      </w:pPr>
    </w:p>
    <w:p>
      <w:pPr>
        <w:pStyle w:val="18"/>
        <w:keepLines w:val="0"/>
        <w:pageBreakBefore w:val="0"/>
        <w:kinsoku/>
        <w:wordWrap/>
        <w:overflowPunct/>
        <w:topLinePunct w:val="0"/>
        <w:bidi w:val="0"/>
        <w:spacing w:before="0" w:beforeAutospacing="0" w:after="0" w:afterAutospacing="0" w:line="560" w:lineRule="exact"/>
        <w:ind w:firstLine="562"/>
        <w:jc w:val="center"/>
        <w:textAlignment w:val="auto"/>
        <w:rPr>
          <w:rFonts w:ascii="楷体_GB2312" w:hAnsi="楷体_GB2312" w:eastAsia="楷体_GB2312" w:cs="楷体_GB2312"/>
          <w:b/>
          <w:color w:val="auto"/>
          <w:sz w:val="28"/>
          <w:szCs w:val="28"/>
        </w:rPr>
      </w:pPr>
    </w:p>
    <w:p>
      <w:pPr>
        <w:pStyle w:val="18"/>
        <w:keepLines w:val="0"/>
        <w:pageBreakBefore w:val="0"/>
        <w:kinsoku/>
        <w:wordWrap/>
        <w:overflowPunct/>
        <w:topLinePunct w:val="0"/>
        <w:bidi w:val="0"/>
        <w:spacing w:before="0" w:beforeAutospacing="0" w:after="0" w:afterAutospacing="0" w:line="560" w:lineRule="exact"/>
        <w:ind w:firstLine="562"/>
        <w:jc w:val="center"/>
        <w:textAlignment w:val="auto"/>
        <w:rPr>
          <w:rFonts w:ascii="楷体_GB2312" w:hAnsi="楷体_GB2312" w:eastAsia="楷体_GB2312" w:cs="楷体_GB2312"/>
          <w:b/>
          <w:color w:val="auto"/>
          <w:sz w:val="28"/>
          <w:szCs w:val="28"/>
        </w:rPr>
      </w:pPr>
    </w:p>
    <w:p>
      <w:pPr>
        <w:pStyle w:val="18"/>
        <w:keepLines w:val="0"/>
        <w:pageBreakBefore w:val="0"/>
        <w:kinsoku/>
        <w:wordWrap/>
        <w:overflowPunct/>
        <w:topLinePunct w:val="0"/>
        <w:bidi w:val="0"/>
        <w:spacing w:before="0" w:beforeAutospacing="0" w:after="0" w:afterAutospacing="0" w:line="560" w:lineRule="exact"/>
        <w:ind w:firstLine="562"/>
        <w:jc w:val="center"/>
        <w:textAlignment w:val="auto"/>
        <w:rPr>
          <w:rFonts w:ascii="楷体_GB2312" w:hAnsi="楷体_GB2312" w:eastAsia="楷体_GB2312" w:cs="楷体_GB2312"/>
          <w:b/>
          <w:color w:val="auto"/>
          <w:sz w:val="28"/>
          <w:szCs w:val="28"/>
        </w:rPr>
      </w:pPr>
    </w:p>
    <w:p>
      <w:pPr>
        <w:pStyle w:val="18"/>
        <w:keepLines w:val="0"/>
        <w:pageBreakBefore w:val="0"/>
        <w:kinsoku/>
        <w:wordWrap/>
        <w:overflowPunct/>
        <w:topLinePunct w:val="0"/>
        <w:bidi w:val="0"/>
        <w:spacing w:before="0" w:beforeAutospacing="0" w:after="0" w:afterAutospacing="0" w:line="560" w:lineRule="exact"/>
        <w:ind w:firstLine="562"/>
        <w:jc w:val="center"/>
        <w:textAlignment w:val="auto"/>
        <w:rPr>
          <w:rFonts w:ascii="楷体_GB2312" w:hAnsi="楷体_GB2312" w:eastAsia="楷体_GB2312" w:cs="楷体_GB2312"/>
          <w:b/>
          <w:color w:val="auto"/>
          <w:sz w:val="28"/>
          <w:szCs w:val="28"/>
        </w:rPr>
      </w:pPr>
    </w:p>
    <w:p>
      <w:pPr>
        <w:pStyle w:val="18"/>
        <w:keepLines w:val="0"/>
        <w:pageBreakBefore w:val="0"/>
        <w:kinsoku/>
        <w:wordWrap/>
        <w:overflowPunct/>
        <w:topLinePunct w:val="0"/>
        <w:bidi w:val="0"/>
        <w:spacing w:before="0" w:beforeAutospacing="0" w:after="0" w:afterAutospacing="0" w:line="560" w:lineRule="exact"/>
        <w:ind w:left="0" w:leftChars="0" w:firstLine="0" w:firstLineChars="0"/>
        <w:jc w:val="both"/>
        <w:textAlignment w:val="auto"/>
        <w:rPr>
          <w:rFonts w:hint="eastAsia" w:ascii="楷体_GB2312" w:hAnsi="楷体_GB2312" w:eastAsia="楷体_GB2312" w:cs="楷体_GB2312"/>
          <w:b/>
          <w:color w:val="auto"/>
          <w:sz w:val="28"/>
          <w:szCs w:val="28"/>
        </w:rPr>
      </w:pPr>
    </w:p>
    <w:p>
      <w:pPr>
        <w:pStyle w:val="18"/>
        <w:keepLines w:val="0"/>
        <w:pageBreakBefore w:val="0"/>
        <w:kinsoku/>
        <w:wordWrap/>
        <w:overflowPunct/>
        <w:topLinePunct w:val="0"/>
        <w:bidi w:val="0"/>
        <w:spacing w:before="0" w:beforeAutospacing="0" w:after="0" w:afterAutospacing="0" w:line="560" w:lineRule="exact"/>
        <w:ind w:left="0" w:leftChars="0" w:firstLine="0" w:firstLineChars="0"/>
        <w:jc w:val="center"/>
        <w:textAlignment w:val="auto"/>
        <w:rPr>
          <w:rFonts w:ascii="楷体_GB2312" w:hAnsi="楷体_GB2312" w:eastAsia="楷体_GB2312" w:cs="楷体_GB2312"/>
          <w:b/>
          <w:color w:val="auto"/>
          <w:sz w:val="28"/>
          <w:szCs w:val="28"/>
        </w:rPr>
      </w:pPr>
      <w:r>
        <w:rPr>
          <w:rFonts w:hint="eastAsia" w:ascii="楷体_GB2312" w:hAnsi="楷体_GB2312" w:eastAsia="楷体_GB2312" w:cs="楷体_GB2312"/>
          <w:b/>
          <w:color w:val="auto"/>
          <w:sz w:val="28"/>
          <w:szCs w:val="28"/>
        </w:rPr>
        <w:t>酒泉市工业空间布局示意图</w:t>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32" w:name="_Toc315456926"/>
      <w:r>
        <w:rPr>
          <w:rFonts w:hint="eastAsia" w:ascii="楷体_GB2312" w:hAnsi="楷体_GB2312" w:eastAsia="楷体_GB2312" w:cs="楷体_GB2312"/>
          <w:color w:val="auto"/>
        </w:rPr>
        <w:t>二、</w:t>
      </w:r>
      <w:r>
        <w:rPr>
          <w:rFonts w:hint="default" w:ascii="楷体_GB2312" w:hAnsi="楷体_GB2312" w:eastAsia="楷体_GB2312" w:cs="楷体_GB2312"/>
          <w:color w:val="auto"/>
          <w:lang w:val="en"/>
        </w:rPr>
        <w:t>“</w:t>
      </w:r>
      <w:r>
        <w:rPr>
          <w:rFonts w:hint="eastAsia" w:ascii="楷体_GB2312" w:hAnsi="楷体_GB2312" w:eastAsia="楷体_GB2312" w:cs="楷体_GB2312"/>
          <w:color w:val="auto"/>
        </w:rPr>
        <w:t>多点</w:t>
      </w:r>
      <w:r>
        <w:rPr>
          <w:rFonts w:hint="default" w:ascii="楷体_GB2312" w:hAnsi="楷体_GB2312" w:eastAsia="楷体_GB2312" w:cs="楷体_GB2312"/>
          <w:color w:val="auto"/>
          <w:lang w:val="en"/>
        </w:rPr>
        <w:t>”</w:t>
      </w:r>
      <w:r>
        <w:rPr>
          <w:rFonts w:hint="eastAsia" w:ascii="楷体_GB2312" w:hAnsi="楷体_GB2312" w:eastAsia="楷体_GB2312" w:cs="楷体_GB2312"/>
          <w:color w:val="auto"/>
        </w:rPr>
        <w:t>联动</w:t>
      </w:r>
      <w:bookmarkEnd w:id="31"/>
      <w:bookmarkEnd w:id="32"/>
    </w:p>
    <w:p>
      <w:pPr>
        <w:keepLines w:val="0"/>
        <w:pageBreakBefore w:val="0"/>
        <w:kinsoku/>
        <w:wordWrap/>
        <w:overflowPunct/>
        <w:topLinePunct w:val="0"/>
        <w:bidi w:val="0"/>
        <w:spacing w:line="560" w:lineRule="exact"/>
        <w:ind w:firstLine="640"/>
        <w:jc w:val="left"/>
        <w:textAlignment w:val="auto"/>
        <w:rPr>
          <w:rFonts w:ascii="仿宋_GB2312" w:hAnsi="仿宋_GB2312" w:eastAsia="仿宋_GB2312" w:cs="仿宋_GB2312"/>
          <w:color w:val="auto"/>
        </w:rPr>
      </w:pPr>
      <w:r>
        <w:rPr>
          <w:rFonts w:hint="eastAsia" w:ascii="仿宋_GB2312" w:hAnsi="仿宋_GB2312" w:eastAsia="仿宋_GB2312" w:cs="仿宋_GB2312"/>
          <w:color w:val="auto"/>
        </w:rPr>
        <w:t>深入实施</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强县域</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行动，坚持酒泉经开区、各县（市、区）工业园区（集中区）多点联动的发展模式，推动产业从</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单点突破</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向</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聚链成群</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跃升。</w:t>
      </w:r>
    </w:p>
    <w:p>
      <w:pPr>
        <w:keepLines w:val="0"/>
        <w:pageBreakBefore w:val="0"/>
        <w:kinsoku/>
        <w:wordWrap/>
        <w:overflowPunct/>
        <w:topLinePunct w:val="0"/>
        <w:bidi w:val="0"/>
        <w:spacing w:line="560" w:lineRule="exact"/>
        <w:ind w:firstLine="643"/>
        <w:jc w:val="left"/>
        <w:textAlignment w:val="auto"/>
        <w:rPr>
          <w:rFonts w:ascii="仿宋_GB2312" w:hAnsi="仿宋_GB2312" w:eastAsia="仿宋_GB2312" w:cs="仿宋_GB2312"/>
          <w:color w:val="auto"/>
        </w:rPr>
      </w:pPr>
      <w:r>
        <w:rPr>
          <w:rFonts w:hint="eastAsia" w:ascii="仿宋_GB2312" w:hAnsi="仿宋_GB2312" w:eastAsia="仿宋_GB2312" w:cs="仿宋_GB2312"/>
          <w:b/>
          <w:bCs/>
          <w:color w:val="auto"/>
        </w:rPr>
        <w:t>1.强化酒泉经开区和肃州区创新策源地功能，打造新质生产力核心载体。</w:t>
      </w:r>
      <w:r>
        <w:rPr>
          <w:rFonts w:hint="eastAsia" w:ascii="仿宋_GB2312" w:hAnsi="仿宋_GB2312" w:eastAsia="仿宋_GB2312" w:cs="仿宋_GB2312"/>
          <w:color w:val="auto"/>
        </w:rPr>
        <w:t>发挥酒泉经开区</w:t>
      </w:r>
      <w:r>
        <w:rPr>
          <w:rFonts w:ascii="仿宋_GB2312" w:hAnsi="仿宋_GB2312" w:eastAsia="仿宋_GB2312" w:cs="仿宋_GB2312"/>
          <w:color w:val="auto"/>
        </w:rPr>
        <w:t>西园</w:t>
      </w:r>
      <w:r>
        <w:rPr>
          <w:rFonts w:hint="eastAsia" w:ascii="仿宋_GB2312" w:hAnsi="仿宋_GB2312" w:eastAsia="仿宋_GB2312" w:cs="仿宋_GB2312"/>
          <w:color w:val="auto"/>
        </w:rPr>
        <w:t>重点布局风电装备、新材料、数字经济、生产性服务业等产业</w:t>
      </w:r>
      <w:r>
        <w:rPr>
          <w:rFonts w:ascii="仿宋_GB2312" w:hAnsi="仿宋_GB2312" w:eastAsia="仿宋_GB2312" w:cs="仿宋_GB2312"/>
          <w:color w:val="auto"/>
        </w:rPr>
        <w:t>;南园</w:t>
      </w:r>
      <w:r>
        <w:rPr>
          <w:rFonts w:hint="eastAsia" w:ascii="仿宋_GB2312" w:hAnsi="仿宋_GB2312" w:eastAsia="仿宋_GB2312" w:cs="仿宋_GB2312"/>
          <w:color w:val="auto"/>
        </w:rPr>
        <w:t>重点布局光伏装备、储能装备、现代物流等产业</w:t>
      </w:r>
      <w:r>
        <w:rPr>
          <w:rFonts w:ascii="仿宋_GB2312" w:hAnsi="仿宋_GB2312" w:eastAsia="仿宋_GB2312" w:cs="仿宋_GB2312"/>
          <w:color w:val="auto"/>
        </w:rPr>
        <w:t>;东园</w:t>
      </w:r>
      <w:r>
        <w:rPr>
          <w:rFonts w:hint="eastAsia" w:ascii="仿宋_GB2312" w:hAnsi="仿宋_GB2312" w:eastAsia="仿宋_GB2312" w:cs="仿宋_GB2312"/>
          <w:color w:val="auto"/>
        </w:rPr>
        <w:t>重点</w:t>
      </w:r>
      <w:r>
        <w:rPr>
          <w:rFonts w:ascii="仿宋_GB2312" w:hAnsi="仿宋_GB2312" w:eastAsia="仿宋_GB2312" w:cs="仿宋_GB2312"/>
          <w:color w:val="auto"/>
        </w:rPr>
        <w:t>布局</w:t>
      </w:r>
      <w:r>
        <w:rPr>
          <w:rFonts w:hint="eastAsia" w:ascii="仿宋_GB2312" w:hAnsi="仿宋_GB2312" w:eastAsia="仿宋_GB2312" w:cs="仿宋_GB2312"/>
          <w:color w:val="auto"/>
        </w:rPr>
        <w:t>氢能开发及利用、资源循环利用、新材料</w:t>
      </w:r>
      <w:r>
        <w:rPr>
          <w:rFonts w:hint="default" w:ascii="仿宋_GB2312" w:hAnsi="仿宋_GB2312" w:eastAsia="仿宋_GB2312" w:cs="仿宋_GB2312"/>
          <w:color w:val="auto"/>
          <w:lang w:val="en"/>
        </w:rPr>
        <w:t>、算电协同</w:t>
      </w:r>
      <w:r>
        <w:rPr>
          <w:rFonts w:hint="eastAsia" w:ascii="仿宋_GB2312" w:hAnsi="仿宋_GB2312" w:eastAsia="仿宋_GB2312" w:cs="仿宋_GB2312"/>
          <w:color w:val="auto"/>
        </w:rPr>
        <w:t>等绿色高载能产业。肃州区明沙窝产业园加快推进4×1000MW煤电项目，布局煤炭储运及余热综合利用、资源综合利用等项目，建设综合能源产业示范基地；农产品精深加工产业园重点布局发展蔬菜、林果等精深加工产业，打造</w:t>
      </w:r>
      <w:r>
        <w:rPr>
          <w:rFonts w:hint="eastAsia" w:ascii="仿宋_GB2312" w:hAnsi="仿宋_GB2312" w:eastAsia="仿宋_GB2312" w:cs="仿宋_GB2312"/>
          <w:color w:val="auto"/>
          <w:lang w:val="en-US" w:eastAsia="zh-CN"/>
        </w:rPr>
        <w:t>国家级</w:t>
      </w:r>
      <w:r>
        <w:rPr>
          <w:rFonts w:hint="eastAsia" w:ascii="仿宋_GB2312" w:hAnsi="仿宋_GB2312" w:eastAsia="仿宋_GB2312" w:cs="仿宋_GB2312"/>
          <w:color w:val="auto"/>
        </w:rPr>
        <w:t>农业高新技术产业示范区。</w:t>
      </w:r>
    </w:p>
    <w:p>
      <w:pPr>
        <w:pStyle w:val="18"/>
        <w:keepLines w:val="0"/>
        <w:pageBreakBefore w:val="0"/>
        <w:kinsoku/>
        <w:wordWrap/>
        <w:overflowPunct/>
        <w:topLinePunct w:val="0"/>
        <w:bidi w:val="0"/>
        <w:spacing w:before="0" w:beforeAutospacing="0" w:after="0" w:afterAutospacing="0" w:line="560" w:lineRule="exact"/>
        <w:ind w:firstLine="643"/>
        <w:jc w:val="both"/>
        <w:textAlignment w:val="auto"/>
        <w:rPr>
          <w:rFonts w:ascii="仿宋_GB2312" w:hAnsi="仿宋_GB2312" w:eastAsia="仿宋_GB2312" w:cs="仿宋_GB2312"/>
          <w:color w:val="auto"/>
          <w:kern w:val="2"/>
          <w:sz w:val="32"/>
        </w:rPr>
      </w:pPr>
      <w:r>
        <w:rPr>
          <w:rFonts w:ascii="仿宋_GB2312" w:hAnsi="仿宋_GB2312" w:eastAsia="仿宋_GB2312" w:cs="仿宋_GB2312"/>
          <w:b/>
          <w:bCs/>
          <w:color w:val="auto"/>
          <w:kern w:val="2"/>
          <w:sz w:val="32"/>
        </w:rPr>
        <w:t>2.夯实玉门经开区承载功能</w:t>
      </w:r>
      <w:r>
        <w:rPr>
          <w:rFonts w:hint="eastAsia" w:ascii="仿宋_GB2312" w:hAnsi="仿宋_GB2312" w:eastAsia="仿宋_GB2312" w:cs="仿宋_GB2312"/>
          <w:b/>
          <w:bCs/>
          <w:color w:val="auto"/>
          <w:kern w:val="2"/>
          <w:sz w:val="32"/>
        </w:rPr>
        <w:t>，</w:t>
      </w:r>
      <w:r>
        <w:rPr>
          <w:rFonts w:ascii="仿宋_GB2312" w:hAnsi="仿宋_GB2312" w:eastAsia="仿宋_GB2312" w:cs="仿宋_GB2312"/>
          <w:b/>
          <w:bCs/>
          <w:color w:val="auto"/>
          <w:kern w:val="2"/>
          <w:sz w:val="32"/>
        </w:rPr>
        <w:t>打造绿色化工与新材料产业高地。</w:t>
      </w:r>
      <w:r>
        <w:rPr>
          <w:rFonts w:hint="eastAsia" w:ascii="仿宋_GB2312" w:hAnsi="仿宋_GB2312" w:eastAsia="仿宋_GB2312" w:cs="仿宋_GB2312"/>
          <w:color w:val="auto"/>
          <w:kern w:val="2"/>
          <w:sz w:val="32"/>
        </w:rPr>
        <w:t>老市区化工工业园，重点布局绿氢制绿氨等清洁能源耦合、电子化学品、高分子材料等化工新材料项目，发展高端专用化学品产业，打造以含氟聚合物、含氟精细化学品、含氟新材料等为特色的氟化工产业集群。玉门东建化园区重点布局煤基新材料、精细化工、正负极材料、</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绿电+产业</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。玉门工业园重点布局以光伏、光热玻璃为重点的新能源装备制造产业。</w:t>
      </w:r>
    </w:p>
    <w:p>
      <w:pPr>
        <w:pStyle w:val="18"/>
        <w:keepLines w:val="0"/>
        <w:pageBreakBefore w:val="0"/>
        <w:kinsoku/>
        <w:wordWrap/>
        <w:overflowPunct/>
        <w:topLinePunct w:val="0"/>
        <w:bidi w:val="0"/>
        <w:spacing w:before="0" w:beforeAutospacing="0" w:after="0" w:afterAutospacing="0" w:line="560" w:lineRule="exact"/>
        <w:ind w:firstLine="643"/>
        <w:jc w:val="both"/>
        <w:textAlignment w:val="auto"/>
        <w:rPr>
          <w:rFonts w:ascii="仿宋_GB2312" w:hAnsi="仿宋_GB2312" w:eastAsia="仿宋_GB2312" w:cs="仿宋_GB2312"/>
          <w:color w:val="auto"/>
          <w:kern w:val="2"/>
          <w:sz w:val="32"/>
        </w:rPr>
      </w:pPr>
      <w:r>
        <w:rPr>
          <w:rFonts w:hint="eastAsia" w:ascii="仿宋_GB2312" w:hAnsi="仿宋_GB2312" w:eastAsia="仿宋_GB2312" w:cs="仿宋_GB2312"/>
          <w:b/>
          <w:bCs/>
          <w:color w:val="auto"/>
          <w:kern w:val="2"/>
          <w:sz w:val="32"/>
        </w:rPr>
        <w:t>3.聚焦金塔工业集中区军民融合优势，打造国家战略产业基地。</w:t>
      </w:r>
      <w:r>
        <w:rPr>
          <w:rFonts w:hint="eastAsia" w:ascii="仿宋_GB2312" w:hAnsi="仿宋_GB2312" w:eastAsia="仿宋_GB2312" w:cs="仿宋_GB2312"/>
          <w:color w:val="auto"/>
          <w:kern w:val="2"/>
          <w:sz w:val="32"/>
        </w:rPr>
        <w:t>酒泉核产业园重点保障国家重大项目，重点发展核关联装备（部件、装置）制造、放射性废物处置等产业，延伸发展同位素应用、核辐照加工等关联产业;酒泉航天产业园深度融入东风商业航天创新试验区建设，重点发展火箭零部件制造、卫星组装、火箭和卫星测试及数据应用、商业火箭发射服务等产业；金鑫工业园重点发展农产品加工、新型建材等产业；北河湾循环经济产业园聚焦精细化工与化工新材料，重点发展特种燃料和气体制备、可用于航天航空领域的高性能纤维、高端环保染料及功能性涂料、润滑油等化工新材料，以及为核关联产业和航天航空产业配套生产所需的化工原料。</w:t>
      </w:r>
    </w:p>
    <w:p>
      <w:pPr>
        <w:pStyle w:val="18"/>
        <w:keepLines w:val="0"/>
        <w:pageBreakBefore w:val="0"/>
        <w:kinsoku/>
        <w:wordWrap/>
        <w:overflowPunct/>
        <w:topLinePunct w:val="0"/>
        <w:bidi w:val="0"/>
        <w:spacing w:before="0" w:beforeAutospacing="0" w:after="0" w:afterAutospacing="0" w:line="560" w:lineRule="exact"/>
        <w:ind w:firstLine="643"/>
        <w:jc w:val="both"/>
        <w:textAlignment w:val="auto"/>
        <w:rPr>
          <w:rFonts w:ascii="仿宋_GB2312" w:hAnsi="仿宋_GB2312" w:eastAsia="仿宋_GB2312" w:cs="仿宋_GB2312"/>
          <w:color w:val="auto"/>
          <w:kern w:val="2"/>
          <w:sz w:val="32"/>
        </w:rPr>
      </w:pPr>
      <w:r>
        <w:rPr>
          <w:rFonts w:hint="eastAsia" w:ascii="仿宋_GB2312" w:hAnsi="仿宋_GB2312" w:eastAsia="仿宋_GB2312" w:cs="仿宋_GB2312"/>
          <w:b/>
          <w:bCs/>
          <w:color w:val="auto"/>
          <w:kern w:val="2"/>
          <w:sz w:val="32"/>
        </w:rPr>
        <w:t>4</w:t>
      </w:r>
      <w:r>
        <w:rPr>
          <w:rFonts w:ascii="仿宋_GB2312" w:hAnsi="仿宋_GB2312" w:eastAsia="仿宋_GB2312" w:cs="仿宋_GB2312"/>
          <w:b/>
          <w:bCs/>
          <w:color w:val="auto"/>
          <w:kern w:val="2"/>
          <w:sz w:val="32"/>
        </w:rPr>
        <w:t>.</w:t>
      </w:r>
      <w:r>
        <w:rPr>
          <w:rFonts w:hint="eastAsia" w:ascii="仿宋_GB2312" w:hAnsi="仿宋_GB2312" w:eastAsia="仿宋_GB2312" w:cs="仿宋_GB2312"/>
          <w:b/>
          <w:bCs/>
          <w:color w:val="auto"/>
          <w:kern w:val="2"/>
          <w:sz w:val="32"/>
        </w:rPr>
        <w:t>提升瓜州</w:t>
      </w:r>
      <w:r>
        <w:rPr>
          <w:rFonts w:ascii="仿宋_GB2312" w:hAnsi="仿宋_GB2312" w:eastAsia="仿宋_GB2312" w:cs="仿宋_GB2312"/>
          <w:b/>
          <w:bCs/>
          <w:color w:val="auto"/>
          <w:kern w:val="2"/>
          <w:sz w:val="32"/>
        </w:rPr>
        <w:t>工业集中区综合发展能级，打造</w:t>
      </w:r>
      <w:r>
        <w:rPr>
          <w:rFonts w:hint="default" w:ascii="仿宋_GB2312" w:hAnsi="仿宋_GB2312" w:eastAsia="仿宋_GB2312" w:cs="仿宋_GB2312"/>
          <w:b/>
          <w:bCs/>
          <w:color w:val="auto"/>
          <w:kern w:val="2"/>
          <w:sz w:val="32"/>
          <w:lang w:val="en"/>
        </w:rPr>
        <w:t>“</w:t>
      </w:r>
      <w:r>
        <w:rPr>
          <w:rFonts w:hint="eastAsia" w:ascii="仿宋_GB2312" w:hAnsi="仿宋_GB2312" w:eastAsia="仿宋_GB2312" w:cs="仿宋_GB2312"/>
          <w:b/>
          <w:bCs/>
          <w:color w:val="auto"/>
          <w:kern w:val="2"/>
          <w:sz w:val="32"/>
        </w:rPr>
        <w:t>绿电+高载能</w:t>
      </w:r>
      <w:r>
        <w:rPr>
          <w:rFonts w:hint="default" w:ascii="仿宋_GB2312" w:hAnsi="仿宋_GB2312" w:eastAsia="仿宋_GB2312" w:cs="仿宋_GB2312"/>
          <w:b/>
          <w:bCs/>
          <w:color w:val="auto"/>
          <w:kern w:val="2"/>
          <w:sz w:val="32"/>
          <w:lang w:val="en"/>
        </w:rPr>
        <w:t>”</w:t>
      </w:r>
      <w:r>
        <w:rPr>
          <w:rFonts w:ascii="仿宋_GB2312" w:hAnsi="仿宋_GB2312" w:eastAsia="仿宋_GB2312" w:cs="仿宋_GB2312"/>
          <w:b/>
          <w:bCs/>
          <w:color w:val="auto"/>
          <w:kern w:val="2"/>
          <w:sz w:val="32"/>
        </w:rPr>
        <w:t>产业高地。</w:t>
      </w:r>
      <w:r>
        <w:rPr>
          <w:rFonts w:ascii="仿宋_GB2312" w:hAnsi="仿宋_GB2312" w:eastAsia="仿宋_GB2312" w:cs="仿宋_GB2312"/>
          <w:color w:val="auto"/>
          <w:kern w:val="2"/>
          <w:sz w:val="32"/>
        </w:rPr>
        <w:t>柳沟煤化工产业园重点</w:t>
      </w:r>
      <w:r>
        <w:rPr>
          <w:rFonts w:hint="eastAsia" w:ascii="仿宋_GB2312" w:hAnsi="仿宋_GB2312" w:eastAsia="仿宋_GB2312" w:cs="仿宋_GB2312"/>
          <w:color w:val="auto"/>
          <w:kern w:val="2"/>
          <w:sz w:val="32"/>
        </w:rPr>
        <w:t>发展低阶</w:t>
      </w:r>
      <w:r>
        <w:rPr>
          <w:rFonts w:ascii="仿宋_GB2312" w:hAnsi="仿宋_GB2312" w:eastAsia="仿宋_GB2312" w:cs="仿宋_GB2312"/>
          <w:color w:val="auto"/>
          <w:kern w:val="2"/>
          <w:sz w:val="32"/>
        </w:rPr>
        <w:t>煤</w:t>
      </w:r>
      <w:r>
        <w:rPr>
          <w:rFonts w:hint="eastAsia" w:ascii="仿宋_GB2312" w:hAnsi="仿宋_GB2312" w:eastAsia="仿宋_GB2312" w:cs="仿宋_GB2312"/>
          <w:color w:val="auto"/>
          <w:kern w:val="2"/>
          <w:sz w:val="32"/>
        </w:rPr>
        <w:t>分级</w:t>
      </w:r>
      <w:r>
        <w:rPr>
          <w:rFonts w:ascii="仿宋_GB2312" w:hAnsi="仿宋_GB2312" w:eastAsia="仿宋_GB2312" w:cs="仿宋_GB2312"/>
          <w:color w:val="auto"/>
          <w:kern w:val="2"/>
          <w:sz w:val="32"/>
        </w:rPr>
        <w:t>分质利用，探索绿电</w:t>
      </w:r>
      <w:r>
        <w:rPr>
          <w:rFonts w:hint="eastAsia" w:ascii="仿宋_GB2312" w:hAnsi="仿宋_GB2312" w:eastAsia="仿宋_GB2312" w:cs="仿宋_GB2312"/>
          <w:color w:val="auto"/>
          <w:kern w:val="2"/>
          <w:sz w:val="32"/>
        </w:rPr>
        <w:t>、</w:t>
      </w:r>
      <w:r>
        <w:rPr>
          <w:rFonts w:ascii="仿宋_GB2312" w:hAnsi="仿宋_GB2312" w:eastAsia="仿宋_GB2312" w:cs="仿宋_GB2312"/>
          <w:color w:val="auto"/>
          <w:kern w:val="2"/>
          <w:sz w:val="32"/>
        </w:rPr>
        <w:t>绿氢</w:t>
      </w:r>
      <w:r>
        <w:rPr>
          <w:rFonts w:hint="eastAsia" w:ascii="仿宋_GB2312" w:hAnsi="仿宋_GB2312" w:eastAsia="仿宋_GB2312" w:cs="仿宋_GB2312"/>
          <w:color w:val="auto"/>
          <w:kern w:val="2"/>
          <w:sz w:val="32"/>
        </w:rPr>
        <w:t>耦合</w:t>
      </w:r>
      <w:r>
        <w:rPr>
          <w:rFonts w:ascii="仿宋_GB2312" w:hAnsi="仿宋_GB2312" w:eastAsia="仿宋_GB2312" w:cs="仿宋_GB2312"/>
          <w:color w:val="auto"/>
          <w:kern w:val="2"/>
          <w:sz w:val="32"/>
        </w:rPr>
        <w:t>生产绿色甲</w:t>
      </w:r>
      <w:r>
        <w:rPr>
          <w:rFonts w:hint="eastAsia" w:ascii="仿宋_GB2312" w:hAnsi="仿宋_GB2312" w:eastAsia="仿宋_GB2312" w:cs="仿宋_GB2312"/>
          <w:color w:val="auto"/>
          <w:kern w:val="2"/>
          <w:sz w:val="32"/>
        </w:rPr>
        <w:t>醇</w:t>
      </w:r>
      <w:r>
        <w:rPr>
          <w:rFonts w:ascii="仿宋_GB2312" w:hAnsi="仿宋_GB2312" w:eastAsia="仿宋_GB2312" w:cs="仿宋_GB2312"/>
          <w:color w:val="auto"/>
          <w:kern w:val="2"/>
          <w:sz w:val="32"/>
        </w:rPr>
        <w:t>、绿色合成氨的低碳发展路径;北大桥现代高载能产业园重点</w:t>
      </w:r>
      <w:r>
        <w:rPr>
          <w:rFonts w:hint="eastAsia" w:ascii="仿宋_GB2312" w:hAnsi="仿宋_GB2312" w:eastAsia="仿宋_GB2312" w:cs="仿宋_GB2312"/>
          <w:color w:val="auto"/>
          <w:kern w:val="2"/>
          <w:sz w:val="32"/>
        </w:rPr>
        <w:t>布局</w:t>
      </w:r>
      <w:r>
        <w:rPr>
          <w:rFonts w:ascii="仿宋_GB2312" w:hAnsi="仿宋_GB2312" w:eastAsia="仿宋_GB2312" w:cs="仿宋_GB2312"/>
          <w:color w:val="auto"/>
          <w:kern w:val="2"/>
          <w:sz w:val="32"/>
        </w:rPr>
        <w:t>以绿电消纳为主的硅及硅基</w:t>
      </w:r>
      <w:r>
        <w:rPr>
          <w:rFonts w:hint="eastAsia" w:ascii="仿宋_GB2312" w:hAnsi="仿宋_GB2312" w:eastAsia="仿宋_GB2312" w:cs="仿宋_GB2312"/>
          <w:color w:val="auto"/>
          <w:kern w:val="2"/>
          <w:sz w:val="32"/>
        </w:rPr>
        <w:t>、镁基</w:t>
      </w:r>
      <w:r>
        <w:rPr>
          <w:rFonts w:ascii="仿宋_GB2312" w:hAnsi="仿宋_GB2312" w:eastAsia="仿宋_GB2312" w:cs="仿宋_GB2312"/>
          <w:color w:val="auto"/>
          <w:kern w:val="2"/>
          <w:sz w:val="32"/>
        </w:rPr>
        <w:t>新材料产业。</w:t>
      </w:r>
    </w:p>
    <w:p>
      <w:pPr>
        <w:pStyle w:val="18"/>
        <w:keepLines w:val="0"/>
        <w:pageBreakBefore w:val="0"/>
        <w:kinsoku/>
        <w:wordWrap/>
        <w:overflowPunct/>
        <w:topLinePunct w:val="0"/>
        <w:bidi w:val="0"/>
        <w:spacing w:before="0" w:beforeAutospacing="0" w:after="0" w:afterAutospacing="0" w:line="560" w:lineRule="exact"/>
        <w:ind w:firstLine="643"/>
        <w:jc w:val="both"/>
        <w:textAlignment w:val="auto"/>
        <w:rPr>
          <w:rFonts w:ascii="仿宋_GB2312" w:hAnsi="仿宋_GB2312" w:eastAsia="仿宋_GB2312" w:cs="仿宋_GB2312"/>
          <w:color w:val="auto"/>
          <w:kern w:val="2"/>
          <w:sz w:val="32"/>
        </w:rPr>
      </w:pPr>
      <w:r>
        <w:rPr>
          <w:rFonts w:hint="eastAsia" w:ascii="仿宋_GB2312" w:hAnsi="仿宋_GB2312" w:eastAsia="仿宋_GB2312" w:cs="仿宋_GB2312"/>
          <w:b/>
          <w:bCs/>
          <w:color w:val="auto"/>
          <w:kern w:val="2"/>
          <w:sz w:val="32"/>
        </w:rPr>
        <w:t>5.</w:t>
      </w:r>
      <w:r>
        <w:rPr>
          <w:rFonts w:ascii="仿宋_GB2312" w:hAnsi="仿宋_GB2312" w:eastAsia="仿宋_GB2312" w:cs="仿宋_GB2312"/>
          <w:b/>
          <w:bCs/>
          <w:color w:val="auto"/>
          <w:kern w:val="2"/>
          <w:sz w:val="32"/>
        </w:rPr>
        <w:t>发挥敦煌循环经济产业园区服务功能，构建绿色产业融合枢纽。</w:t>
      </w:r>
      <w:r>
        <w:rPr>
          <w:rFonts w:ascii="仿宋_GB2312" w:hAnsi="仿宋_GB2312" w:eastAsia="仿宋_GB2312" w:cs="仿宋_GB2312"/>
          <w:color w:val="auto"/>
          <w:kern w:val="2"/>
          <w:sz w:val="32"/>
        </w:rPr>
        <w:t>严格遵循生态优先和绿色发展</w:t>
      </w:r>
      <w:r>
        <w:rPr>
          <w:rFonts w:hint="eastAsia" w:ascii="仿宋_GB2312" w:hAnsi="仿宋_GB2312" w:eastAsia="仿宋_GB2312" w:cs="仿宋_GB2312"/>
          <w:color w:val="auto"/>
          <w:kern w:val="2"/>
          <w:sz w:val="32"/>
        </w:rPr>
        <w:t>原则，聚焦</w:t>
      </w:r>
      <w:r>
        <w:rPr>
          <w:rFonts w:hint="default" w:ascii="仿宋_GB2312" w:hAnsi="仿宋_GB2312" w:eastAsia="仿宋_GB2312" w:cs="仿宋_GB2312"/>
          <w:color w:val="auto"/>
          <w:kern w:val="2"/>
          <w:sz w:val="32"/>
          <w:lang w:val="en"/>
        </w:rPr>
        <w:t>“</w:t>
      </w:r>
      <w:r>
        <w:rPr>
          <w:rFonts w:ascii="仿宋_GB2312" w:hAnsi="仿宋_GB2312" w:eastAsia="仿宋_GB2312" w:cs="仿宋_GB2312"/>
          <w:color w:val="auto"/>
          <w:kern w:val="2"/>
          <w:sz w:val="32"/>
        </w:rPr>
        <w:t>绿色、循环</w:t>
      </w:r>
      <w:r>
        <w:rPr>
          <w:rFonts w:hint="eastAsia" w:ascii="仿宋_GB2312" w:hAnsi="仿宋_GB2312" w:eastAsia="仿宋_GB2312" w:cs="仿宋_GB2312"/>
          <w:color w:val="auto"/>
          <w:kern w:val="2"/>
          <w:sz w:val="32"/>
        </w:rPr>
        <w:t>、低碳</w:t>
      </w:r>
      <w:r>
        <w:rPr>
          <w:rFonts w:ascii="仿宋_GB2312" w:hAnsi="仿宋_GB2312" w:eastAsia="仿宋_GB2312" w:cs="仿宋_GB2312"/>
          <w:color w:val="auto"/>
          <w:kern w:val="2"/>
          <w:sz w:val="32"/>
          <w:lang w:val="en"/>
        </w:rPr>
        <w:t>”</w:t>
      </w:r>
      <w:r>
        <w:rPr>
          <w:rFonts w:ascii="仿宋_GB2312" w:hAnsi="仿宋_GB2312" w:eastAsia="仿宋_GB2312" w:cs="仿宋_GB2312"/>
          <w:color w:val="auto"/>
          <w:kern w:val="2"/>
          <w:sz w:val="32"/>
        </w:rPr>
        <w:t>方向，</w:t>
      </w:r>
      <w:r>
        <w:rPr>
          <w:rFonts w:hint="eastAsia" w:ascii="仿宋_GB2312" w:hAnsi="仿宋_GB2312" w:eastAsia="仿宋_GB2312" w:cs="仿宋_GB2312"/>
          <w:color w:val="auto"/>
          <w:kern w:val="2"/>
          <w:sz w:val="32"/>
        </w:rPr>
        <w:t>重点推动</w:t>
      </w:r>
      <w:r>
        <w:rPr>
          <w:rFonts w:ascii="仿宋_GB2312" w:hAnsi="仿宋_GB2312" w:eastAsia="仿宋_GB2312" w:cs="仿宋_GB2312"/>
          <w:color w:val="auto"/>
          <w:kern w:val="2"/>
          <w:sz w:val="32"/>
        </w:rPr>
        <w:t>新能源</w:t>
      </w:r>
      <w:r>
        <w:rPr>
          <w:rFonts w:hint="eastAsia" w:ascii="仿宋_GB2312" w:hAnsi="仿宋_GB2312" w:eastAsia="仿宋_GB2312" w:cs="仿宋_GB2312"/>
          <w:color w:val="auto"/>
          <w:kern w:val="2"/>
          <w:sz w:val="32"/>
        </w:rPr>
        <w:t>、矿产资源综合利用</w:t>
      </w:r>
      <w:r>
        <w:rPr>
          <w:rFonts w:ascii="仿宋_GB2312" w:hAnsi="仿宋_GB2312" w:eastAsia="仿宋_GB2312" w:cs="仿宋_GB2312"/>
          <w:color w:val="auto"/>
          <w:kern w:val="2"/>
          <w:sz w:val="32"/>
        </w:rPr>
        <w:t>(以</w:t>
      </w:r>
      <w:r>
        <w:rPr>
          <w:rFonts w:hint="eastAsia" w:ascii="仿宋_GB2312" w:hAnsi="仿宋_GB2312" w:eastAsia="仿宋_GB2312" w:cs="仿宋_GB2312"/>
          <w:color w:val="auto"/>
          <w:kern w:val="2"/>
          <w:sz w:val="32"/>
        </w:rPr>
        <w:t>钒矿和</w:t>
      </w:r>
      <w:r>
        <w:rPr>
          <w:rFonts w:ascii="仿宋_GB2312" w:hAnsi="仿宋_GB2312" w:eastAsia="仿宋_GB2312" w:cs="仿宋_GB2312"/>
          <w:color w:val="auto"/>
          <w:kern w:val="2"/>
          <w:sz w:val="32"/>
        </w:rPr>
        <w:t>花岗岩等加工为主)、农副产品加工</w:t>
      </w:r>
      <w:r>
        <w:rPr>
          <w:rFonts w:hint="eastAsia" w:ascii="仿宋_GB2312" w:hAnsi="仿宋_GB2312" w:eastAsia="仿宋_GB2312" w:cs="仿宋_GB2312"/>
          <w:color w:val="auto"/>
          <w:kern w:val="2"/>
          <w:sz w:val="32"/>
        </w:rPr>
        <w:t>、低空装备制造、</w:t>
      </w:r>
      <w:r>
        <w:rPr>
          <w:rFonts w:hint="eastAsia" w:ascii="仿宋_GB2312" w:hAnsi="仿宋_GB2312" w:eastAsia="仿宋_GB2312" w:cs="仿宋_GB2312"/>
          <w:color w:val="auto"/>
          <w:kern w:val="2"/>
          <w:sz w:val="32"/>
          <w:lang w:val="en-US" w:eastAsia="zh-CN"/>
        </w:rPr>
        <w:t>文旅</w:t>
      </w:r>
      <w:r>
        <w:rPr>
          <w:rFonts w:hint="eastAsia" w:ascii="仿宋_GB2312" w:hAnsi="仿宋_GB2312" w:eastAsia="仿宋_GB2312" w:cs="仿宋_GB2312"/>
          <w:color w:val="auto"/>
          <w:kern w:val="2"/>
          <w:sz w:val="32"/>
        </w:rPr>
        <w:t>文创</w:t>
      </w:r>
      <w:r>
        <w:rPr>
          <w:rFonts w:hint="eastAsia" w:ascii="仿宋_GB2312" w:hAnsi="仿宋_GB2312" w:eastAsia="仿宋_GB2312" w:cs="仿宋_GB2312"/>
          <w:color w:val="auto"/>
          <w:kern w:val="2"/>
          <w:sz w:val="32"/>
          <w:lang w:val="en-US" w:eastAsia="zh-CN"/>
        </w:rPr>
        <w:t>衍生</w:t>
      </w:r>
      <w:r>
        <w:rPr>
          <w:rFonts w:hint="eastAsia" w:ascii="仿宋_GB2312" w:hAnsi="仿宋_GB2312" w:eastAsia="仿宋_GB2312" w:cs="仿宋_GB2312"/>
          <w:color w:val="auto"/>
          <w:kern w:val="2"/>
          <w:sz w:val="32"/>
        </w:rPr>
        <w:t>产品等</w:t>
      </w:r>
      <w:r>
        <w:rPr>
          <w:rFonts w:ascii="仿宋_GB2312" w:hAnsi="仿宋_GB2312" w:eastAsia="仿宋_GB2312" w:cs="仿宋_GB2312"/>
          <w:color w:val="auto"/>
          <w:kern w:val="2"/>
          <w:sz w:val="32"/>
        </w:rPr>
        <w:t>产业</w:t>
      </w:r>
      <w:r>
        <w:rPr>
          <w:rFonts w:hint="eastAsia" w:ascii="仿宋_GB2312" w:hAnsi="仿宋_GB2312" w:eastAsia="仿宋_GB2312" w:cs="仿宋_GB2312"/>
          <w:color w:val="auto"/>
          <w:kern w:val="2"/>
          <w:sz w:val="32"/>
        </w:rPr>
        <w:t>发展，统筹</w:t>
      </w:r>
      <w:r>
        <w:rPr>
          <w:rFonts w:ascii="仿宋_GB2312" w:hAnsi="仿宋_GB2312" w:eastAsia="仿宋_GB2312" w:cs="仿宋_GB2312"/>
          <w:color w:val="auto"/>
          <w:kern w:val="2"/>
          <w:sz w:val="32"/>
        </w:rPr>
        <w:t>发展以</w:t>
      </w:r>
      <w:r>
        <w:rPr>
          <w:rFonts w:hint="eastAsia" w:ascii="仿宋_GB2312" w:hAnsi="仿宋_GB2312" w:eastAsia="仿宋_GB2312" w:cs="仿宋_GB2312"/>
          <w:color w:val="auto"/>
          <w:kern w:val="2"/>
          <w:sz w:val="32"/>
        </w:rPr>
        <w:t>全钒液流电池、</w:t>
      </w:r>
      <w:r>
        <w:rPr>
          <w:rFonts w:ascii="仿宋_GB2312" w:hAnsi="仿宋_GB2312" w:eastAsia="仿宋_GB2312" w:cs="仿宋_GB2312"/>
          <w:color w:val="auto"/>
          <w:kern w:val="2"/>
          <w:sz w:val="32"/>
        </w:rPr>
        <w:t>光热发电设备、辅助设备制造为主的新能源装备制造产业</w:t>
      </w:r>
      <w:r>
        <w:rPr>
          <w:rFonts w:hint="eastAsia" w:ascii="仿宋_GB2312" w:hAnsi="仿宋_GB2312" w:eastAsia="仿宋_GB2312" w:cs="仿宋_GB2312"/>
          <w:color w:val="auto"/>
          <w:kern w:val="2"/>
          <w:sz w:val="32"/>
        </w:rPr>
        <w:t>。</w:t>
      </w:r>
    </w:p>
    <w:p>
      <w:pPr>
        <w:pStyle w:val="18"/>
        <w:keepLines w:val="0"/>
        <w:pageBreakBefore w:val="0"/>
        <w:kinsoku/>
        <w:wordWrap/>
        <w:overflowPunct/>
        <w:topLinePunct w:val="0"/>
        <w:bidi w:val="0"/>
        <w:spacing w:before="0" w:beforeAutospacing="0" w:after="0" w:afterAutospacing="0" w:line="560" w:lineRule="exact"/>
        <w:ind w:firstLine="643"/>
        <w:jc w:val="both"/>
        <w:textAlignment w:val="auto"/>
        <w:rPr>
          <w:rFonts w:hint="default" w:ascii="仿宋_GB2312" w:hAnsi="仿宋_GB2312" w:eastAsia="仿宋_GB2312" w:cs="仿宋_GB2312"/>
          <w:color w:val="auto"/>
          <w:kern w:val="2"/>
          <w:sz w:val="32"/>
          <w:lang w:val="en"/>
        </w:rPr>
      </w:pPr>
      <w:r>
        <w:rPr>
          <w:rFonts w:hint="eastAsia" w:ascii="仿宋_GB2312" w:hAnsi="仿宋_GB2312" w:eastAsia="仿宋_GB2312" w:cs="仿宋_GB2312"/>
          <w:b/>
          <w:bCs/>
          <w:color w:val="auto"/>
          <w:kern w:val="2"/>
          <w:sz w:val="32"/>
        </w:rPr>
        <w:t>6</w:t>
      </w:r>
      <w:r>
        <w:rPr>
          <w:rFonts w:ascii="仿宋_GB2312" w:hAnsi="仿宋_GB2312" w:eastAsia="仿宋_GB2312" w:cs="仿宋_GB2312"/>
          <w:b/>
          <w:bCs/>
          <w:color w:val="auto"/>
          <w:kern w:val="2"/>
          <w:sz w:val="32"/>
        </w:rPr>
        <w:t>.立足丰富矿产能源资源，打造肃北</w:t>
      </w:r>
      <w:r>
        <w:rPr>
          <w:rFonts w:hint="eastAsia" w:ascii="仿宋_GB2312" w:hAnsi="仿宋_GB2312" w:eastAsia="仿宋_GB2312" w:cs="仿宋_GB2312"/>
          <w:b/>
          <w:bCs/>
          <w:color w:val="auto"/>
          <w:kern w:val="2"/>
          <w:sz w:val="32"/>
        </w:rPr>
        <w:t>-瓜州-</w:t>
      </w:r>
      <w:r>
        <w:rPr>
          <w:rFonts w:ascii="仿宋_GB2312" w:hAnsi="仿宋_GB2312" w:eastAsia="仿宋_GB2312" w:cs="仿宋_GB2312"/>
          <w:b/>
          <w:bCs/>
          <w:color w:val="auto"/>
          <w:kern w:val="2"/>
          <w:sz w:val="32"/>
        </w:rPr>
        <w:t>阿克塞特色循环利用基地。</w:t>
      </w:r>
      <w:r>
        <w:rPr>
          <w:rFonts w:ascii="仿宋_GB2312" w:hAnsi="仿宋_GB2312" w:eastAsia="仿宋_GB2312" w:cs="仿宋_GB2312"/>
          <w:color w:val="auto"/>
          <w:kern w:val="2"/>
          <w:sz w:val="32"/>
        </w:rPr>
        <w:t>肃北循环经济产业园</w:t>
      </w:r>
      <w:r>
        <w:rPr>
          <w:rFonts w:hint="eastAsia" w:ascii="仿宋_GB2312" w:hAnsi="仿宋_GB2312" w:eastAsia="仿宋_GB2312" w:cs="仿宋_GB2312"/>
          <w:color w:val="auto"/>
          <w:kern w:val="2"/>
          <w:sz w:val="32"/>
        </w:rPr>
        <w:t>，</w:t>
      </w:r>
      <w:r>
        <w:rPr>
          <w:rFonts w:ascii="仿宋_GB2312" w:hAnsi="仿宋_GB2312" w:eastAsia="仿宋_GB2312" w:cs="仿宋_GB2312"/>
          <w:color w:val="auto"/>
          <w:kern w:val="2"/>
          <w:sz w:val="32"/>
        </w:rPr>
        <w:t>依托有色金属</w:t>
      </w:r>
      <w:r>
        <w:rPr>
          <w:rFonts w:hint="eastAsia" w:ascii="仿宋_GB2312" w:hAnsi="仿宋_GB2312" w:eastAsia="仿宋_GB2312" w:cs="仿宋_GB2312"/>
          <w:color w:val="auto"/>
          <w:kern w:val="2"/>
          <w:sz w:val="32"/>
        </w:rPr>
        <w:t>、</w:t>
      </w:r>
      <w:r>
        <w:rPr>
          <w:rFonts w:ascii="仿宋_GB2312" w:hAnsi="仿宋_GB2312" w:eastAsia="仿宋_GB2312" w:cs="仿宋_GB2312"/>
          <w:color w:val="auto"/>
          <w:kern w:val="2"/>
          <w:sz w:val="32"/>
        </w:rPr>
        <w:t>黑色金属</w:t>
      </w:r>
      <w:r>
        <w:rPr>
          <w:rFonts w:hint="eastAsia" w:ascii="仿宋_GB2312" w:hAnsi="仿宋_GB2312" w:eastAsia="仿宋_GB2312" w:cs="仿宋_GB2312"/>
          <w:color w:val="auto"/>
          <w:kern w:val="2"/>
          <w:sz w:val="32"/>
        </w:rPr>
        <w:t>、非金属、煤炭</w:t>
      </w:r>
      <w:r>
        <w:rPr>
          <w:rFonts w:ascii="仿宋_GB2312" w:hAnsi="仿宋_GB2312" w:eastAsia="仿宋_GB2312" w:cs="仿宋_GB2312"/>
          <w:color w:val="auto"/>
          <w:kern w:val="2"/>
          <w:sz w:val="32"/>
        </w:rPr>
        <w:t>等优势资源，重点推动矿业产业链向下游延伸</w:t>
      </w:r>
      <w:r>
        <w:rPr>
          <w:rFonts w:hint="eastAsia" w:ascii="仿宋_GB2312" w:hAnsi="仿宋_GB2312" w:eastAsia="仿宋_GB2312" w:cs="仿宋_GB2312"/>
          <w:color w:val="auto"/>
          <w:kern w:val="2"/>
          <w:sz w:val="32"/>
        </w:rPr>
        <w:t>，加快</w:t>
      </w:r>
      <w:r>
        <w:rPr>
          <w:rFonts w:ascii="仿宋_GB2312" w:hAnsi="仿宋_GB2312" w:eastAsia="仿宋_GB2312" w:cs="仿宋_GB2312"/>
          <w:color w:val="auto"/>
          <w:kern w:val="2"/>
          <w:sz w:val="32"/>
        </w:rPr>
        <w:t>石</w:t>
      </w:r>
      <w:r>
        <w:rPr>
          <w:rFonts w:hint="eastAsia" w:ascii="仿宋_GB2312" w:hAnsi="仿宋_GB2312" w:eastAsia="仿宋_GB2312" w:cs="仿宋_GB2312"/>
          <w:color w:val="auto"/>
          <w:kern w:val="2"/>
          <w:sz w:val="32"/>
        </w:rPr>
        <w:t>包</w:t>
      </w:r>
      <w:r>
        <w:rPr>
          <w:rFonts w:ascii="仿宋_GB2312" w:hAnsi="仿宋_GB2312" w:eastAsia="仿宋_GB2312" w:cs="仿宋_GB2312"/>
          <w:color w:val="auto"/>
          <w:kern w:val="2"/>
          <w:sz w:val="32"/>
        </w:rPr>
        <w:t>城石墨采选产业</w:t>
      </w:r>
      <w:r>
        <w:rPr>
          <w:rFonts w:hint="eastAsia" w:ascii="仿宋_GB2312" w:hAnsi="仿宋_GB2312" w:eastAsia="仿宋_GB2312" w:cs="仿宋_GB2312"/>
          <w:color w:val="auto"/>
          <w:kern w:val="2"/>
          <w:sz w:val="32"/>
        </w:rPr>
        <w:t>发展。瓜州柳园工业区，重点布局黑色、有色、非金属矿产品加工产业，壮大矿产品加工规模。阿克塞工业园区，聚焦石棉、锰、石英等特色矿产资源，重点引进先进加工技术，延伸发展石棉尾矿综合利用和矿产品精深加工产业链。积极探索与酒泉经开区、玉门经开区、</w:t>
      </w:r>
      <w:r>
        <w:rPr>
          <w:rFonts w:hint="default" w:ascii="仿宋_GB2312" w:hAnsi="仿宋_GB2312" w:eastAsia="仿宋_GB2312" w:cs="仿宋_GB2312"/>
          <w:color w:val="auto"/>
          <w:kern w:val="2"/>
          <w:sz w:val="32"/>
          <w:lang w:val="en"/>
        </w:rPr>
        <w:t>金塔工业集中区</w:t>
      </w:r>
      <w:r>
        <w:rPr>
          <w:rFonts w:hint="eastAsia" w:ascii="仿宋_GB2312" w:hAnsi="仿宋_GB2312" w:eastAsia="仿宋_GB2312" w:cs="仿宋_GB2312"/>
          <w:color w:val="auto"/>
          <w:kern w:val="2"/>
          <w:sz w:val="32"/>
        </w:rPr>
        <w:t>等园区的</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飞地经济</w:t>
      </w:r>
      <w:r>
        <w:rPr>
          <w:rFonts w:hint="default" w:ascii="仿宋_GB2312" w:hAnsi="仿宋_GB2312" w:eastAsia="仿宋_GB2312" w:cs="仿宋_GB2312"/>
          <w:color w:val="auto"/>
          <w:kern w:val="2"/>
          <w:sz w:val="32"/>
          <w:lang w:val="en"/>
        </w:rPr>
        <w:t>”</w:t>
      </w:r>
      <w:r>
        <w:rPr>
          <w:rFonts w:hint="eastAsia" w:ascii="仿宋_GB2312" w:hAnsi="仿宋_GB2312" w:eastAsia="仿宋_GB2312" w:cs="仿宋_GB2312"/>
          <w:color w:val="auto"/>
          <w:kern w:val="2"/>
          <w:sz w:val="32"/>
        </w:rPr>
        <w:t>合作模式</w:t>
      </w:r>
      <w:r>
        <w:rPr>
          <w:rFonts w:hint="default" w:ascii="仿宋_GB2312" w:hAnsi="仿宋_GB2312" w:eastAsia="仿宋_GB2312" w:cs="仿宋_GB2312"/>
          <w:color w:val="auto"/>
          <w:kern w:val="2"/>
          <w:sz w:val="32"/>
          <w:lang w:val="en"/>
        </w:rPr>
        <w:t>。</w:t>
      </w:r>
    </w:p>
    <w:p>
      <w:pPr>
        <w:keepLines w:val="0"/>
        <w:pageBreakBefore w:val="0"/>
        <w:kinsoku/>
        <w:wordWrap/>
        <w:overflowPunct/>
        <w:topLinePunct w:val="0"/>
        <w:bidi w:val="0"/>
        <w:spacing w:line="560" w:lineRule="exact"/>
        <w:ind w:firstLine="640"/>
        <w:textAlignment w:val="auto"/>
        <w:rPr>
          <w:rFonts w:ascii="仿宋_GB2312" w:hAnsi="仿宋_GB2312" w:eastAsia="仿宋_GB2312" w:cs="仿宋_GB2312"/>
          <w:color w:val="auto"/>
        </w:rPr>
      </w:pPr>
      <w:r>
        <w:rPr>
          <w:rFonts w:hint="eastAsia" w:ascii="仿宋_GB2312" w:hAnsi="仿宋_GB2312" w:eastAsia="仿宋_GB2312" w:cs="仿宋_GB2312"/>
          <w:color w:val="auto"/>
        </w:rPr>
        <w:br w:type="page"/>
      </w:r>
    </w:p>
    <w:p>
      <w:pPr>
        <w:pStyle w:val="3"/>
        <w:keepLines w:val="0"/>
        <w:pageBreakBefore w:val="0"/>
        <w:kinsoku/>
        <w:wordWrap/>
        <w:overflowPunct/>
        <w:topLinePunct w:val="0"/>
        <w:bidi w:val="0"/>
        <w:spacing w:before="0" w:beforeAutospacing="0" w:after="0" w:afterAutospacing="0" w:line="560" w:lineRule="exact"/>
        <w:ind w:firstLine="0" w:firstLineChars="0"/>
        <w:jc w:val="center"/>
        <w:textAlignment w:val="auto"/>
        <w:rPr>
          <w:rFonts w:hint="default" w:ascii="Times New Roman" w:hAnsi="Times New Roman" w:eastAsia="黑体"/>
          <w:b w:val="0"/>
          <w:bCs w:val="0"/>
          <w:color w:val="auto"/>
          <w:sz w:val="36"/>
          <w:szCs w:val="36"/>
        </w:rPr>
      </w:pPr>
      <w:bookmarkStart w:id="33" w:name="_Toc1018340222"/>
      <w:bookmarkStart w:id="34" w:name="_Toc16463"/>
      <w:r>
        <w:rPr>
          <w:rFonts w:hint="default" w:ascii="Times New Roman" w:hAnsi="Times New Roman" w:eastAsia="黑体"/>
          <w:b w:val="0"/>
          <w:bCs w:val="0"/>
          <w:color w:val="auto"/>
          <w:sz w:val="36"/>
          <w:szCs w:val="36"/>
        </w:rPr>
        <w:t>第四章 发展重点</w:t>
      </w:r>
      <w:bookmarkEnd w:id="33"/>
      <w:bookmarkEnd w:id="34"/>
    </w:p>
    <w:p>
      <w:pPr>
        <w:keepLines w:val="0"/>
        <w:pageBreakBefore w:val="0"/>
        <w:kinsoku/>
        <w:wordWrap/>
        <w:overflowPunct/>
        <w:topLinePunct w:val="0"/>
        <w:bidi w:val="0"/>
        <w:spacing w:line="560" w:lineRule="exact"/>
        <w:ind w:firstLine="640"/>
        <w:textAlignment w:val="auto"/>
        <w:rPr>
          <w:rFonts w:ascii="仿宋_GB2312" w:hAnsi="仿宋_GB2312" w:eastAsia="仿宋_GB2312" w:cs="仿宋_GB2312"/>
          <w:color w:val="auto"/>
        </w:rPr>
      </w:pPr>
    </w:p>
    <w:p>
      <w:pPr>
        <w:keepLines w:val="0"/>
        <w:pageBreakBefore w:val="0"/>
        <w:kinsoku/>
        <w:wordWrap/>
        <w:overflowPunct/>
        <w:topLinePunct w:val="0"/>
        <w:bidi w:val="0"/>
        <w:spacing w:line="560" w:lineRule="exact"/>
        <w:ind w:firstLine="640"/>
        <w:textAlignment w:val="auto"/>
        <w:rPr>
          <w:rFonts w:ascii="Times New Roman" w:hAnsi="Times New Roman"/>
          <w:color w:val="auto"/>
          <w:szCs w:val="32"/>
        </w:rPr>
      </w:pPr>
      <w:r>
        <w:rPr>
          <w:rFonts w:hint="eastAsia" w:ascii="仿宋_GB2312" w:hAnsi="仿宋_GB2312" w:eastAsia="仿宋_GB2312" w:cs="仿宋_GB2312"/>
          <w:color w:val="auto"/>
        </w:rPr>
        <w:t>深入挖掘产业优势、资源优势、区位优势，按照</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lang w:val="en"/>
        </w:rPr>
        <w:t>绿电筑基、</w:t>
      </w:r>
      <w:r>
        <w:rPr>
          <w:rFonts w:hint="eastAsia" w:ascii="仿宋_GB2312" w:hAnsi="仿宋_GB2312" w:eastAsia="仿宋_GB2312" w:cs="仿宋_GB2312"/>
          <w:color w:val="auto"/>
        </w:rPr>
        <w:t>产业融合、</w:t>
      </w:r>
      <w:r>
        <w:rPr>
          <w:rFonts w:hint="eastAsia" w:ascii="仿宋_GB2312" w:hAnsi="仿宋_GB2312" w:eastAsia="仿宋_GB2312" w:cs="仿宋_GB2312"/>
          <w:color w:val="auto"/>
          <w:szCs w:val="32"/>
          <w:lang w:val="en"/>
        </w:rPr>
        <w:t>前沿突破、智造引领</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lang w:val="en"/>
        </w:rPr>
        <w:t>的发展路径，</w:t>
      </w:r>
      <w:r>
        <w:rPr>
          <w:rFonts w:hint="eastAsia" w:ascii="仿宋_GB2312" w:hAnsi="仿宋_GB2312" w:eastAsia="仿宋_GB2312" w:cs="仿宋_GB2312"/>
          <w:color w:val="auto"/>
        </w:rPr>
        <w:t>推动绿电与传统高耗能产业耦合替代，培育绿电驱动型新兴产业，构建</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存量替代、增量培育、</w:t>
      </w:r>
      <w:r>
        <w:rPr>
          <w:rFonts w:hint="eastAsia" w:ascii="仿宋_GB2312" w:hAnsi="仿宋_GB2312" w:eastAsia="仿宋_GB2312" w:cs="仿宋_GB2312"/>
          <w:color w:val="auto"/>
          <w:lang w:val="en"/>
        </w:rPr>
        <w:t>链群</w:t>
      </w:r>
      <w:r>
        <w:rPr>
          <w:rFonts w:hint="eastAsia" w:ascii="仿宋_GB2312" w:hAnsi="仿宋_GB2312" w:eastAsia="仿宋_GB2312" w:cs="仿宋_GB2312"/>
          <w:color w:val="auto"/>
        </w:rPr>
        <w:t>提升</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为核心的</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绿电+产业</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耦合发展的新质产业生态，着力推进首位产业高端跃升（</w:t>
      </w:r>
      <w:r>
        <w:rPr>
          <w:rFonts w:hint="eastAsia" w:ascii="楷体_GB2312" w:hAnsi="楷体_GB2312" w:eastAsia="楷体_GB2312" w:cs="楷体_GB2312"/>
          <w:color w:val="auto"/>
        </w:rPr>
        <w:t>新能源+产业</w:t>
      </w:r>
      <w:r>
        <w:rPr>
          <w:rFonts w:hint="eastAsia" w:ascii="仿宋_GB2312" w:hAnsi="仿宋_GB2312" w:eastAsia="仿宋_GB2312" w:cs="仿宋_GB2312"/>
          <w:color w:val="auto"/>
        </w:rPr>
        <w:t>），优势产业集群扩展（</w:t>
      </w:r>
      <w:r>
        <w:rPr>
          <w:rFonts w:hint="eastAsia" w:ascii="楷体_GB2312" w:hAnsi="楷体_GB2312" w:eastAsia="楷体_GB2312" w:cs="楷体_GB2312"/>
          <w:color w:val="auto"/>
        </w:rPr>
        <w:t>现代化工、矿产品精深加工、新材料</w:t>
      </w:r>
      <w:r>
        <w:rPr>
          <w:rFonts w:hint="eastAsia" w:ascii="仿宋_GB2312" w:hAnsi="仿宋_GB2312" w:eastAsia="仿宋_GB2312" w:cs="仿宋_GB2312"/>
          <w:color w:val="auto"/>
        </w:rPr>
        <w:t>），战略产业纵深突破（</w:t>
      </w:r>
      <w:r>
        <w:rPr>
          <w:rFonts w:hint="eastAsia" w:ascii="楷体_GB2312" w:hAnsi="楷体_GB2312" w:eastAsia="楷体_GB2312" w:cs="楷体_GB2312"/>
          <w:color w:val="auto"/>
        </w:rPr>
        <w:t>核及核关联、航天航空</w:t>
      </w:r>
      <w:r>
        <w:rPr>
          <w:rFonts w:hint="eastAsia" w:ascii="仿宋_GB2312" w:hAnsi="仿宋_GB2312" w:eastAsia="仿宋_GB2312" w:cs="仿宋_GB2312"/>
          <w:color w:val="auto"/>
        </w:rPr>
        <w:t>），区域特色产业提质增效（</w:t>
      </w:r>
      <w:r>
        <w:rPr>
          <w:rFonts w:hint="eastAsia" w:ascii="楷体_GB2312" w:hAnsi="楷体_GB2312" w:eastAsia="楷体_GB2312" w:cs="楷体_GB2312"/>
          <w:color w:val="auto"/>
        </w:rPr>
        <w:t>农机装备制造、生物医药、农产品精深加工、绿色建材</w:t>
      </w:r>
      <w:r>
        <w:rPr>
          <w:rFonts w:hint="eastAsia" w:ascii="仿宋_GB2312" w:hAnsi="仿宋_GB2312" w:eastAsia="仿宋_GB2312" w:cs="仿宋_GB2312"/>
          <w:color w:val="auto"/>
        </w:rPr>
        <w:t>），</w:t>
      </w:r>
      <w:r>
        <w:rPr>
          <w:rFonts w:hint="eastAsia" w:ascii="仿宋_GB2312" w:hAnsi="仿宋_GB2312" w:eastAsia="仿宋_GB2312" w:cs="仿宋_GB2312"/>
          <w:color w:val="auto"/>
          <w:lang w:eastAsia="zh-CN"/>
        </w:rPr>
        <w:t>壮大</w:t>
      </w:r>
      <w:r>
        <w:rPr>
          <w:rFonts w:hint="default" w:ascii="仿宋_GB2312" w:hAnsi="仿宋_GB2312" w:eastAsia="仿宋_GB2312" w:cs="仿宋_GB2312"/>
          <w:color w:val="auto"/>
          <w:lang w:val="en" w:eastAsia="zh-CN"/>
        </w:rPr>
        <w:t>数字产业和</w:t>
      </w:r>
      <w:r>
        <w:rPr>
          <w:rFonts w:hint="eastAsia" w:ascii="仿宋_GB2312" w:hAnsi="仿宋_GB2312" w:eastAsia="仿宋_GB2312" w:cs="仿宋_GB2312"/>
          <w:color w:val="auto"/>
          <w:lang w:eastAsia="zh-CN"/>
        </w:rPr>
        <w:t>生产性服务业</w:t>
      </w:r>
      <w:r>
        <w:rPr>
          <w:rFonts w:hint="eastAsia" w:ascii="仿宋_GB2312" w:hAnsi="仿宋_GB2312" w:eastAsia="仿宋_GB2312" w:cs="仿宋_GB2312"/>
          <w:color w:val="auto"/>
          <w:lang w:val="en-US" w:eastAsia="zh-CN"/>
        </w:rPr>
        <w:t>，</w:t>
      </w:r>
      <w:r>
        <w:rPr>
          <w:rFonts w:hint="default" w:ascii="仿宋_GB2312" w:hAnsi="仿宋_GB2312" w:eastAsia="仿宋_GB2312" w:cs="仿宋_GB2312"/>
          <w:color w:val="auto"/>
          <w:lang w:val="en" w:eastAsia="zh-CN"/>
        </w:rPr>
        <w:t>推进制造业和现代服务业深度融合，</w:t>
      </w:r>
      <w:r>
        <w:rPr>
          <w:rFonts w:hint="eastAsia" w:ascii="仿宋_GB2312" w:hAnsi="仿宋_GB2312" w:eastAsia="仿宋_GB2312" w:cs="仿宋_GB2312"/>
          <w:color w:val="auto"/>
        </w:rPr>
        <w:t>全面提升产业发展能级，打造集</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国家所需、酒泉所能、群众所盼、未来所向</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功能于一体的</w:t>
      </w:r>
      <w:r>
        <w:rPr>
          <w:rFonts w:hint="default" w:ascii="仿宋_GB2312" w:hAnsi="仿宋_GB2312" w:eastAsia="仿宋_GB2312" w:cs="仿宋_GB2312"/>
          <w:color w:val="auto"/>
          <w:lang w:val="en" w:eastAsia="zh-CN"/>
        </w:rPr>
        <w:t>“</w:t>
      </w:r>
      <w:r>
        <w:rPr>
          <w:rFonts w:hint="eastAsia" w:ascii="仿宋_GB2312" w:hAnsi="仿宋_GB2312" w:eastAsia="仿宋_GB2312" w:cs="仿宋_GB2312"/>
          <w:color w:val="auto"/>
          <w:lang w:val="en-US" w:eastAsia="zh-CN"/>
        </w:rPr>
        <w:t>1324</w:t>
      </w:r>
      <w:r>
        <w:rPr>
          <w:rFonts w:hint="default" w:ascii="仿宋_GB2312" w:hAnsi="仿宋_GB2312" w:eastAsia="仿宋_GB2312" w:cs="仿宋_GB2312"/>
          <w:color w:val="auto"/>
          <w:lang w:val="en" w:eastAsia="zh-CN"/>
        </w:rPr>
        <w:t>”</w:t>
      </w:r>
      <w:r>
        <w:rPr>
          <w:rFonts w:hint="eastAsia" w:ascii="仿宋_GB2312" w:hAnsi="仿宋_GB2312" w:eastAsia="仿宋_GB2312" w:cs="仿宋_GB2312"/>
          <w:color w:val="auto"/>
        </w:rPr>
        <w:t>现代化产业体系。</w:t>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35" w:name="_Toc14727"/>
      <w:bookmarkStart w:id="36" w:name="_Toc1912937445"/>
      <w:r>
        <w:rPr>
          <w:rFonts w:ascii="楷体_GB2312" w:hAnsi="楷体_GB2312" w:eastAsia="楷体_GB2312" w:cs="楷体_GB2312"/>
          <w:color w:val="auto"/>
        </w:rPr>
        <w:t>一、</w:t>
      </w:r>
      <w:bookmarkEnd w:id="35"/>
      <w:r>
        <w:rPr>
          <w:rFonts w:hint="eastAsia" w:ascii="楷体_GB2312" w:hAnsi="楷体_GB2312" w:eastAsia="楷体_GB2312" w:cs="楷体_GB2312"/>
          <w:color w:val="auto"/>
        </w:rPr>
        <w:t>首位</w:t>
      </w:r>
      <w:r>
        <w:rPr>
          <w:rFonts w:ascii="楷体_GB2312" w:hAnsi="楷体_GB2312" w:eastAsia="楷体_GB2312" w:cs="楷体_GB2312"/>
          <w:color w:val="auto"/>
        </w:rPr>
        <w:t>产业高端跃升，打造</w:t>
      </w:r>
      <w:r>
        <w:rPr>
          <w:rFonts w:hint="default" w:ascii="楷体_GB2312" w:hAnsi="楷体_GB2312" w:eastAsia="楷体_GB2312" w:cs="楷体_GB2312"/>
          <w:color w:val="auto"/>
          <w:lang w:val="en" w:eastAsia="zh-CN"/>
        </w:rPr>
        <w:t>“</w:t>
      </w:r>
      <w:r>
        <w:rPr>
          <w:rFonts w:hint="eastAsia" w:ascii="楷体_GB2312" w:hAnsi="楷体_GB2312" w:eastAsia="楷体_GB2312" w:cs="楷体_GB2312"/>
          <w:color w:val="auto"/>
        </w:rPr>
        <w:t>新能源+</w:t>
      </w:r>
      <w:r>
        <w:rPr>
          <w:rFonts w:hint="default" w:ascii="楷体_GB2312" w:hAnsi="楷体_GB2312" w:eastAsia="楷体_GB2312" w:cs="楷体_GB2312"/>
          <w:color w:val="auto"/>
          <w:lang w:val="en" w:eastAsia="zh-CN"/>
        </w:rPr>
        <w:t>”</w:t>
      </w:r>
      <w:r>
        <w:rPr>
          <w:rFonts w:hint="eastAsia" w:ascii="楷体_GB2312" w:hAnsi="楷体_GB2312" w:eastAsia="楷体_GB2312" w:cs="楷体_GB2312"/>
          <w:color w:val="auto"/>
        </w:rPr>
        <w:t>示范基地</w:t>
      </w:r>
      <w:bookmarkEnd w:id="36"/>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37" w:name="_Toc16513"/>
      <w:bookmarkStart w:id="38" w:name="_Toc29171"/>
      <w:bookmarkStart w:id="39" w:name="_Toc610796286"/>
      <w:r>
        <w:rPr>
          <w:rFonts w:ascii="仿宋_GB2312" w:hAnsi="仿宋_GB2312" w:eastAsia="仿宋_GB2312" w:cs="仿宋_GB2312"/>
          <w:color w:val="auto"/>
        </w:rPr>
        <w:t>（一）发展目标</w:t>
      </w:r>
      <w:bookmarkEnd w:id="37"/>
      <w:bookmarkEnd w:id="38"/>
      <w:bookmarkEnd w:id="39"/>
    </w:p>
    <w:p>
      <w:pPr>
        <w:keepLines w:val="0"/>
        <w:pageBreakBefore w:val="0"/>
        <w:kinsoku/>
        <w:wordWrap/>
        <w:overflowPunct/>
        <w:topLinePunct w:val="0"/>
        <w:bidi w:val="0"/>
        <w:spacing w:line="560" w:lineRule="exact"/>
        <w:ind w:firstLine="640"/>
        <w:textAlignment w:val="auto"/>
        <w:rPr>
          <w:rFonts w:ascii="仿宋_GB2312" w:hAnsi="仿宋_GB2312" w:eastAsia="仿宋_GB2312" w:cs="仿宋_GB2312"/>
          <w:color w:val="auto"/>
        </w:rPr>
      </w:pPr>
      <w:r>
        <w:rPr>
          <w:rFonts w:hint="eastAsia" w:ascii="仿宋_GB2312" w:hAnsi="仿宋_GB2312" w:eastAsia="仿宋_GB2312" w:cs="仿宋_GB2312"/>
          <w:color w:val="auto"/>
        </w:rPr>
        <w:t>到2030年，基本建成</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基地外送+就地消纳</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双轮驱动的酒泉亿千瓦级清洁能源谷。全市新能源装机总量实现翻番，达到8000万千瓦、力争突破1亿千瓦；新能源装备制造关键环节本地化率显著提升，绿电就</w:t>
      </w:r>
      <w:r>
        <w:rPr>
          <w:rFonts w:hint="eastAsia" w:ascii="仿宋_GB2312" w:hAnsi="仿宋_GB2312" w:eastAsia="仿宋_GB2312" w:cs="仿宋_GB2312"/>
          <w:color w:val="auto"/>
          <w:lang w:val="en-US" w:eastAsia="zh-CN"/>
        </w:rPr>
        <w:t>地</w:t>
      </w:r>
      <w:r>
        <w:rPr>
          <w:rFonts w:hint="eastAsia" w:ascii="仿宋_GB2312" w:hAnsi="仿宋_GB2312" w:eastAsia="仿宋_GB2312" w:cs="仿宋_GB2312"/>
          <w:color w:val="auto"/>
        </w:rPr>
        <w:t>消纳能力进一步增强，基本建成全国重要的新能源及新能源装备制造基地。力争新能源及新能源装备制造产业链产值达到1000亿元，其中新能源装备制造产值突破600亿元。</w:t>
      </w:r>
      <w:bookmarkStart w:id="40" w:name="_Toc140632023"/>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41" w:name="_Toc378675146"/>
      <w:bookmarkStart w:id="42" w:name="_Toc2077"/>
      <w:r>
        <w:rPr>
          <w:rFonts w:ascii="仿宋_GB2312" w:hAnsi="仿宋_GB2312" w:eastAsia="仿宋_GB2312" w:cs="仿宋_GB2312"/>
          <w:color w:val="auto"/>
        </w:rPr>
        <w:t>（二）发展</w:t>
      </w:r>
      <w:bookmarkEnd w:id="40"/>
      <w:r>
        <w:rPr>
          <w:rFonts w:ascii="仿宋_GB2312" w:hAnsi="仿宋_GB2312" w:eastAsia="仿宋_GB2312" w:cs="仿宋_GB2312"/>
          <w:color w:val="auto"/>
        </w:rPr>
        <w:t>重点</w:t>
      </w:r>
      <w:bookmarkEnd w:id="41"/>
      <w:bookmarkEnd w:id="42"/>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color w:val="auto"/>
        </w:rPr>
      </w:pPr>
      <w:r>
        <w:rPr>
          <w:rFonts w:hint="eastAsia" w:ascii="仿宋_GB2312" w:hAnsi="仿宋_GB2312" w:eastAsia="仿宋_GB2312" w:cs="仿宋_GB2312"/>
          <w:b/>
          <w:bCs/>
          <w:color w:val="auto"/>
        </w:rPr>
        <w:t>1.打造世界级清洁能源谷。</w:t>
      </w:r>
      <w:r>
        <w:rPr>
          <w:rFonts w:hint="eastAsia" w:ascii="仿宋_GB2312" w:hAnsi="仿宋_GB2312" w:eastAsia="仿宋_GB2312" w:cs="仿宋_GB2312"/>
          <w:color w:val="auto"/>
          <w:sz w:val="32"/>
          <w:szCs w:val="32"/>
          <w:lang w:val="en-US" w:eastAsia="zh-CN"/>
        </w:rPr>
        <w:t>以</w:t>
      </w:r>
      <w:bookmarkStart w:id="43" w:name="OLE_LINK15"/>
      <w:r>
        <w:rPr>
          <w:rFonts w:hint="eastAsia" w:ascii="仿宋_GB2312" w:hAnsi="仿宋_GB2312" w:eastAsia="仿宋_GB2312" w:cs="仿宋_GB2312"/>
          <w:color w:val="auto"/>
          <w:sz w:val="32"/>
          <w:szCs w:val="32"/>
          <w:lang w:val="en-US" w:eastAsia="zh-CN"/>
        </w:rPr>
        <w:t>陇电入川</w:t>
      </w:r>
      <w:bookmarkEnd w:id="43"/>
      <w:r>
        <w:rPr>
          <w:rFonts w:hint="eastAsia" w:ascii="仿宋_GB2312" w:hAnsi="仿宋_GB2312" w:eastAsia="仿宋_GB2312" w:cs="仿宋_GB2312"/>
          <w:color w:val="auto"/>
          <w:sz w:val="32"/>
          <w:szCs w:val="32"/>
          <w:lang w:val="en-US" w:eastAsia="zh-CN"/>
        </w:rPr>
        <w:t>特高压直流输电工程为依托，加快推进巴丹吉林、库木塔格沙漠大型风光电基地配套风电项目建设，</w:t>
      </w:r>
      <w:bookmarkStart w:id="44" w:name="OLE_LINK33"/>
      <w:r>
        <w:rPr>
          <w:rFonts w:hint="eastAsia" w:ascii="仿宋_GB2312" w:hAnsi="仿宋_GB2312" w:eastAsia="仿宋_GB2312" w:cs="仿宋_GB2312"/>
          <w:color w:val="auto"/>
          <w:szCs w:val="32"/>
        </w:rPr>
        <w:t>推动酒泉</w:t>
      </w:r>
      <w:bookmarkStart w:id="45" w:name="OLE_LINK49"/>
      <w:r>
        <w:rPr>
          <w:rFonts w:hint="eastAsia" w:ascii="仿宋_GB2312" w:hAnsi="仿宋_GB2312" w:eastAsia="仿宋_GB2312" w:cs="仿宋_GB2312"/>
          <w:color w:val="auto"/>
          <w:szCs w:val="32"/>
        </w:rPr>
        <w:t>千万千瓦级风光电基地向亿千瓦级特大型风光电基地迈进</w:t>
      </w:r>
      <w:bookmarkEnd w:id="44"/>
      <w:bookmarkEnd w:id="45"/>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lang w:eastAsia="zh-CN"/>
        </w:rPr>
        <w:t>打响</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清洁能源谷</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城市</w:t>
      </w:r>
      <w:r>
        <w:rPr>
          <w:rFonts w:hint="eastAsia" w:ascii="仿宋_GB2312" w:hAnsi="仿宋_GB2312" w:eastAsia="仿宋_GB2312" w:cs="仿宋_GB2312"/>
          <w:color w:val="auto"/>
          <w:lang w:val="en-US" w:eastAsia="zh-CN"/>
        </w:rPr>
        <w:t>品牌，为打造世界级清洁能源谷奠定基础</w:t>
      </w:r>
      <w:r>
        <w:rPr>
          <w:rFonts w:hint="eastAsia" w:ascii="仿宋_GB2312" w:hAnsi="仿宋_GB2312" w:eastAsia="仿宋_GB2312" w:cs="仿宋_GB2312"/>
          <w:color w:val="auto"/>
          <w:sz w:val="32"/>
          <w:szCs w:val="32"/>
          <w:lang w:val="en-US" w:eastAsia="zh-CN"/>
        </w:rPr>
        <w:t>。</w:t>
      </w:r>
      <w:bookmarkStart w:id="46" w:name="OLE_LINK16"/>
      <w:r>
        <w:rPr>
          <w:rFonts w:hint="eastAsia" w:ascii="仿宋_GB2312" w:hAnsi="仿宋_GB2312" w:eastAsia="仿宋_GB2312" w:cs="仿宋_GB2312"/>
          <w:b/>
          <w:bCs/>
          <w:color w:val="auto"/>
          <w:szCs w:val="32"/>
        </w:rPr>
        <w:t>风电</w:t>
      </w:r>
      <w:r>
        <w:rPr>
          <w:rFonts w:hint="eastAsia" w:ascii="仿宋_GB2312" w:hAnsi="仿宋_GB2312" w:eastAsia="仿宋_GB2312" w:cs="仿宋_GB2312"/>
          <w:b/>
          <w:bCs/>
          <w:color w:val="auto"/>
          <w:szCs w:val="32"/>
          <w:lang w:eastAsia="zh-CN"/>
        </w:rPr>
        <w:t>：</w:t>
      </w:r>
      <w:r>
        <w:rPr>
          <w:rFonts w:hint="eastAsia" w:ascii="仿宋_GB2312" w:hAnsi="仿宋_GB2312" w:eastAsia="仿宋_GB2312" w:cs="仿宋_GB2312"/>
          <w:color w:val="auto"/>
          <w:szCs w:val="32"/>
        </w:rPr>
        <w:t>推动千万千瓦级风电基地迭代升级，推进玉门、瓜州风电基地扩容</w:t>
      </w:r>
      <w:bookmarkEnd w:id="46"/>
      <w:r>
        <w:rPr>
          <w:rFonts w:hint="eastAsia" w:ascii="仿宋_GB2312" w:hAnsi="仿宋_GB2312" w:eastAsia="仿宋_GB2312" w:cs="仿宋_GB2312"/>
          <w:color w:val="auto"/>
          <w:szCs w:val="32"/>
        </w:rPr>
        <w:t>，推广单机容量8兆瓦+陆上大风机应用，</w:t>
      </w:r>
      <w:bookmarkStart w:id="47" w:name="OLE_LINK17"/>
      <w:r>
        <w:rPr>
          <w:rFonts w:hint="eastAsia" w:ascii="仿宋_GB2312" w:hAnsi="仿宋_GB2312" w:eastAsia="仿宋_GB2312" w:cs="仿宋_GB2312"/>
          <w:color w:val="auto"/>
          <w:szCs w:val="32"/>
        </w:rPr>
        <w:t>实现发电效率提升与土地集约利用</w:t>
      </w:r>
      <w:bookmarkEnd w:id="47"/>
      <w:bookmarkStart w:id="48" w:name="OLE_LINK18"/>
      <w:r>
        <w:rPr>
          <w:rFonts w:hint="eastAsia" w:ascii="仿宋_GB2312" w:hAnsi="仿宋_GB2312" w:eastAsia="仿宋_GB2312" w:cs="仿宋_GB2312"/>
          <w:color w:val="auto"/>
          <w:szCs w:val="32"/>
        </w:rPr>
        <w:t>。</w:t>
      </w:r>
      <w:bookmarkEnd w:id="48"/>
      <w:bookmarkStart w:id="49" w:name="OLE_LINK20"/>
      <w:bookmarkStart w:id="50" w:name="OLE_LINK22"/>
      <w:r>
        <w:rPr>
          <w:rFonts w:hint="eastAsia" w:ascii="仿宋_GB2312" w:hAnsi="仿宋_GB2312" w:eastAsia="仿宋_GB2312" w:cs="仿宋_GB2312"/>
          <w:b/>
          <w:bCs/>
          <w:color w:val="auto"/>
        </w:rPr>
        <w:t>光伏</w:t>
      </w:r>
      <w:bookmarkEnd w:id="49"/>
      <w:r>
        <w:rPr>
          <w:rFonts w:hint="eastAsia" w:ascii="仿宋_GB2312" w:hAnsi="仿宋_GB2312" w:eastAsia="仿宋_GB2312" w:cs="仿宋_GB2312"/>
          <w:b/>
          <w:bCs/>
          <w:color w:val="auto"/>
          <w:lang w:eastAsia="zh-CN"/>
        </w:rPr>
        <w:t>：</w:t>
      </w:r>
      <w:r>
        <w:rPr>
          <w:rFonts w:hint="eastAsia" w:ascii="仿宋_GB2312" w:hAnsi="仿宋_GB2312" w:eastAsia="仿宋_GB2312" w:cs="仿宋_GB2312"/>
          <w:color w:val="auto"/>
          <w:szCs w:val="32"/>
        </w:rPr>
        <w:t>打造金塔、敦煌等地光伏园区成为国内最大单体光伏园区，积极推广应用</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光伏+</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综合利用模式及晶硅电池高效转化技术，推动荒漠化防治和风光电融合发展，实现集中式开发与分布式布局协同发展。</w:t>
      </w:r>
      <w:bookmarkEnd w:id="50"/>
      <w:r>
        <w:rPr>
          <w:rFonts w:hint="eastAsia" w:ascii="仿宋_GB2312" w:hAnsi="仿宋_GB2312" w:eastAsia="仿宋_GB2312" w:cs="仿宋_GB2312"/>
          <w:b/>
          <w:bCs/>
          <w:color w:val="auto"/>
        </w:rPr>
        <w:t>光热</w:t>
      </w:r>
      <w:r>
        <w:rPr>
          <w:rFonts w:hint="eastAsia" w:ascii="仿宋_GB2312" w:hAnsi="仿宋_GB2312" w:eastAsia="仿宋_GB2312" w:cs="仿宋_GB2312"/>
          <w:b/>
          <w:bCs/>
          <w:color w:val="auto"/>
          <w:lang w:eastAsia="zh-CN"/>
        </w:rPr>
        <w:t>：</w:t>
      </w:r>
      <w:r>
        <w:rPr>
          <w:rFonts w:hint="eastAsia" w:ascii="仿宋_GB2312" w:hAnsi="仿宋_GB2312" w:eastAsia="仿宋_GB2312" w:cs="仿宋_GB2312"/>
          <w:color w:val="auto"/>
          <w:szCs w:val="32"/>
        </w:rPr>
        <w:t>在瓜州、敦煌、阿克塞等地布局建设百万千瓦级熔盐储能光热基地，推动</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光伏+光热+储能</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多能互补，打造长时序稳定清洁能源体系。</w:t>
      </w:r>
      <w:r>
        <w:rPr>
          <w:rFonts w:hint="eastAsia" w:ascii="仿宋_GB2312" w:hAnsi="仿宋_GB2312" w:eastAsia="仿宋_GB2312" w:cs="仿宋_GB2312"/>
          <w:b/>
          <w:bCs/>
          <w:color w:val="auto"/>
          <w:szCs w:val="32"/>
        </w:rPr>
        <w:t>储能</w:t>
      </w:r>
      <w:bookmarkStart w:id="51" w:name="OLE_LINK25"/>
      <w:r>
        <w:rPr>
          <w:rFonts w:hint="eastAsia" w:ascii="仿宋_GB2312" w:hAnsi="仿宋_GB2312" w:eastAsia="仿宋_GB2312" w:cs="仿宋_GB2312"/>
          <w:b/>
          <w:bCs/>
          <w:color w:val="auto"/>
          <w:szCs w:val="32"/>
          <w:lang w:eastAsia="zh-CN"/>
        </w:rPr>
        <w:t>：</w:t>
      </w:r>
      <w:r>
        <w:rPr>
          <w:rFonts w:hint="eastAsia" w:ascii="仿宋_GB2312" w:hAnsi="仿宋_GB2312" w:eastAsia="仿宋_GB2312" w:cs="仿宋_GB2312"/>
          <w:color w:val="auto"/>
          <w:szCs w:val="32"/>
        </w:rPr>
        <w:t>统筹推进电化学储能、压缩空气储能及重力储能等多技术路线协同发展，加快布局建设光储充一体化电站。拓展新型储能在零碳园区、智能微电网等领域应用场景。</w:t>
      </w:r>
      <w:bookmarkEnd w:id="51"/>
      <w:r>
        <w:rPr>
          <w:rFonts w:hint="eastAsia" w:ascii="仿宋_GB2312" w:hAnsi="仿宋_GB2312" w:eastAsia="仿宋_GB2312" w:cs="仿宋_GB2312"/>
          <w:b/>
          <w:bCs/>
          <w:color w:val="auto"/>
          <w:sz w:val="32"/>
          <w:szCs w:val="32"/>
          <w:lang w:val="en-US" w:eastAsia="zh-CN"/>
        </w:rPr>
        <w:t>氢能：</w:t>
      </w:r>
      <w:r>
        <w:rPr>
          <w:rFonts w:hint="eastAsia" w:ascii="仿宋_GB2312" w:hAnsi="仿宋_GB2312" w:eastAsia="仿宋_GB2312" w:cs="仿宋_GB2312"/>
          <w:color w:val="auto"/>
          <w:sz w:val="32"/>
          <w:szCs w:val="32"/>
          <w:lang w:val="en-US" w:eastAsia="zh-CN"/>
        </w:rPr>
        <w:t>推进绿电直供、离网制氢等模式创新，降低绿氢制备成本。加快电解水制氢、高压气态储氢技术研发，发展风光制氢氨醇，试点开展燃煤机组掺烧绿氨发电，推动氢能在能源、交通、化工、冶金等领域规模化应用，构建</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制储运用加</w:t>
      </w:r>
      <w:r>
        <w:rPr>
          <w:rFonts w:hint="default" w:ascii="仿宋_GB2312" w:hAnsi="仿宋_GB2312" w:eastAsia="仿宋_GB2312" w:cs="仿宋_GB2312"/>
          <w:color w:val="auto"/>
          <w:sz w:val="32"/>
          <w:szCs w:val="32"/>
          <w:lang w:val="en" w:eastAsia="zh-CN"/>
        </w:rPr>
        <w:t>”</w:t>
      </w:r>
      <w:r>
        <w:rPr>
          <w:rFonts w:hint="eastAsia" w:ascii="仿宋_GB2312" w:hAnsi="仿宋_GB2312" w:eastAsia="仿宋_GB2312" w:cs="仿宋_GB2312"/>
          <w:color w:val="auto"/>
          <w:sz w:val="32"/>
          <w:szCs w:val="32"/>
          <w:lang w:val="en-US" w:eastAsia="zh-CN"/>
        </w:rPr>
        <w:t>全产业链，</w:t>
      </w:r>
      <w:r>
        <w:rPr>
          <w:rFonts w:hint="eastAsia" w:ascii="仿宋_GB2312" w:hAnsi="仿宋_GB2312" w:eastAsia="仿宋_GB2312" w:cs="仿宋_GB2312"/>
          <w:color w:val="auto"/>
          <w:szCs w:val="32"/>
        </w:rPr>
        <w:t>打造</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新兵甘</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氢能综合利用试点城市群</w:t>
      </w:r>
      <w:r>
        <w:rPr>
          <w:rFonts w:hint="eastAsia" w:ascii="仿宋_GB2312" w:hAnsi="仿宋_GB2312" w:eastAsia="仿宋_GB2312" w:cs="仿宋_GB2312"/>
          <w:color w:val="auto"/>
          <w:szCs w:val="32"/>
          <w:lang w:val="en-US" w:eastAsia="zh-CN"/>
        </w:rPr>
        <w:t>和</w:t>
      </w:r>
      <w:r>
        <w:rPr>
          <w:rFonts w:hint="eastAsia" w:ascii="仿宋_GB2312" w:hAnsi="仿宋_GB2312" w:eastAsia="仿宋_GB2312" w:cs="仿宋_GB2312"/>
          <w:color w:val="auto"/>
          <w:szCs w:val="32"/>
        </w:rPr>
        <w:t>全省氢能发展先行示范区</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b/>
          <w:bCs/>
          <w:color w:val="auto"/>
        </w:rPr>
        <w:t>电网</w:t>
      </w:r>
      <w:r>
        <w:rPr>
          <w:rFonts w:hint="eastAsia" w:ascii="仿宋_GB2312" w:hAnsi="仿宋_GB2312" w:eastAsia="仿宋_GB2312" w:cs="仿宋_GB2312"/>
          <w:b/>
          <w:bCs/>
          <w:color w:val="auto"/>
          <w:lang w:eastAsia="zh-CN"/>
        </w:rPr>
        <w:t>：</w:t>
      </w:r>
      <w:r>
        <w:rPr>
          <w:rFonts w:hint="eastAsia" w:ascii="仿宋_GB2312" w:hAnsi="仿宋_GB2312" w:eastAsia="仿宋_GB2312" w:cs="仿宋_GB2312"/>
          <w:color w:val="auto"/>
          <w:szCs w:val="32"/>
        </w:rPr>
        <w:t>加快推动陇电入川工程建设，谋划建设库木塔格沙漠、巴丹吉林沙漠二回等外送输电通道，立足新能源基地接网要求，补强750、330千伏骨干网架结构，优化各电压等级变电站布点，促进电网架构升级提质，构建大型基地、调峰火电、调频（调峰）储能、特高压通道协同发展的酒泉特色新型电力系统。</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rPr>
        <w:t>2.构建</w:t>
      </w:r>
      <w:r>
        <w:rPr>
          <w:rFonts w:hint="default" w:ascii="仿宋_GB2312" w:hAnsi="仿宋_GB2312" w:eastAsia="仿宋_GB2312" w:cs="仿宋_GB2312"/>
          <w:b/>
          <w:bCs/>
          <w:color w:val="auto"/>
          <w:lang w:val="en"/>
        </w:rPr>
        <w:t>“</w:t>
      </w:r>
      <w:r>
        <w:rPr>
          <w:rFonts w:hint="eastAsia" w:ascii="仿宋_GB2312" w:hAnsi="仿宋_GB2312" w:eastAsia="仿宋_GB2312" w:cs="仿宋_GB2312"/>
          <w:b/>
          <w:bCs/>
          <w:color w:val="auto"/>
        </w:rPr>
        <w:t>绿电+</w:t>
      </w:r>
      <w:r>
        <w:rPr>
          <w:rFonts w:hint="default" w:ascii="仿宋_GB2312" w:hAnsi="仿宋_GB2312" w:eastAsia="仿宋_GB2312" w:cs="仿宋_GB2312"/>
          <w:b/>
          <w:bCs/>
          <w:color w:val="auto"/>
          <w:lang w:val="en"/>
        </w:rPr>
        <w:t>”</w:t>
      </w:r>
      <w:r>
        <w:rPr>
          <w:rFonts w:hint="eastAsia" w:ascii="仿宋_GB2312" w:hAnsi="仿宋_GB2312" w:eastAsia="仿宋_GB2312" w:cs="仿宋_GB2312"/>
          <w:b/>
          <w:bCs/>
          <w:color w:val="auto"/>
        </w:rPr>
        <w:t>多元融合产业。</w:t>
      </w:r>
      <w:r>
        <w:rPr>
          <w:rFonts w:hint="eastAsia" w:ascii="仿宋_GB2312" w:hAnsi="仿宋_GB2312" w:eastAsia="仿宋_GB2312" w:cs="仿宋_GB2312"/>
          <w:color w:val="auto"/>
        </w:rPr>
        <w:t>发挥绿电低成本优势</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持续拓展</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绿电+</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应用场景</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探索绿电与现代化工、矿产品加工</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新材料、算力</w:t>
      </w:r>
      <w:r>
        <w:rPr>
          <w:rFonts w:hint="eastAsia" w:ascii="仿宋_GB2312" w:hAnsi="仿宋_GB2312" w:eastAsia="仿宋_GB2312" w:cs="仿宋_GB2312"/>
          <w:color w:val="auto"/>
        </w:rPr>
        <w:t>等优势产业深度耦合新模式</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构建</w:t>
      </w:r>
      <w:r>
        <w:rPr>
          <w:rFonts w:hint="default" w:ascii="仿宋_GB2312" w:hAnsi="仿宋_GB2312" w:eastAsia="仿宋_GB2312" w:cs="仿宋_GB2312"/>
          <w:color w:val="auto"/>
          <w:szCs w:val="32"/>
          <w:lang w:val="en"/>
        </w:rPr>
        <w:t>“</w:t>
      </w:r>
      <w:r>
        <w:rPr>
          <w:rFonts w:ascii="仿宋_GB2312" w:hAnsi="仿宋_GB2312" w:eastAsia="仿宋_GB2312" w:cs="仿宋_GB2312"/>
          <w:color w:val="auto"/>
          <w:szCs w:val="32"/>
        </w:rPr>
        <w:t>绿电+产业</w:t>
      </w:r>
      <w:r>
        <w:rPr>
          <w:rFonts w:hint="default" w:ascii="仿宋_GB2312" w:hAnsi="仿宋_GB2312" w:eastAsia="仿宋_GB2312" w:cs="仿宋_GB2312"/>
          <w:color w:val="auto"/>
          <w:szCs w:val="32"/>
          <w:lang w:val="en"/>
        </w:rPr>
        <w:t>”</w:t>
      </w:r>
      <w:r>
        <w:rPr>
          <w:rFonts w:ascii="仿宋_GB2312" w:hAnsi="仿宋_GB2312" w:eastAsia="仿宋_GB2312" w:cs="仿宋_GB2312"/>
          <w:color w:val="auto"/>
          <w:szCs w:val="32"/>
        </w:rPr>
        <w:t>融合发展的清洁能源消费体系</w:t>
      </w:r>
      <w:r>
        <w:rPr>
          <w:rFonts w:hint="eastAsia" w:ascii="仿宋_GB2312" w:hAnsi="仿宋_GB2312" w:eastAsia="仿宋_GB2312" w:cs="仿宋_GB2312"/>
          <w:color w:val="auto"/>
          <w:szCs w:val="32"/>
        </w:rPr>
        <w:t>，</w:t>
      </w:r>
      <w:r>
        <w:rPr>
          <w:rFonts w:hint="eastAsia" w:ascii="仿宋_GB2312" w:hAnsi="仿宋_GB2312" w:eastAsia="仿宋_GB2312" w:cs="仿宋_GB2312"/>
          <w:color w:val="auto"/>
        </w:rPr>
        <w:t>实现新能源产业链</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以绿制绿</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力争全市新能源本地消纳率达到25%以上。</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rPr>
      </w:pPr>
      <w:r>
        <w:rPr>
          <w:rFonts w:hint="eastAsia" w:ascii="仿宋_GB2312" w:hAnsi="仿宋_GB2312" w:eastAsia="仿宋_GB2312" w:cs="仿宋_GB2312"/>
          <w:b/>
          <w:bCs/>
          <w:color w:val="auto"/>
        </w:rPr>
        <w:t>绿电+化工</w:t>
      </w:r>
      <w:r>
        <w:rPr>
          <w:rFonts w:hint="eastAsia" w:ascii="仿宋_GB2312" w:hAnsi="仿宋_GB2312" w:eastAsia="仿宋_GB2312" w:cs="仿宋_GB2312"/>
          <w:color w:val="auto"/>
        </w:rPr>
        <w:t>。以系统性降碳减碳为主线，依托绿电直供化工园区、绿氢清洁能源替代、电转燃料制备等发展路径，健全源网荷储一体化协同发展体系，推动化工生产环节煤炭、燃气等能源清洁替代。聚焦化工产业绿色转型核心，</w:t>
      </w:r>
      <w:r>
        <w:rPr>
          <w:rFonts w:hint="eastAsia" w:ascii="仿宋_GB2312" w:hAnsi="仿宋_GB2312" w:eastAsia="仿宋_GB2312" w:cs="仿宋_GB2312"/>
          <w:color w:val="auto"/>
          <w:lang w:val="en-US" w:eastAsia="zh-CN"/>
        </w:rPr>
        <w:t>开展</w:t>
      </w:r>
      <w:r>
        <w:rPr>
          <w:rFonts w:hint="eastAsia" w:ascii="仿宋_GB2312" w:hAnsi="仿宋_GB2312" w:eastAsia="仿宋_GB2312" w:cs="仿宋_GB2312"/>
          <w:color w:val="auto"/>
        </w:rPr>
        <w:t>绿</w:t>
      </w:r>
      <w:r>
        <w:rPr>
          <w:rFonts w:hint="eastAsia" w:ascii="仿宋_GB2312" w:hAnsi="仿宋_GB2312" w:eastAsia="仿宋_GB2312" w:cs="仿宋_GB2312"/>
          <w:color w:val="auto"/>
          <w:lang w:val="en-US" w:eastAsia="zh-CN"/>
        </w:rPr>
        <w:t>电制</w:t>
      </w:r>
      <w:r>
        <w:rPr>
          <w:rFonts w:hint="eastAsia" w:ascii="仿宋_GB2312" w:hAnsi="仿宋_GB2312" w:eastAsia="仿宋_GB2312" w:cs="仿宋_GB2312"/>
          <w:color w:val="auto"/>
        </w:rPr>
        <w:t>氢赋能化工合成工序，拓展绿色氨醇、氢基化工原料替代等下游绿色应用场景。引进落地先进工艺、核心技术及成套装备，探索CCUS</w:t>
      </w:r>
      <w:r>
        <w:rPr>
          <w:rFonts w:hint="eastAsia" w:ascii="仿宋_GB2312" w:hAnsi="仿宋_GB2312" w:eastAsia="仿宋_GB2312" w:cs="仿宋_GB2312"/>
          <w:color w:val="auto"/>
          <w:lang w:eastAsia="zh-CN"/>
        </w:rPr>
        <w:t>（</w:t>
      </w:r>
      <w:r>
        <w:rPr>
          <w:rFonts w:ascii="Times New Roman" w:hAnsi="Times New Roman"/>
          <w:color w:val="auto"/>
          <w:szCs w:val="32"/>
        </w:rPr>
        <w:t>碳捕集</w:t>
      </w:r>
      <w:r>
        <w:rPr>
          <w:rFonts w:hint="eastAsia"/>
          <w:color w:val="auto"/>
          <w:szCs w:val="32"/>
        </w:rPr>
        <w:t>、</w:t>
      </w:r>
      <w:r>
        <w:rPr>
          <w:rFonts w:ascii="Times New Roman" w:hAnsi="Times New Roman"/>
          <w:color w:val="auto"/>
          <w:szCs w:val="32"/>
        </w:rPr>
        <w:t>利用</w:t>
      </w:r>
      <w:r>
        <w:rPr>
          <w:rFonts w:hint="eastAsia"/>
          <w:color w:val="auto"/>
          <w:szCs w:val="32"/>
        </w:rPr>
        <w:t>与封存</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和绿色化工产业融合发展模式，夯实化工产业绿色低碳发展根基。</w:t>
      </w:r>
    </w:p>
    <w:p>
      <w:pPr>
        <w:pStyle w:val="7"/>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color w:val="auto"/>
          <w:sz w:val="32"/>
        </w:rPr>
      </w:pPr>
      <w:r>
        <w:rPr>
          <w:rFonts w:hint="eastAsia" w:ascii="仿宋_GB2312" w:hAnsi="仿宋_GB2312" w:eastAsia="仿宋_GB2312" w:cs="仿宋_GB2312"/>
          <w:b/>
          <w:bCs/>
          <w:color w:val="auto"/>
          <w:sz w:val="32"/>
        </w:rPr>
        <w:t>绿电+矿产冶炼。</w:t>
      </w:r>
      <w:r>
        <w:rPr>
          <w:rFonts w:hint="eastAsia" w:ascii="仿宋_GB2312" w:hAnsi="仿宋_GB2312" w:eastAsia="仿宋_GB2312" w:cs="仿宋_GB2312"/>
          <w:color w:val="auto"/>
          <w:sz w:val="32"/>
        </w:rPr>
        <w:t>依托丰富优质的硅、锰、镁、铬、钒、煤等矿产资源，按照</w:t>
      </w:r>
      <w:r>
        <w:rPr>
          <w:rFonts w:hint="default" w:ascii="仿宋_GB2312" w:hAnsi="仿宋_GB2312" w:eastAsia="仿宋_GB2312" w:cs="仿宋_GB2312"/>
          <w:color w:val="auto"/>
          <w:sz w:val="32"/>
          <w:lang w:val="en"/>
        </w:rPr>
        <w:t>“</w:t>
      </w:r>
      <w:r>
        <w:rPr>
          <w:rFonts w:hint="eastAsia" w:ascii="仿宋_GB2312" w:hAnsi="仿宋_GB2312" w:eastAsia="仿宋_GB2312" w:cs="仿宋_GB2312"/>
          <w:color w:val="auto"/>
          <w:sz w:val="32"/>
        </w:rPr>
        <w:t>绿电供给保障、开发环节赋能、冶炼环节升级、配套支撑保障</w:t>
      </w:r>
      <w:r>
        <w:rPr>
          <w:rFonts w:hint="default" w:ascii="仿宋_GB2312" w:hAnsi="仿宋_GB2312" w:eastAsia="仿宋_GB2312" w:cs="仿宋_GB2312"/>
          <w:color w:val="auto"/>
          <w:sz w:val="32"/>
          <w:lang w:val="en"/>
        </w:rPr>
        <w:t>”</w:t>
      </w:r>
      <w:r>
        <w:rPr>
          <w:rFonts w:hint="eastAsia" w:ascii="仿宋_GB2312" w:hAnsi="仿宋_GB2312" w:eastAsia="仿宋_GB2312" w:cs="仿宋_GB2312"/>
          <w:color w:val="auto"/>
          <w:sz w:val="32"/>
        </w:rPr>
        <w:t>思路，在矿山集中地区，全面推广绿色矿山、智能矿山机械</w:t>
      </w:r>
      <w:r>
        <w:rPr>
          <w:rFonts w:hint="eastAsia" w:ascii="仿宋_GB2312" w:hAnsi="仿宋_GB2312" w:eastAsia="仿宋_GB2312" w:cs="仿宋_GB2312"/>
          <w:color w:val="auto"/>
          <w:sz w:val="32"/>
          <w:lang w:val="en-US" w:eastAsia="zh-CN"/>
        </w:rPr>
        <w:t>化和</w:t>
      </w:r>
      <w:r>
        <w:rPr>
          <w:rFonts w:hint="eastAsia" w:ascii="仿宋_GB2312" w:hAnsi="仿宋_GB2312" w:eastAsia="仿宋_GB2312" w:cs="仿宋_GB2312"/>
          <w:color w:val="auto"/>
          <w:sz w:val="32"/>
        </w:rPr>
        <w:t>绿电改造技术，配套风光储一体化和绿电直连项目，实现绿电直供和开采、冶炼物理衔接。推进阿克塞绿电直连项目等试点落地，推动矿山采选、金属冶炼产业全方位低碳升级。</w:t>
      </w:r>
    </w:p>
    <w:p>
      <w:pPr>
        <w:pStyle w:val="7"/>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auto"/>
          <w:sz w:val="32"/>
          <w:lang w:eastAsia="zh-CN"/>
        </w:rPr>
      </w:pPr>
      <w:r>
        <w:rPr>
          <w:rFonts w:hint="eastAsia" w:ascii="仿宋_GB2312" w:hAnsi="仿宋_GB2312" w:eastAsia="仿宋_GB2312" w:cs="仿宋_GB2312"/>
          <w:b/>
          <w:bCs/>
          <w:color w:val="auto"/>
          <w:sz w:val="32"/>
        </w:rPr>
        <w:t>绿电+新材料。</w:t>
      </w:r>
      <w:r>
        <w:rPr>
          <w:rFonts w:hint="eastAsia" w:ascii="仿宋_GB2312" w:hAnsi="仿宋_GB2312" w:eastAsia="仿宋_GB2312" w:cs="仿宋_GB2312"/>
          <w:color w:val="auto"/>
          <w:sz w:val="32"/>
        </w:rPr>
        <w:t>立足现有产业</w:t>
      </w:r>
      <w:r>
        <w:rPr>
          <w:rFonts w:hint="eastAsia" w:ascii="仿宋_GB2312" w:hAnsi="仿宋_GB2312" w:eastAsia="仿宋_GB2312" w:cs="仿宋_GB2312"/>
          <w:color w:val="auto"/>
          <w:sz w:val="32"/>
          <w:lang w:val="en-US" w:eastAsia="zh-CN"/>
        </w:rPr>
        <w:t>基础</w:t>
      </w:r>
      <w:r>
        <w:rPr>
          <w:rFonts w:hint="eastAsia" w:ascii="仿宋_GB2312" w:hAnsi="仿宋_GB2312" w:eastAsia="仿宋_GB2312" w:cs="仿宋_GB2312"/>
          <w:color w:val="auto"/>
          <w:sz w:val="32"/>
        </w:rPr>
        <w:t>，主动承接东中部高载能产业向西部清洁能源优势地区转移，</w:t>
      </w:r>
      <w:r>
        <w:rPr>
          <w:rFonts w:hint="eastAsia" w:ascii="仿宋_GB2312" w:hAnsi="仿宋_GB2312" w:eastAsia="仿宋_GB2312" w:cs="仿宋_GB2312"/>
          <w:color w:val="auto"/>
          <w:sz w:val="32"/>
          <w:lang w:val="en-US" w:eastAsia="zh-CN"/>
        </w:rPr>
        <w:t>积极</w:t>
      </w:r>
      <w:r>
        <w:rPr>
          <w:rFonts w:hint="eastAsia" w:ascii="仿宋_GB2312" w:hAnsi="仿宋_GB2312" w:eastAsia="仿宋_GB2312" w:cs="仿宋_GB2312"/>
          <w:color w:val="auto"/>
          <w:sz w:val="32"/>
        </w:rPr>
        <w:t>引进化工、无机非金属和有色金属材料</w:t>
      </w:r>
      <w:r>
        <w:rPr>
          <w:rFonts w:hint="eastAsia" w:ascii="仿宋_GB2312" w:hAnsi="仿宋_GB2312" w:eastAsia="仿宋_GB2312" w:cs="仿宋_GB2312"/>
          <w:color w:val="auto"/>
          <w:sz w:val="32"/>
          <w:lang w:val="en-US" w:eastAsia="zh-CN"/>
        </w:rPr>
        <w:t>等</w:t>
      </w:r>
      <w:r>
        <w:rPr>
          <w:rFonts w:hint="eastAsia" w:ascii="仿宋_GB2312" w:hAnsi="仿宋_GB2312" w:eastAsia="仿宋_GB2312" w:cs="仿宋_GB2312"/>
          <w:color w:val="auto"/>
          <w:sz w:val="32"/>
        </w:rPr>
        <w:t>企业项目</w:t>
      </w:r>
      <w:r>
        <w:rPr>
          <w:rFonts w:hint="eastAsia" w:ascii="仿宋_GB2312" w:hAnsi="仿宋_GB2312" w:eastAsia="仿宋_GB2312" w:cs="仿宋_GB2312"/>
          <w:color w:val="auto"/>
          <w:sz w:val="32"/>
          <w:lang w:eastAsia="zh-CN"/>
        </w:rPr>
        <w:t>，</w:t>
      </w:r>
      <w:r>
        <w:rPr>
          <w:rFonts w:hint="eastAsia" w:ascii="仿宋_GB2312" w:hAnsi="仿宋_GB2312" w:eastAsia="仿宋_GB2312" w:cs="仿宋_GB2312"/>
          <w:color w:val="auto"/>
          <w:sz w:val="32"/>
        </w:rPr>
        <w:t>推动初级材料向高端化、精细化、终端化发展。</w:t>
      </w:r>
      <w:r>
        <w:rPr>
          <w:rFonts w:hint="eastAsia" w:ascii="仿宋_GB2312" w:hAnsi="仿宋_GB2312" w:eastAsia="仿宋_GB2312" w:cs="仿宋_GB2312"/>
          <w:color w:val="auto"/>
          <w:sz w:val="32"/>
          <w:lang w:val="en-US" w:eastAsia="zh-CN"/>
        </w:rPr>
        <w:t>重点</w:t>
      </w:r>
      <w:r>
        <w:rPr>
          <w:rFonts w:hint="eastAsia" w:ascii="仿宋_GB2312" w:hAnsi="仿宋_GB2312" w:eastAsia="仿宋_GB2312" w:cs="仿宋_GB2312"/>
          <w:color w:val="auto"/>
          <w:sz w:val="32"/>
        </w:rPr>
        <w:t>引进钙钛矿材料、</w:t>
      </w:r>
      <w:r>
        <w:rPr>
          <w:rFonts w:hint="eastAsia" w:ascii="仿宋_GB2312" w:hAnsi="仿宋_GB2312" w:eastAsia="仿宋_GB2312" w:cs="仿宋_GB2312"/>
          <w:color w:val="auto"/>
          <w:sz w:val="32"/>
          <w:lang w:val="en-US" w:eastAsia="zh-CN"/>
        </w:rPr>
        <w:t>金属锂</w:t>
      </w:r>
      <w:r>
        <w:rPr>
          <w:rFonts w:hint="eastAsia" w:ascii="仿宋_GB2312" w:hAnsi="仿宋_GB2312" w:eastAsia="仿宋_GB2312" w:cs="仿宋_GB2312"/>
          <w:color w:val="auto"/>
          <w:sz w:val="32"/>
        </w:rPr>
        <w:t>负极材料、硫化物正极材料等新一代高性能新能源材料，发展电化学储能电池、动力电池、电解液、电池材料等储能新材料制造</w:t>
      </w:r>
      <w:r>
        <w:rPr>
          <w:rFonts w:hint="eastAsia" w:ascii="仿宋_GB2312" w:hAnsi="仿宋_GB2312" w:eastAsia="仿宋_GB2312" w:cs="仿宋_GB2312"/>
          <w:color w:val="auto"/>
          <w:sz w:val="32"/>
          <w:lang w:eastAsia="zh-CN"/>
        </w:rPr>
        <w:t>。</w:t>
      </w:r>
      <w:r>
        <w:rPr>
          <w:rFonts w:hint="eastAsia" w:ascii="仿宋_GB2312" w:hAnsi="仿宋_GB2312" w:eastAsia="仿宋_GB2312" w:cs="仿宋_GB2312"/>
          <w:color w:val="auto"/>
          <w:sz w:val="32"/>
        </w:rPr>
        <w:t>围绕氟基、硅基、碳基、锂电、金属新材料开展招商</w:t>
      </w:r>
      <w:r>
        <w:rPr>
          <w:rFonts w:hint="eastAsia" w:ascii="仿宋_GB2312" w:hAnsi="仿宋_GB2312" w:eastAsia="仿宋_GB2312" w:cs="仿宋_GB2312"/>
          <w:color w:val="auto"/>
          <w:sz w:val="32"/>
          <w:lang w:eastAsia="zh-CN"/>
        </w:rPr>
        <w:t>，</w:t>
      </w:r>
      <w:r>
        <w:rPr>
          <w:rFonts w:hint="eastAsia" w:ascii="仿宋_GB2312" w:hAnsi="仿宋_GB2312" w:eastAsia="仿宋_GB2312" w:cs="仿宋_GB2312"/>
          <w:color w:val="auto"/>
          <w:sz w:val="32"/>
        </w:rPr>
        <w:t>以绿电引企业、以企业聚配套</w:t>
      </w:r>
      <w:r>
        <w:rPr>
          <w:rFonts w:hint="eastAsia" w:ascii="仿宋_GB2312" w:hAnsi="仿宋_GB2312" w:eastAsia="仿宋_GB2312" w:cs="仿宋_GB2312"/>
          <w:color w:val="auto"/>
          <w:sz w:val="32"/>
          <w:lang w:eastAsia="zh-CN"/>
        </w:rPr>
        <w:t>，</w:t>
      </w:r>
      <w:r>
        <w:rPr>
          <w:rFonts w:hint="eastAsia" w:ascii="仿宋_GB2312" w:hAnsi="仿宋_GB2312" w:eastAsia="仿宋_GB2312" w:cs="仿宋_GB2312"/>
          <w:color w:val="auto"/>
          <w:sz w:val="32"/>
          <w:lang w:val="en-US" w:eastAsia="zh-CN"/>
        </w:rPr>
        <w:t>提升产业竞争力</w:t>
      </w:r>
      <w:r>
        <w:rPr>
          <w:rFonts w:hint="eastAsia" w:ascii="仿宋_GB2312" w:hAnsi="仿宋_GB2312" w:eastAsia="仿宋_GB2312" w:cs="仿宋_GB2312"/>
          <w:color w:val="auto"/>
          <w:sz w:val="32"/>
          <w:lang w:eastAsia="zh-CN"/>
        </w:rPr>
        <w:t>。</w:t>
      </w:r>
    </w:p>
    <w:p>
      <w:pPr>
        <w:pStyle w:val="7"/>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auto"/>
          <w:kern w:val="2"/>
          <w:sz w:val="32"/>
          <w:szCs w:val="24"/>
          <w:lang w:val="en-US" w:eastAsia="zh-CN" w:bidi="ar-SA"/>
        </w:rPr>
      </w:pPr>
      <w:r>
        <w:rPr>
          <w:rFonts w:hint="eastAsia" w:ascii="仿宋_GB2312" w:hAnsi="仿宋_GB2312" w:eastAsia="仿宋_GB2312" w:cs="仿宋_GB2312"/>
          <w:b/>
          <w:bCs/>
          <w:color w:val="auto"/>
          <w:sz w:val="32"/>
        </w:rPr>
        <w:t>绿电+智慧算力。</w:t>
      </w:r>
      <w:r>
        <w:rPr>
          <w:rFonts w:hint="eastAsia" w:ascii="仿宋_GB2312" w:hAnsi="仿宋_GB2312" w:eastAsia="仿宋_GB2312" w:cs="仿宋_GB2312"/>
          <w:color w:val="auto"/>
          <w:kern w:val="2"/>
          <w:sz w:val="32"/>
          <w:szCs w:val="24"/>
          <w:lang w:val="en-US" w:eastAsia="zh-CN" w:bidi="ar-SA"/>
        </w:rPr>
        <w:t>积极融入国家算力互联互通体系，争取建设国家级算力互联互通行业节点，打造</w:t>
      </w:r>
      <w:r>
        <w:rPr>
          <w:rFonts w:hint="default" w:ascii="仿宋_GB2312" w:hAnsi="仿宋_GB2312" w:eastAsia="仿宋_GB2312" w:cs="仿宋_GB2312"/>
          <w:color w:val="auto"/>
          <w:kern w:val="2"/>
          <w:sz w:val="32"/>
          <w:szCs w:val="24"/>
          <w:lang w:val="en" w:eastAsia="zh-CN" w:bidi="ar-SA"/>
        </w:rPr>
        <w:t>“</w:t>
      </w:r>
      <w:r>
        <w:rPr>
          <w:rFonts w:hint="eastAsia" w:ascii="仿宋_GB2312" w:hAnsi="仿宋_GB2312" w:eastAsia="仿宋_GB2312" w:cs="仿宋_GB2312"/>
          <w:color w:val="auto"/>
          <w:kern w:val="2"/>
          <w:sz w:val="32"/>
          <w:szCs w:val="24"/>
          <w:lang w:val="en-US" w:eastAsia="zh-CN" w:bidi="ar-SA"/>
        </w:rPr>
        <w:t>河西走廊绿电+智算核心节点</w:t>
      </w:r>
      <w:r>
        <w:rPr>
          <w:rFonts w:hint="default" w:ascii="仿宋_GB2312" w:hAnsi="仿宋_GB2312" w:eastAsia="仿宋_GB2312" w:cs="仿宋_GB2312"/>
          <w:color w:val="auto"/>
          <w:kern w:val="2"/>
          <w:sz w:val="32"/>
          <w:szCs w:val="24"/>
          <w:lang w:val="en" w:eastAsia="zh-CN" w:bidi="ar-SA"/>
        </w:rPr>
        <w:t>”</w:t>
      </w:r>
      <w:r>
        <w:rPr>
          <w:rFonts w:hint="eastAsia" w:ascii="仿宋_GB2312" w:hAnsi="仿宋_GB2312" w:eastAsia="仿宋_GB2312" w:cs="仿宋_GB2312"/>
          <w:color w:val="auto"/>
          <w:kern w:val="2"/>
          <w:sz w:val="32"/>
          <w:szCs w:val="24"/>
          <w:lang w:val="en-US" w:eastAsia="zh-CN" w:bidi="ar-SA"/>
        </w:rPr>
        <w:t>。突出算电协同，以酒泉云计算（大数据）中心和新能源场站集中区为重点，加快建设高效低碳、集约循环的绿色算力中心，持续提升算力设施绿色发展水平。重点引进头部企业、智算中心运营机构，合作建设算力中心，积极承接AI训练与推理、大数据存储与应用、行业模型与应用孵化等算力需求，推动重大算力承载项目建设落地，构建</w:t>
      </w:r>
      <w:r>
        <w:rPr>
          <w:rFonts w:hint="default" w:ascii="仿宋_GB2312" w:hAnsi="仿宋_GB2312" w:eastAsia="仿宋_GB2312" w:cs="仿宋_GB2312"/>
          <w:color w:val="auto"/>
          <w:kern w:val="2"/>
          <w:sz w:val="32"/>
          <w:szCs w:val="24"/>
          <w:lang w:val="en" w:eastAsia="zh-CN" w:bidi="ar-SA"/>
        </w:rPr>
        <w:t>“</w:t>
      </w:r>
      <w:r>
        <w:rPr>
          <w:rFonts w:hint="eastAsia" w:ascii="仿宋_GB2312" w:hAnsi="仿宋_GB2312" w:eastAsia="仿宋_GB2312" w:cs="仿宋_GB2312"/>
          <w:color w:val="auto"/>
          <w:kern w:val="2"/>
          <w:sz w:val="32"/>
          <w:szCs w:val="24"/>
          <w:lang w:val="en-US" w:eastAsia="zh-CN" w:bidi="ar-SA"/>
        </w:rPr>
        <w:t>绿电生产—算力加工—数据服务</w:t>
      </w:r>
      <w:r>
        <w:rPr>
          <w:rFonts w:hint="default" w:ascii="仿宋_GB2312" w:hAnsi="仿宋_GB2312" w:eastAsia="仿宋_GB2312" w:cs="仿宋_GB2312"/>
          <w:color w:val="auto"/>
          <w:kern w:val="2"/>
          <w:sz w:val="32"/>
          <w:szCs w:val="24"/>
          <w:lang w:val="en" w:eastAsia="zh-CN" w:bidi="ar-SA"/>
        </w:rPr>
        <w:t>”</w:t>
      </w:r>
      <w:r>
        <w:rPr>
          <w:rFonts w:hint="eastAsia" w:ascii="仿宋_GB2312" w:hAnsi="仿宋_GB2312" w:eastAsia="仿宋_GB2312" w:cs="仿宋_GB2312"/>
          <w:color w:val="auto"/>
          <w:kern w:val="2"/>
          <w:sz w:val="32"/>
          <w:szCs w:val="24"/>
          <w:lang w:val="en-US" w:eastAsia="zh-CN" w:bidi="ar-SA"/>
        </w:rPr>
        <w:t>全产业链。到</w:t>
      </w:r>
      <w:r>
        <w:rPr>
          <w:rFonts w:hint="default" w:ascii="仿宋_GB2312" w:hAnsi="仿宋_GB2312" w:eastAsia="仿宋_GB2312" w:cs="仿宋_GB2312"/>
          <w:color w:val="auto"/>
          <w:kern w:val="2"/>
          <w:sz w:val="32"/>
          <w:szCs w:val="24"/>
          <w:lang w:val="en" w:eastAsia="zh-CN" w:bidi="ar-SA"/>
        </w:rPr>
        <w:t>“</w:t>
      </w:r>
      <w:r>
        <w:rPr>
          <w:rFonts w:hint="eastAsia" w:ascii="仿宋_GB2312" w:hAnsi="仿宋_GB2312" w:eastAsia="仿宋_GB2312" w:cs="仿宋_GB2312"/>
          <w:color w:val="auto"/>
          <w:kern w:val="2"/>
          <w:sz w:val="32"/>
          <w:szCs w:val="24"/>
          <w:lang w:val="en-US" w:eastAsia="zh-CN" w:bidi="ar-SA"/>
        </w:rPr>
        <w:t>十五五</w:t>
      </w:r>
      <w:r>
        <w:rPr>
          <w:rFonts w:hint="default" w:ascii="仿宋_GB2312" w:hAnsi="仿宋_GB2312" w:eastAsia="仿宋_GB2312" w:cs="仿宋_GB2312"/>
          <w:color w:val="auto"/>
          <w:kern w:val="2"/>
          <w:sz w:val="32"/>
          <w:szCs w:val="24"/>
          <w:lang w:val="en" w:eastAsia="zh-CN" w:bidi="ar-SA"/>
        </w:rPr>
        <w:t>”</w:t>
      </w:r>
      <w:r>
        <w:rPr>
          <w:rFonts w:hint="eastAsia" w:ascii="仿宋_GB2312" w:hAnsi="仿宋_GB2312" w:eastAsia="仿宋_GB2312" w:cs="仿宋_GB2312"/>
          <w:color w:val="auto"/>
          <w:kern w:val="2"/>
          <w:sz w:val="32"/>
          <w:szCs w:val="24"/>
          <w:lang w:val="en-US" w:eastAsia="zh-CN" w:bidi="ar-SA"/>
        </w:rPr>
        <w:t>末，力争全市算力突破4万P。</w:t>
      </w:r>
    </w:p>
    <w:p>
      <w:pPr>
        <w:pStyle w:val="7"/>
        <w:keepLines w:val="0"/>
        <w:pageBreakBefore w:val="0"/>
        <w:kinsoku/>
        <w:wordWrap/>
        <w:overflowPunct/>
        <w:topLinePunct w:val="0"/>
        <w:bidi w:val="0"/>
        <w:spacing w:line="560" w:lineRule="exact"/>
        <w:ind w:left="0" w:leftChars="0" w:firstLine="642" w:firstLineChars="200"/>
        <w:textAlignment w:val="auto"/>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b/>
          <w:bCs/>
          <w:color w:val="auto"/>
          <w:kern w:val="2"/>
          <w:sz w:val="32"/>
          <w:szCs w:val="24"/>
          <w:lang w:val="en-US" w:eastAsia="zh-CN" w:bidi="ar-SA"/>
        </w:rPr>
        <w:t>绿电+高端装备。</w:t>
      </w:r>
      <w:r>
        <w:rPr>
          <w:rFonts w:hint="eastAsia" w:ascii="仿宋_GB2312" w:hAnsi="仿宋_GB2312" w:eastAsia="仿宋_GB2312" w:cs="仿宋_GB2312"/>
          <w:color w:val="auto"/>
          <w:kern w:val="2"/>
          <w:sz w:val="32"/>
          <w:szCs w:val="24"/>
          <w:lang w:val="en-US" w:eastAsia="zh-CN" w:bidi="ar-SA"/>
        </w:rPr>
        <w:t>立足我市新能源装备制造产业优势，持续</w:t>
      </w:r>
      <w:r>
        <w:rPr>
          <w:rFonts w:hint="eastAsia" w:ascii="仿宋_GB2312" w:hAnsi="仿宋_GB2312" w:eastAsia="仿宋_GB2312" w:cs="仿宋_GB2312"/>
          <w:color w:val="auto"/>
          <w:sz w:val="32"/>
        </w:rPr>
        <w:t>提升新能源装备制造绿电应用水平与空间集聚效能，</w:t>
      </w:r>
      <w:r>
        <w:rPr>
          <w:rFonts w:hint="eastAsia" w:ascii="仿宋_GB2312" w:hAnsi="仿宋_GB2312" w:eastAsia="仿宋_GB2312" w:cs="仿宋_GB2312"/>
          <w:b w:val="0"/>
          <w:bCs w:val="0"/>
          <w:color w:val="auto"/>
          <w:kern w:val="2"/>
          <w:sz w:val="32"/>
          <w:szCs w:val="24"/>
          <w:lang w:val="en-US" w:eastAsia="zh-CN" w:bidi="ar-SA"/>
        </w:rPr>
        <w:t>聚力创建酒泉经开区</w:t>
      </w:r>
      <w:r>
        <w:rPr>
          <w:rFonts w:hint="default" w:ascii="仿宋_GB2312" w:hAnsi="仿宋_GB2312" w:eastAsia="仿宋_GB2312" w:cs="仿宋_GB2312"/>
          <w:b w:val="0"/>
          <w:bCs w:val="0"/>
          <w:color w:val="auto"/>
          <w:kern w:val="2"/>
          <w:sz w:val="32"/>
          <w:szCs w:val="24"/>
          <w:lang w:val="en" w:eastAsia="zh-CN" w:bidi="ar-SA"/>
        </w:rPr>
        <w:t>“</w:t>
      </w:r>
      <w:r>
        <w:rPr>
          <w:rFonts w:hint="eastAsia" w:ascii="仿宋_GB2312" w:hAnsi="仿宋_GB2312" w:eastAsia="仿宋_GB2312" w:cs="仿宋_GB2312"/>
          <w:b w:val="0"/>
          <w:bCs w:val="0"/>
          <w:color w:val="auto"/>
          <w:kern w:val="2"/>
          <w:sz w:val="32"/>
          <w:szCs w:val="24"/>
          <w:lang w:val="en-US" w:eastAsia="zh-CN" w:bidi="ar-SA"/>
        </w:rPr>
        <w:t>新能源装备制造+绿电直供</w:t>
      </w:r>
      <w:r>
        <w:rPr>
          <w:rFonts w:hint="default" w:ascii="仿宋_GB2312" w:hAnsi="仿宋_GB2312" w:eastAsia="仿宋_GB2312" w:cs="仿宋_GB2312"/>
          <w:b w:val="0"/>
          <w:bCs w:val="0"/>
          <w:color w:val="auto"/>
          <w:kern w:val="2"/>
          <w:sz w:val="32"/>
          <w:szCs w:val="24"/>
          <w:lang w:val="en" w:eastAsia="zh-CN" w:bidi="ar-SA"/>
        </w:rPr>
        <w:t>”</w:t>
      </w:r>
      <w:r>
        <w:rPr>
          <w:rFonts w:hint="eastAsia" w:ascii="仿宋_GB2312" w:hAnsi="仿宋_GB2312" w:eastAsia="仿宋_GB2312" w:cs="仿宋_GB2312"/>
          <w:b w:val="0"/>
          <w:bCs w:val="0"/>
          <w:color w:val="auto"/>
          <w:kern w:val="2"/>
          <w:sz w:val="32"/>
          <w:szCs w:val="24"/>
          <w:lang w:val="en-US" w:eastAsia="zh-CN" w:bidi="ar-SA"/>
        </w:rPr>
        <w:t>型零碳园区，</w:t>
      </w:r>
      <w:r>
        <w:rPr>
          <w:rFonts w:hint="eastAsia" w:ascii="仿宋_GB2312" w:hAnsi="仿宋_GB2312" w:eastAsia="仿宋_GB2312" w:cs="仿宋_GB2312"/>
          <w:color w:val="auto"/>
          <w:sz w:val="32"/>
        </w:rPr>
        <w:t>重点推进</w:t>
      </w:r>
      <w:r>
        <w:rPr>
          <w:rFonts w:hint="default" w:ascii="仿宋_GB2312" w:hAnsi="仿宋_GB2312" w:eastAsia="仿宋_GB2312" w:cs="仿宋_GB2312"/>
          <w:color w:val="auto"/>
          <w:sz w:val="32"/>
          <w:lang w:val="en"/>
        </w:rPr>
        <w:t>“</w:t>
      </w:r>
      <w:r>
        <w:rPr>
          <w:rFonts w:hint="eastAsia" w:ascii="仿宋_GB2312" w:hAnsi="仿宋_GB2312" w:eastAsia="仿宋_GB2312" w:cs="仿宋_GB2312"/>
          <w:color w:val="auto"/>
          <w:sz w:val="32"/>
        </w:rPr>
        <w:t>零碳</w:t>
      </w:r>
      <w:r>
        <w:rPr>
          <w:rFonts w:hint="default" w:ascii="仿宋_GB2312" w:hAnsi="仿宋_GB2312" w:eastAsia="仿宋_GB2312" w:cs="仿宋_GB2312"/>
          <w:color w:val="auto"/>
          <w:sz w:val="32"/>
          <w:lang w:val="en"/>
        </w:rPr>
        <w:t>”</w:t>
      </w:r>
      <w:r>
        <w:rPr>
          <w:rFonts w:hint="eastAsia" w:ascii="仿宋_GB2312" w:hAnsi="仿宋_GB2312" w:eastAsia="仿宋_GB2312" w:cs="仿宋_GB2312"/>
          <w:color w:val="auto"/>
          <w:sz w:val="32"/>
        </w:rPr>
        <w:t>智能装备产业园等项目建设，通过绿电直供、绿电市场化交易等方式，为风机塔筒、光伏组件、储能电池等高载能、出口型装备制造企业提供低成本绿色电力，降低企业生产能耗成本，</w:t>
      </w:r>
      <w:r>
        <w:rPr>
          <w:rFonts w:hint="eastAsia" w:ascii="仿宋_GB2312" w:hAnsi="仿宋_GB2312" w:eastAsia="仿宋_GB2312" w:cs="仿宋_GB2312"/>
          <w:color w:val="auto"/>
          <w:sz w:val="32"/>
          <w:lang w:val="en-US" w:eastAsia="zh-CN"/>
        </w:rPr>
        <w:t>打造更具竞争力的</w:t>
      </w:r>
      <w:r>
        <w:rPr>
          <w:rFonts w:hint="eastAsia" w:ascii="仿宋_GB2312" w:hAnsi="仿宋_GB2312" w:eastAsia="仿宋_GB2312" w:cs="仿宋_GB2312"/>
          <w:color w:val="auto"/>
          <w:sz w:val="32"/>
        </w:rPr>
        <w:t>出口型新能源装备产业</w:t>
      </w:r>
      <w:r>
        <w:rPr>
          <w:rFonts w:hint="eastAsia" w:ascii="仿宋_GB2312" w:hAnsi="仿宋_GB2312" w:eastAsia="仿宋_GB2312" w:cs="仿宋_GB2312"/>
          <w:color w:val="auto"/>
          <w:sz w:val="32"/>
          <w:lang w:eastAsia="zh-CN"/>
        </w:rPr>
        <w:t>。</w:t>
      </w:r>
    </w:p>
    <w:tbl>
      <w:tblPr>
        <w:tblStyle w:val="20"/>
        <w:tblpPr w:leftFromText="180" w:rightFromText="180" w:vertAnchor="text" w:horzAnchor="page" w:tblpX="1840" w:tblpY="30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60" w:type="dxa"/>
            <w:vAlign w:val="center"/>
          </w:tcPr>
          <w:p>
            <w:pPr>
              <w:keepLines w:val="0"/>
              <w:pageBreakBefore w:val="0"/>
              <w:widowControl/>
              <w:kinsoku/>
              <w:wordWrap/>
              <w:overflowPunct/>
              <w:topLinePunct w:val="0"/>
              <w:bidi w:val="0"/>
              <w:adjustRightInd w:val="0"/>
              <w:snapToGrid w:val="0"/>
              <w:spacing w:line="560" w:lineRule="exact"/>
              <w:ind w:firstLine="0" w:firstLineChars="0"/>
              <w:jc w:val="center"/>
              <w:textAlignment w:val="auto"/>
              <w:rPr>
                <w:rFonts w:eastAsia="黑体" w:cs="仿宋_GB2312"/>
                <w:snapToGrid w:val="0"/>
                <w:color w:val="auto"/>
                <w:kern w:val="0"/>
                <w:sz w:val="24"/>
              </w:rPr>
            </w:pPr>
            <w:r>
              <w:rPr>
                <w:rFonts w:hint="eastAsia" w:ascii="黑体" w:hAnsi="黑体" w:eastAsia="黑体" w:cs="黑体"/>
                <w:color w:val="auto"/>
                <w:sz w:val="24"/>
              </w:rPr>
              <w:t xml:space="preserve">专栏1  </w:t>
            </w:r>
            <w:r>
              <w:rPr>
                <w:rFonts w:hint="default" w:ascii="黑体" w:hAnsi="黑体" w:eastAsia="黑体" w:cs="黑体"/>
                <w:color w:val="auto"/>
                <w:sz w:val="24"/>
                <w:lang w:val="en"/>
              </w:rPr>
              <w:t>“</w:t>
            </w:r>
            <w:r>
              <w:rPr>
                <w:rFonts w:hint="eastAsia" w:ascii="黑体" w:hAnsi="黑体" w:eastAsia="黑体" w:cs="黑体"/>
                <w:color w:val="auto"/>
                <w:sz w:val="24"/>
              </w:rPr>
              <w:t>十五五</w:t>
            </w:r>
            <w:r>
              <w:rPr>
                <w:rFonts w:hint="default" w:ascii="黑体" w:hAnsi="黑体" w:eastAsia="黑体" w:cs="黑体"/>
                <w:color w:val="auto"/>
                <w:sz w:val="24"/>
                <w:lang w:val="en"/>
              </w:rPr>
              <w:t>”</w:t>
            </w:r>
            <w:r>
              <w:rPr>
                <w:rFonts w:hint="eastAsia" w:ascii="黑体" w:hAnsi="黑体" w:eastAsia="黑体" w:cs="黑体"/>
                <w:color w:val="auto"/>
                <w:sz w:val="24"/>
              </w:rPr>
              <w:t>期间就地高效消纳项目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1" w:hRule="atLeast"/>
        </w:trPr>
        <w:tc>
          <w:tcPr>
            <w:tcW w:w="8460" w:type="dxa"/>
          </w:tcPr>
          <w:p>
            <w:pPr>
              <w:pStyle w:val="18"/>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ind w:firstLine="480" w:firstLineChars="200"/>
              <w:jc w:val="both"/>
              <w:textAlignment w:val="auto"/>
              <w:rPr>
                <w:rFonts w:hint="eastAsia" w:ascii="仿宋_GB2312" w:hAnsi="仿宋_GB2312" w:eastAsia="仿宋_GB2312" w:cs="仿宋_GB2312"/>
                <w:snapToGrid w:val="0"/>
                <w:color w:val="auto"/>
                <w:lang w:eastAsia="zh-CN"/>
              </w:rPr>
            </w:pPr>
            <w:r>
              <w:rPr>
                <w:rFonts w:hint="eastAsia" w:ascii="仿宋_GB2312" w:hAnsi="仿宋_GB2312" w:eastAsia="仿宋_GB2312" w:cs="仿宋_GB2312"/>
                <w:snapToGrid w:val="0"/>
                <w:color w:val="auto"/>
                <w:lang w:val="en-US" w:eastAsia="zh-CN"/>
              </w:rPr>
              <w:t>1.</w:t>
            </w:r>
            <w:r>
              <w:rPr>
                <w:rFonts w:hint="eastAsia" w:ascii="仿宋_GB2312" w:hAnsi="仿宋_GB2312" w:eastAsia="仿宋_GB2312" w:cs="仿宋_GB2312"/>
                <w:snapToGrid w:val="0"/>
                <w:color w:val="auto"/>
              </w:rPr>
              <w:t>酒泉经开区20万千瓦源网荷储一体化项目</w:t>
            </w:r>
            <w:r>
              <w:rPr>
                <w:rFonts w:hint="eastAsia" w:ascii="仿宋_GB2312" w:hAnsi="仿宋_GB2312" w:eastAsia="仿宋_GB2312" w:cs="仿宋_GB2312"/>
                <w:snapToGrid w:val="0"/>
                <w:color w:val="auto"/>
                <w:lang w:eastAsia="zh-CN"/>
              </w:rPr>
              <w:t>；</w:t>
            </w:r>
          </w:p>
          <w:p>
            <w:pPr>
              <w:pStyle w:val="18"/>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ind w:firstLine="480" w:firstLineChars="200"/>
              <w:jc w:val="both"/>
              <w:textAlignment w:val="auto"/>
              <w:rPr>
                <w:rFonts w:hint="eastAsia" w:ascii="仿宋_GB2312" w:hAnsi="仿宋_GB2312" w:eastAsia="仿宋_GB2312" w:cs="仿宋_GB2312"/>
                <w:snapToGrid w:val="0"/>
                <w:color w:val="auto"/>
                <w:lang w:eastAsia="zh-CN"/>
              </w:rPr>
            </w:pPr>
            <w:r>
              <w:rPr>
                <w:rFonts w:hint="eastAsia" w:ascii="仿宋_GB2312" w:hAnsi="仿宋_GB2312" w:eastAsia="仿宋_GB2312" w:cs="仿宋_GB2312"/>
                <w:snapToGrid w:val="0"/>
                <w:color w:val="auto"/>
                <w:lang w:val="en-US" w:eastAsia="zh-CN"/>
              </w:rPr>
              <w:t>2.</w:t>
            </w:r>
            <w:r>
              <w:rPr>
                <w:rFonts w:hint="eastAsia" w:ascii="仿宋_GB2312" w:hAnsi="仿宋_GB2312" w:eastAsia="仿宋_GB2312" w:cs="仿宋_GB2312"/>
                <w:snapToGrid w:val="0"/>
                <w:color w:val="auto"/>
              </w:rPr>
              <w:t>瓜州北大桥50万千瓦源网荷储一体化示范项目建设</w:t>
            </w:r>
            <w:r>
              <w:rPr>
                <w:rFonts w:hint="eastAsia" w:ascii="仿宋_GB2312" w:hAnsi="仿宋_GB2312" w:eastAsia="仿宋_GB2312" w:cs="仿宋_GB2312"/>
                <w:snapToGrid w:val="0"/>
                <w:color w:val="auto"/>
                <w:lang w:eastAsia="zh-CN"/>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hint="eastAsia" w:ascii="仿宋_GB2312" w:hAnsi="仿宋_GB2312" w:eastAsia="仿宋_GB2312" w:cs="仿宋_GB2312"/>
                <w:snapToGrid w:val="0"/>
                <w:color w:val="auto"/>
                <w:lang w:eastAsia="zh-CN"/>
              </w:rPr>
            </w:pPr>
            <w:r>
              <w:rPr>
                <w:rFonts w:hint="eastAsia" w:ascii="仿宋_GB2312" w:hAnsi="仿宋_GB2312" w:eastAsia="仿宋_GB2312" w:cs="仿宋_GB2312"/>
                <w:snapToGrid w:val="0"/>
                <w:color w:val="auto"/>
                <w:lang w:val="en-US" w:eastAsia="zh-CN"/>
              </w:rPr>
              <w:t>3.</w:t>
            </w:r>
            <w:r>
              <w:rPr>
                <w:rFonts w:hint="eastAsia" w:ascii="仿宋_GB2312" w:hAnsi="仿宋_GB2312" w:eastAsia="仿宋_GB2312" w:cs="仿宋_GB2312"/>
                <w:snapToGrid w:val="0"/>
                <w:color w:val="auto"/>
              </w:rPr>
              <w:t>百度网讯肃州区抖音算力中心</w:t>
            </w:r>
            <w:r>
              <w:rPr>
                <w:rFonts w:hint="eastAsia" w:ascii="仿宋_GB2312" w:hAnsi="仿宋_GB2312" w:eastAsia="仿宋_GB2312" w:cs="仿宋_GB2312"/>
                <w:snapToGrid w:val="0"/>
                <w:color w:val="auto"/>
                <w:lang w:eastAsia="zh-CN"/>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hint="eastAsia" w:ascii="仿宋_GB2312" w:hAnsi="仿宋_GB2312" w:eastAsia="仿宋_GB2312" w:cs="仿宋_GB2312"/>
                <w:snapToGrid w:val="0"/>
                <w:color w:val="auto"/>
                <w:lang w:eastAsia="zh-CN"/>
              </w:rPr>
            </w:pPr>
            <w:r>
              <w:rPr>
                <w:rFonts w:hint="eastAsia" w:ascii="仿宋_GB2312" w:hAnsi="仿宋_GB2312" w:eastAsia="仿宋_GB2312" w:cs="仿宋_GB2312"/>
                <w:snapToGrid w:val="0"/>
                <w:color w:val="auto"/>
                <w:lang w:val="en-US" w:eastAsia="zh-CN"/>
              </w:rPr>
              <w:t>4.</w:t>
            </w:r>
            <w:r>
              <w:rPr>
                <w:rFonts w:hint="eastAsia" w:ascii="仿宋_GB2312" w:hAnsi="仿宋_GB2312" w:eastAsia="仿宋_GB2312" w:cs="仿宋_GB2312"/>
                <w:snapToGrid w:val="0"/>
                <w:color w:val="auto"/>
              </w:rPr>
              <w:t>玉门市虚拟电厂项目建设</w:t>
            </w:r>
            <w:r>
              <w:rPr>
                <w:rFonts w:hint="eastAsia" w:ascii="仿宋_GB2312" w:hAnsi="仿宋_GB2312" w:eastAsia="仿宋_GB2312" w:cs="仿宋_GB2312"/>
                <w:snapToGrid w:val="0"/>
                <w:color w:val="auto"/>
                <w:lang w:eastAsia="zh-CN"/>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hint="eastAsia" w:ascii="Times New Roman" w:hAnsi="Times New Roman" w:eastAsia="仿宋_GB2312" w:cs="仿宋_GB2312"/>
                <w:color w:val="auto"/>
                <w:sz w:val="28"/>
                <w:szCs w:val="28"/>
                <w:lang w:eastAsia="zh-CN"/>
              </w:rPr>
            </w:pPr>
            <w:r>
              <w:rPr>
                <w:rFonts w:hint="eastAsia" w:ascii="仿宋_GB2312" w:hAnsi="仿宋_GB2312" w:eastAsia="仿宋_GB2312" w:cs="仿宋_GB2312"/>
                <w:snapToGrid w:val="0"/>
                <w:color w:val="auto"/>
                <w:lang w:val="en-US" w:eastAsia="zh-CN"/>
              </w:rPr>
              <w:t>5.</w:t>
            </w:r>
            <w:r>
              <w:rPr>
                <w:rFonts w:hint="eastAsia" w:ascii="仿宋_GB2312" w:hAnsi="仿宋_GB2312" w:eastAsia="仿宋_GB2312" w:cs="仿宋_GB2312"/>
                <w:snapToGrid w:val="0"/>
                <w:color w:val="auto"/>
              </w:rPr>
              <w:t>远景能源阿克塞绿电直连示范项目。</w:t>
            </w:r>
          </w:p>
        </w:tc>
      </w:tr>
    </w:tbl>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rPr>
      </w:pPr>
      <w:r>
        <w:rPr>
          <w:rFonts w:hint="eastAsia" w:ascii="仿宋_GB2312" w:hAnsi="仿宋_GB2312" w:eastAsia="仿宋_GB2312" w:cs="仿宋_GB2312"/>
          <w:b/>
          <w:bCs/>
          <w:color w:val="auto"/>
        </w:rPr>
        <w:t>3.打造新能源装备制造全产业链基地。</w:t>
      </w:r>
      <w:r>
        <w:rPr>
          <w:rFonts w:hint="eastAsia" w:ascii="仿宋_GB2312" w:hAnsi="仿宋_GB2312" w:eastAsia="仿宋_GB2312" w:cs="仿宋_GB2312"/>
          <w:color w:val="auto"/>
        </w:rPr>
        <w:t>坚持强龙头、补链条、聚集群，以能源重大技术装备研发制造为主攻方向，按照</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基地化</w:t>
      </w:r>
      <w:r>
        <w:rPr>
          <w:rFonts w:hint="eastAsia" w:ascii="仿宋_GB2312" w:hAnsi="仿宋_GB2312" w:eastAsia="仿宋_GB2312" w:cs="仿宋_GB2312"/>
          <w:color w:val="auto"/>
          <w:lang w:val="en-US" w:eastAsia="zh-CN"/>
        </w:rPr>
        <w:t>推进</w:t>
      </w:r>
      <w:r>
        <w:rPr>
          <w:rFonts w:hint="eastAsia" w:ascii="仿宋_GB2312" w:hAnsi="仿宋_GB2312" w:eastAsia="仿宋_GB2312" w:cs="仿宋_GB2312"/>
          <w:color w:val="auto"/>
        </w:rPr>
        <w:t>、大电网外送、全产业链发展</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思路，全面提升新能源装备制造产业核心竞争力，增强产业链供应链韧性和安全水平，推动形成产品优势突出、集群分工合理、配套体系完善、创新与市场拓展能力较强的发展格局，打造全国领先的新能源装备制造基地、技术创新策源地和装备输出枢纽。</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rPr>
      </w:pPr>
      <w:r>
        <w:rPr>
          <w:rFonts w:hint="eastAsia" w:ascii="仿宋_GB2312" w:hAnsi="仿宋_GB2312" w:eastAsia="仿宋_GB2312" w:cs="仿宋_GB2312"/>
          <w:b/>
          <w:bCs/>
          <w:color w:val="auto"/>
        </w:rPr>
        <w:t>做强风电装备产业链。</w:t>
      </w:r>
      <w:r>
        <w:rPr>
          <w:rFonts w:hint="eastAsia" w:ascii="仿宋_GB2312" w:hAnsi="仿宋_GB2312" w:eastAsia="仿宋_GB2312" w:cs="仿宋_GB2312"/>
          <w:color w:val="auto"/>
        </w:rPr>
        <w:t>持续巩固拓展酒泉全国最大陆上风电装备制造基地优势，推动风机全产业链本地化自主生产。顺应风电机组轻量化、大型化发展趋势，支持总装企业紧跟风电技术迭代步伐，研发和生产大兆瓦风力发电机组，推进风电装备产业大型化。持续提升发电机、轴承、法兰、大型铸件、齿轮箱等关键零部件的配套能力，完善润滑制动系统、偏航变桨系统、风电变流器、玻纤及碳纤复合材料等产业链环节，打造全国领先的风电装备产业集群。</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rPr>
      </w:pPr>
      <w:r>
        <w:rPr>
          <w:rFonts w:hint="eastAsia" w:ascii="仿宋_GB2312" w:hAnsi="仿宋_GB2312" w:eastAsia="仿宋_GB2312" w:cs="仿宋_GB2312"/>
          <w:b/>
          <w:bCs/>
          <w:color w:val="auto"/>
        </w:rPr>
        <w:t>建优光伏装备产业链。</w:t>
      </w:r>
      <w:r>
        <w:rPr>
          <w:rFonts w:hint="eastAsia" w:ascii="仿宋_GB2312" w:hAnsi="仿宋_GB2312" w:eastAsia="仿宋_GB2312" w:cs="仿宋_GB2312"/>
          <w:color w:val="auto"/>
        </w:rPr>
        <w:t>聚焦研发、制造、应用等关键环节，稳定现有企业生产，压减低端低效产能、优化建设先进产能，提升产业质效。引导支持企业建设制造业创新中心、高水平研发中心和测试平台，积极引进高效晶硅-钙钛矿叠层及异质结、背接触、碲化镉、铜铟镓硒等新一代太阳能电池技术，促进量产应用，打造</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硅料—切片—电池—组件—系统集成</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光伏全产业链。</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rPr>
      </w:pPr>
      <w:r>
        <w:rPr>
          <w:rFonts w:hint="eastAsia" w:ascii="仿宋_GB2312" w:hAnsi="仿宋_GB2312" w:eastAsia="仿宋_GB2312" w:cs="仿宋_GB2312"/>
          <w:b/>
          <w:bCs/>
          <w:color w:val="auto"/>
        </w:rPr>
        <w:t>做大光热装备产业链。</w:t>
      </w:r>
      <w:r>
        <w:rPr>
          <w:rFonts w:hint="eastAsia" w:ascii="仿宋_GB2312" w:hAnsi="仿宋_GB2312" w:eastAsia="仿宋_GB2312" w:cs="仿宋_GB2312"/>
          <w:color w:val="auto"/>
        </w:rPr>
        <w:t>依托市域内外光热示范电站应用场景，重点发展吸热器、反射镜、集热管、大容量新型熔盐储罐、熔盐泵、换热器、特种工业阀门等通用光热装备，同步发展导热油、导热熔盐等化工材料，培育光热电站总承包企业，提供光热电站系统集成及EPC总承包服务。</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rPr>
      </w:pPr>
      <w:r>
        <w:rPr>
          <w:rFonts w:hint="eastAsia" w:ascii="仿宋_GB2312" w:hAnsi="仿宋_GB2312" w:eastAsia="仿宋_GB2312" w:cs="仿宋_GB2312"/>
          <w:b/>
          <w:bCs/>
          <w:color w:val="auto"/>
        </w:rPr>
        <w:t>完善储能装备产业链。</w:t>
      </w:r>
      <w:r>
        <w:rPr>
          <w:rFonts w:hint="eastAsia" w:ascii="仿宋_GB2312" w:hAnsi="仿宋_GB2312" w:eastAsia="仿宋_GB2312" w:cs="仿宋_GB2312"/>
          <w:color w:val="auto"/>
        </w:rPr>
        <w:t>加快发展钠离子电池、液流电池、半固态及固态电池等新型储能电池，布局正负极材料、铜箔、铝箔、隔膜、双极板、储能变流器、储能设备梯次利用等电化学储能配套装备，适时发展空气压缩、飞轮、重力等物理储能装备，推动建立高安全高可靠储能装备体系。</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rPr>
      </w:pPr>
      <w:r>
        <w:rPr>
          <w:rFonts w:hint="eastAsia" w:ascii="仿宋_GB2312" w:hAnsi="仿宋_GB2312" w:eastAsia="仿宋_GB2312" w:cs="仿宋_GB2312"/>
          <w:b/>
          <w:bCs/>
          <w:color w:val="auto"/>
        </w:rPr>
        <w:t>延伸氢能装备产业链。</w:t>
      </w:r>
      <w:r>
        <w:rPr>
          <w:rFonts w:hint="eastAsia" w:ascii="仿宋_GB2312" w:hAnsi="仿宋_GB2312" w:eastAsia="仿宋_GB2312" w:cs="仿宋_GB2312"/>
          <w:color w:val="auto"/>
        </w:rPr>
        <w:t>坚持氢气制取、存储、运输、应用装备一体化，发展PEM膜制氢、氢气提纯装备、储氢罐、氢燃料电池、加氢站成套设备等装备制造，培育氢能装备检测认证平台。</w:t>
      </w:r>
    </w:p>
    <w:p>
      <w:pPr>
        <w:keepLines w:val="0"/>
        <w:pageBreakBefore w:val="0"/>
        <w:kinsoku/>
        <w:wordWrap/>
        <w:overflowPunct/>
        <w:topLinePunct w:val="0"/>
        <w:bidi w:val="0"/>
        <w:spacing w:line="560" w:lineRule="exact"/>
        <w:ind w:firstLine="643"/>
        <w:textAlignment w:val="auto"/>
        <w:rPr>
          <w:rFonts w:ascii="等线" w:hAnsi="等线" w:eastAsia="等线"/>
          <w:color w:val="auto"/>
          <w:szCs w:val="22"/>
        </w:rPr>
      </w:pPr>
      <w:r>
        <w:rPr>
          <w:rFonts w:hint="eastAsia" w:ascii="仿宋_GB2312" w:hAnsi="仿宋_GB2312" w:eastAsia="仿宋_GB2312" w:cs="仿宋_GB2312"/>
          <w:b/>
          <w:bCs/>
          <w:color w:val="auto"/>
        </w:rPr>
        <w:t>发展智慧电网装备产业链。</w:t>
      </w:r>
      <w:r>
        <w:rPr>
          <w:rFonts w:hint="eastAsia" w:ascii="仿宋_GB2312" w:hAnsi="仿宋_GB2312" w:eastAsia="仿宋_GB2312" w:cs="仿宋_GB2312"/>
          <w:color w:val="auto"/>
        </w:rPr>
        <w:t>依托大电网优势，重点突破中高压变压器、变流器、开关电器、配电装置等电气设备以及电站开发成套系统、组合电器等装备，促进电网装备产业链上下游协同发展。</w:t>
      </w:r>
    </w:p>
    <w:tbl>
      <w:tblPr>
        <w:tblStyle w:val="20"/>
        <w:tblpPr w:leftFromText="180" w:rightFromText="180" w:vertAnchor="text" w:horzAnchor="page" w:tblpX="1676" w:tblpY="332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9060" w:type="dxa"/>
          </w:tcPr>
          <w:p>
            <w:pPr>
              <w:keepLines w:val="0"/>
              <w:pageBreakBefore w:val="0"/>
              <w:kinsoku/>
              <w:wordWrap/>
              <w:overflowPunct/>
              <w:topLinePunct w:val="0"/>
              <w:bidi w:val="0"/>
              <w:spacing w:line="560" w:lineRule="exact"/>
              <w:ind w:firstLine="480"/>
              <w:jc w:val="center"/>
              <w:textAlignment w:val="auto"/>
              <w:rPr>
                <w:rFonts w:ascii="Times New Roman" w:hAnsi="Times New Roman" w:eastAsia="仿宋"/>
                <w:snapToGrid w:val="0"/>
                <w:color w:val="auto"/>
                <w:kern w:val="0"/>
                <w:szCs w:val="32"/>
              </w:rPr>
            </w:pPr>
            <w:r>
              <w:rPr>
                <w:rFonts w:hint="eastAsia" w:ascii="黑体" w:hAnsi="黑体" w:eastAsia="黑体" w:cs="黑体"/>
                <w:color w:val="auto"/>
                <w:sz w:val="24"/>
              </w:rPr>
              <w:t>专栏</w:t>
            </w:r>
            <w:r>
              <w:rPr>
                <w:rFonts w:ascii="黑体" w:hAnsi="黑体" w:eastAsia="黑体" w:cs="黑体"/>
                <w:color w:val="auto"/>
                <w:sz w:val="24"/>
                <w:lang w:val="en"/>
              </w:rPr>
              <w:t xml:space="preserve">2 </w:t>
            </w:r>
            <w:r>
              <w:rPr>
                <w:rFonts w:hint="eastAsia" w:ascii="黑体" w:hAnsi="黑体" w:eastAsia="黑体" w:cs="黑体"/>
                <w:color w:val="auto"/>
                <w:sz w:val="24"/>
              </w:rPr>
              <w:t xml:space="preserve"> 新能</w:t>
            </w:r>
            <w:r>
              <w:rPr>
                <w:rFonts w:ascii="黑体" w:hAnsi="黑体" w:eastAsia="黑体" w:cs="黑体"/>
                <w:color w:val="auto"/>
                <w:sz w:val="24"/>
              </w:rPr>
              <w:t>源装备</w:t>
            </w:r>
            <w:r>
              <w:rPr>
                <w:rFonts w:hint="eastAsia" w:ascii="黑体" w:hAnsi="黑体" w:eastAsia="黑体" w:cs="黑体"/>
                <w:color w:val="auto"/>
                <w:sz w:val="24"/>
              </w:rPr>
              <w:t>制造</w:t>
            </w:r>
            <w:r>
              <w:rPr>
                <w:rFonts w:ascii="黑体" w:hAnsi="黑体" w:eastAsia="黑体" w:cs="黑体"/>
                <w:color w:val="auto"/>
                <w:sz w:val="24"/>
              </w:rPr>
              <w:t>产业重点项目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0" w:hRule="atLeast"/>
        </w:trPr>
        <w:tc>
          <w:tcPr>
            <w:tcW w:w="9060" w:type="dxa"/>
          </w:tcPr>
          <w:p>
            <w:pPr>
              <w:pStyle w:val="18"/>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ind w:firstLine="480" w:firstLineChars="200"/>
              <w:jc w:val="both"/>
              <w:textAlignment w:val="auto"/>
              <w:rPr>
                <w:rFonts w:hint="eastAsia" w:ascii="仿宋_GB2312" w:hAnsi="仿宋_GB2312" w:eastAsia="仿宋_GB2312" w:cs="仿宋_GB2312"/>
                <w:snapToGrid w:val="0"/>
                <w:color w:val="auto"/>
                <w:lang w:eastAsia="zh-CN"/>
              </w:rPr>
            </w:pPr>
            <w:r>
              <w:rPr>
                <w:rFonts w:hint="eastAsia" w:ascii="仿宋_GB2312" w:hAnsi="仿宋_GB2312" w:eastAsia="仿宋_GB2312" w:cs="仿宋_GB2312"/>
                <w:snapToGrid w:val="0"/>
                <w:color w:val="auto"/>
                <w:lang w:val="en-US" w:eastAsia="zh-CN"/>
              </w:rPr>
              <w:t>1.</w:t>
            </w:r>
            <w:r>
              <w:rPr>
                <w:rFonts w:ascii="仿宋_GB2312" w:hAnsi="仿宋_GB2312" w:eastAsia="仿宋_GB2312" w:cs="仿宋_GB2312"/>
                <w:snapToGrid w:val="0"/>
                <w:color w:val="auto"/>
              </w:rPr>
              <w:t>远景酒泉零碳基地项目</w:t>
            </w:r>
            <w:r>
              <w:rPr>
                <w:rFonts w:hint="eastAsia" w:ascii="仿宋_GB2312" w:hAnsi="仿宋_GB2312" w:eastAsia="仿宋_GB2312" w:cs="仿宋_GB2312"/>
                <w:snapToGrid w:val="0"/>
                <w:color w:val="auto"/>
                <w:lang w:eastAsia="zh-CN"/>
              </w:rPr>
              <w:t>；</w:t>
            </w:r>
          </w:p>
          <w:p>
            <w:pPr>
              <w:pStyle w:val="18"/>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ind w:firstLine="480" w:firstLineChars="20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lang w:val="en-US" w:eastAsia="zh-CN"/>
              </w:rPr>
              <w:t>2.</w:t>
            </w:r>
            <w:r>
              <w:rPr>
                <w:rFonts w:ascii="仿宋_GB2312" w:hAnsi="仿宋_GB2312" w:eastAsia="仿宋_GB2312" w:cs="仿宋_GB2312"/>
                <w:snapToGrid w:val="0"/>
                <w:color w:val="auto"/>
              </w:rPr>
              <w:t>华锐风电高端装备制造产业集群二期项目</w:t>
            </w:r>
            <w:r>
              <w:rPr>
                <w:rFonts w:hint="eastAsia" w:ascii="仿宋_GB2312" w:hAnsi="仿宋_GB2312" w:eastAsia="仿宋_GB2312" w:cs="仿宋_GB2312"/>
                <w:snapToGrid w:val="0"/>
                <w:color w:val="auto"/>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lang w:val="en-US" w:eastAsia="zh-CN"/>
              </w:rPr>
              <w:t>3.</w:t>
            </w:r>
            <w:r>
              <w:rPr>
                <w:rFonts w:ascii="仿宋_GB2312" w:hAnsi="仿宋_GB2312" w:eastAsia="仿宋_GB2312" w:cs="仿宋_GB2312"/>
                <w:snapToGrid w:val="0"/>
                <w:color w:val="auto"/>
              </w:rPr>
              <w:t>正泰光伏装备智能制造产业基地项目（三期）</w:t>
            </w:r>
            <w:r>
              <w:rPr>
                <w:rFonts w:hint="eastAsia" w:ascii="仿宋_GB2312" w:hAnsi="仿宋_GB2312" w:eastAsia="仿宋_GB2312" w:cs="仿宋_GB2312"/>
                <w:snapToGrid w:val="0"/>
                <w:color w:val="auto"/>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hint="eastAsia" w:ascii="仿宋_GB2312" w:hAnsi="仿宋_GB2312" w:eastAsia="仿宋_GB2312" w:cs="仿宋_GB2312"/>
                <w:snapToGrid w:val="0"/>
                <w:color w:val="auto"/>
                <w:lang w:eastAsia="zh-CN"/>
              </w:rPr>
            </w:pPr>
            <w:r>
              <w:rPr>
                <w:rFonts w:hint="eastAsia" w:ascii="仿宋_GB2312" w:hAnsi="仿宋_GB2312" w:eastAsia="仿宋_GB2312" w:cs="仿宋_GB2312"/>
                <w:snapToGrid w:val="0"/>
                <w:color w:val="auto"/>
                <w:lang w:val="en-US" w:eastAsia="zh-CN"/>
              </w:rPr>
              <w:t>4.</w:t>
            </w:r>
            <w:r>
              <w:rPr>
                <w:rFonts w:ascii="仿宋_GB2312" w:hAnsi="仿宋_GB2312" w:eastAsia="仿宋_GB2312" w:cs="仿宋_GB2312"/>
                <w:snapToGrid w:val="0"/>
                <w:color w:val="auto"/>
              </w:rPr>
              <w:t>海博思创10GWh电芯生产线及配套设施项目</w:t>
            </w:r>
            <w:r>
              <w:rPr>
                <w:rFonts w:hint="eastAsia" w:ascii="仿宋_GB2312" w:hAnsi="仿宋_GB2312" w:eastAsia="仿宋_GB2312" w:cs="仿宋_GB2312"/>
                <w:snapToGrid w:val="0"/>
                <w:color w:val="auto"/>
                <w:lang w:eastAsia="zh-CN"/>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lang w:val="en-US" w:eastAsia="zh-CN"/>
              </w:rPr>
              <w:t>5.</w:t>
            </w:r>
            <w:r>
              <w:rPr>
                <w:rFonts w:ascii="仿宋_GB2312" w:hAnsi="仿宋_GB2312" w:eastAsia="仿宋_GB2312" w:cs="仿宋_GB2312"/>
                <w:snapToGrid w:val="0"/>
                <w:color w:val="auto"/>
              </w:rPr>
              <w:t>科帆能源5GWh储能装备制造项目；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hint="eastAsia" w:ascii="仿宋_GB2312" w:hAnsi="仿宋_GB2312" w:eastAsia="仿宋_GB2312" w:cs="仿宋_GB2312"/>
                <w:snapToGrid w:val="0"/>
                <w:color w:val="auto"/>
                <w:lang w:eastAsia="zh-CN"/>
              </w:rPr>
            </w:pPr>
            <w:r>
              <w:rPr>
                <w:rFonts w:hint="eastAsia" w:ascii="仿宋_GB2312" w:hAnsi="仿宋_GB2312" w:eastAsia="仿宋_GB2312" w:cs="仿宋_GB2312"/>
                <w:snapToGrid w:val="0"/>
                <w:color w:val="auto"/>
                <w:lang w:val="en-US" w:eastAsia="zh-CN"/>
              </w:rPr>
              <w:t>6.</w:t>
            </w:r>
            <w:r>
              <w:rPr>
                <w:rFonts w:hint="eastAsia" w:ascii="仿宋_GB2312" w:hAnsi="仿宋_GB2312" w:eastAsia="仿宋_GB2312" w:cs="仿宋_GB2312"/>
                <w:snapToGrid w:val="0"/>
                <w:color w:val="auto"/>
              </w:rPr>
              <w:t>凯盛大明太阳能光热和光伏发电用聚光材料及深加工二期项目</w:t>
            </w:r>
            <w:r>
              <w:rPr>
                <w:rFonts w:hint="eastAsia" w:ascii="仿宋_GB2312" w:hAnsi="仿宋_GB2312" w:eastAsia="仿宋_GB2312" w:cs="仿宋_GB2312"/>
                <w:snapToGrid w:val="0"/>
                <w:color w:val="auto"/>
                <w:lang w:eastAsia="zh-CN"/>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lang w:val="en-US" w:eastAsia="zh-CN"/>
              </w:rPr>
              <w:t>7.</w:t>
            </w:r>
            <w:r>
              <w:rPr>
                <w:rFonts w:hint="eastAsia" w:ascii="仿宋_GB2312" w:hAnsi="仿宋_GB2312" w:eastAsia="仿宋_GB2312" w:cs="仿宋_GB2312"/>
                <w:snapToGrid w:val="0"/>
                <w:color w:val="auto"/>
              </w:rPr>
              <w:t>太阳能高精度聚光镜生产基地项目；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hint="eastAsia" w:ascii="仿宋_GB2312" w:hAnsi="仿宋_GB2312" w:eastAsia="仿宋_GB2312" w:cs="仿宋_GB2312"/>
                <w:snapToGrid w:val="0"/>
                <w:color w:val="auto"/>
                <w:lang w:eastAsia="zh-CN"/>
              </w:rPr>
            </w:pPr>
            <w:r>
              <w:rPr>
                <w:rFonts w:hint="eastAsia" w:ascii="仿宋_GB2312" w:hAnsi="仿宋_GB2312" w:eastAsia="仿宋_GB2312" w:cs="仿宋_GB2312"/>
                <w:snapToGrid w:val="0"/>
                <w:color w:val="auto"/>
                <w:lang w:val="en-US" w:eastAsia="zh-CN"/>
              </w:rPr>
              <w:t>8.</w:t>
            </w:r>
            <w:r>
              <w:rPr>
                <w:rFonts w:hint="eastAsia" w:ascii="仿宋_GB2312" w:hAnsi="仿宋_GB2312" w:eastAsia="仿宋_GB2312" w:cs="仿宋_GB2312"/>
                <w:snapToGrid w:val="0"/>
                <w:color w:val="auto"/>
              </w:rPr>
              <w:t>资源循环集团新能源资源循环产业基地建设项目</w:t>
            </w:r>
            <w:r>
              <w:rPr>
                <w:rFonts w:hint="eastAsia" w:ascii="仿宋_GB2312" w:hAnsi="仿宋_GB2312" w:eastAsia="仿宋_GB2312" w:cs="仿宋_GB2312"/>
                <w:snapToGrid w:val="0"/>
                <w:color w:val="auto"/>
                <w:lang w:eastAsia="zh-CN"/>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hint="eastAsia" w:ascii="Times New Roman" w:hAnsi="Times New Roman" w:eastAsia="仿宋_GB2312"/>
                <w:snapToGrid w:val="0"/>
                <w:color w:val="auto"/>
                <w:sz w:val="28"/>
                <w:szCs w:val="28"/>
                <w:lang w:val="en" w:eastAsia="zh-CN"/>
              </w:rPr>
            </w:pPr>
            <w:r>
              <w:rPr>
                <w:rFonts w:hint="eastAsia" w:ascii="仿宋_GB2312" w:hAnsi="仿宋_GB2312" w:eastAsia="仿宋_GB2312" w:cs="仿宋_GB2312"/>
                <w:snapToGrid w:val="0"/>
                <w:color w:val="auto"/>
                <w:lang w:val="en-US" w:eastAsia="zh-CN"/>
              </w:rPr>
              <w:t>9.</w:t>
            </w:r>
            <w:r>
              <w:rPr>
                <w:rFonts w:ascii="仿宋_GB2312" w:hAnsi="仿宋_GB2312" w:eastAsia="仿宋_GB2312" w:cs="仿宋_GB2312"/>
                <w:snapToGrid w:val="0"/>
                <w:color w:val="auto"/>
              </w:rPr>
              <w:t>鑫崧阳新能源设备低碳循环经济及新能源材料生产项目</w:t>
            </w:r>
            <w:r>
              <w:rPr>
                <w:rFonts w:hint="eastAsia" w:ascii="仿宋_GB2312" w:hAnsi="仿宋_GB2312" w:eastAsia="仿宋_GB2312" w:cs="仿宋_GB2312"/>
                <w:snapToGrid w:val="0"/>
                <w:color w:val="auto"/>
                <w:lang w:eastAsia="zh-CN"/>
              </w:rPr>
              <w:t>。</w:t>
            </w:r>
          </w:p>
        </w:tc>
      </w:tr>
    </w:tbl>
    <w:p>
      <w:pPr>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color w:val="auto"/>
          <w:lang w:val="en-US" w:eastAsia="zh-CN"/>
        </w:rPr>
      </w:pPr>
      <w:r>
        <w:rPr>
          <w:rFonts w:hint="eastAsia" w:ascii="仿宋_GB2312" w:hAnsi="仿宋_GB2312" w:eastAsia="仿宋_GB2312" w:cs="仿宋_GB2312"/>
          <w:b/>
          <w:bCs/>
          <w:color w:val="auto"/>
          <w:lang w:val="en-US" w:eastAsia="zh-CN"/>
        </w:rPr>
        <w:t>推进新能源新型固废综合利用。</w:t>
      </w:r>
      <w:r>
        <w:rPr>
          <w:rFonts w:hint="eastAsia" w:ascii="仿宋_GB2312" w:hAnsi="仿宋_GB2312" w:eastAsia="仿宋_GB2312" w:cs="仿宋_GB2312"/>
          <w:color w:val="auto"/>
        </w:rPr>
        <w:t>聚焦风光电设备改造升级和循环利用，重点突破退役风机叶片热解回收、光伏组件硅材料提纯</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lang w:val="en-US" w:eastAsia="zh-CN"/>
        </w:rPr>
        <w:t>废旧储能电池干法物理回收利用</w:t>
      </w:r>
      <w:r>
        <w:rPr>
          <w:rFonts w:hint="eastAsia" w:ascii="仿宋_GB2312" w:hAnsi="仿宋_GB2312" w:eastAsia="仿宋_GB2312" w:cs="仿宋_GB2312"/>
          <w:color w:val="auto"/>
        </w:rPr>
        <w:t>等关键技术，推进新能源新型固废循环节约高效利用，</w:t>
      </w:r>
      <w:r>
        <w:rPr>
          <w:rFonts w:hint="eastAsia" w:ascii="仿宋_GB2312" w:hAnsi="仿宋_GB2312" w:eastAsia="仿宋_GB2312" w:cs="仿宋_GB2312"/>
          <w:b w:val="0"/>
          <w:bCs w:val="0"/>
          <w:color w:val="auto"/>
          <w:lang w:val="en-US" w:eastAsia="zh-CN"/>
        </w:rPr>
        <w:t>打造西北重要的新能源新型固废综合利用示范基地。</w:t>
      </w:r>
    </w:p>
    <w:p>
      <w:pPr>
        <w:pStyle w:val="2"/>
        <w:rPr>
          <w:rFonts w:hint="eastAsia"/>
          <w:lang w:val="en-US" w:eastAsia="zh-CN"/>
        </w:rPr>
      </w:pPr>
    </w:p>
    <w:p>
      <w:pPr>
        <w:rPr>
          <w:rFonts w:hint="eastAsia" w:ascii="仿宋_GB2312" w:hAnsi="仿宋_GB2312" w:eastAsia="仿宋_GB2312" w:cs="仿宋_GB2312"/>
          <w:b w:val="0"/>
          <w:bCs w:val="0"/>
          <w:color w:val="auto"/>
          <w:lang w:val="en-US" w:eastAsia="zh-CN"/>
        </w:rPr>
      </w:pPr>
      <w:r>
        <w:rPr>
          <w:rFonts w:hint="eastAsia" w:ascii="仿宋_GB2312" w:hAnsi="仿宋_GB2312" w:eastAsia="仿宋_GB2312" w:cs="仿宋_GB2312"/>
          <w:b w:val="0"/>
          <w:bCs w:val="0"/>
          <w:color w:val="auto"/>
          <w:lang w:val="en-US" w:eastAsia="zh-CN"/>
        </w:rPr>
        <w:br w:type="page"/>
      </w:r>
    </w:p>
    <w:p>
      <w:pPr>
        <w:pStyle w:val="4"/>
        <w:keepLines w:val="0"/>
        <w:pageBreakBefore w:val="0"/>
        <w:kinsoku/>
        <w:wordWrap/>
        <w:overflowPunct/>
        <w:topLinePunct w:val="0"/>
        <w:bidi w:val="0"/>
        <w:spacing w:before="0" w:after="0" w:line="560" w:lineRule="exact"/>
        <w:ind w:firstLine="643"/>
        <w:jc w:val="both"/>
        <w:textAlignment w:val="auto"/>
        <w:rPr>
          <w:rFonts w:ascii="楷体_GB2312" w:hAnsi="楷体_GB2312" w:eastAsia="楷体_GB2312" w:cs="楷体_GB2312"/>
          <w:color w:val="auto"/>
        </w:rPr>
      </w:pPr>
      <w:bookmarkStart w:id="52" w:name="_Toc1098897720"/>
      <w:bookmarkStart w:id="53" w:name="_Toc15968"/>
      <w:r>
        <w:rPr>
          <w:rFonts w:hint="eastAsia" w:ascii="楷体_GB2312" w:hAnsi="楷体_GB2312" w:eastAsia="楷体_GB2312" w:cs="楷体_GB2312"/>
          <w:color w:val="auto"/>
          <w:lang w:eastAsia="zh-CN"/>
        </w:rPr>
        <w:t>二</w:t>
      </w:r>
      <w:r>
        <w:rPr>
          <w:rFonts w:ascii="楷体_GB2312" w:hAnsi="楷体_GB2312" w:eastAsia="楷体_GB2312" w:cs="楷体_GB2312"/>
          <w:color w:val="auto"/>
        </w:rPr>
        <w:t>、</w:t>
      </w:r>
      <w:r>
        <w:rPr>
          <w:rFonts w:hint="eastAsia" w:ascii="楷体_GB2312" w:hAnsi="楷体_GB2312" w:eastAsia="楷体_GB2312" w:cs="楷体_GB2312"/>
          <w:color w:val="auto"/>
        </w:rPr>
        <w:t>优势</w:t>
      </w:r>
      <w:r>
        <w:rPr>
          <w:rFonts w:ascii="楷体_GB2312" w:hAnsi="楷体_GB2312" w:eastAsia="楷体_GB2312" w:cs="楷体_GB2312"/>
          <w:color w:val="auto"/>
        </w:rPr>
        <w:t>产业</w:t>
      </w:r>
      <w:r>
        <w:rPr>
          <w:rFonts w:hint="eastAsia" w:ascii="楷体_GB2312" w:hAnsi="楷体_GB2312" w:eastAsia="楷体_GB2312" w:cs="楷体_GB2312"/>
          <w:color w:val="auto"/>
        </w:rPr>
        <w:t>集群扩展</w:t>
      </w:r>
      <w:r>
        <w:rPr>
          <w:rFonts w:ascii="楷体_GB2312" w:hAnsi="楷体_GB2312" w:eastAsia="楷体_GB2312" w:cs="楷体_GB2312"/>
          <w:color w:val="auto"/>
        </w:rPr>
        <w:t>，夯实率先发展根基</w:t>
      </w:r>
      <w:bookmarkEnd w:id="52"/>
      <w:bookmarkEnd w:id="53"/>
    </w:p>
    <w:p>
      <w:pPr>
        <w:pStyle w:val="19"/>
        <w:keepLines w:val="0"/>
        <w:pageBreakBefore w:val="0"/>
        <w:kinsoku/>
        <w:wordWrap/>
        <w:overflowPunct/>
        <w:topLinePunct w:val="0"/>
        <w:bidi w:val="0"/>
        <w:spacing w:line="560" w:lineRule="exact"/>
        <w:ind w:firstLine="640" w:firstLineChars="200"/>
        <w:jc w:val="both"/>
        <w:textAlignment w:val="auto"/>
        <w:rPr>
          <w:rFonts w:ascii="仿宋_GB2312" w:hAnsi="仿宋_GB2312" w:eastAsia="仿宋_GB2312" w:cs="仿宋_GB2312"/>
          <w:color w:val="auto"/>
          <w:szCs w:val="32"/>
        </w:rPr>
      </w:pPr>
      <w:r>
        <w:rPr>
          <w:rFonts w:hint="eastAsia" w:ascii="仿宋_GB2312" w:hAnsi="仿宋_GB2312" w:eastAsia="仿宋_GB2312" w:cs="仿宋_GB2312"/>
          <w:color w:val="auto"/>
          <w:szCs w:val="32"/>
        </w:rPr>
        <w:t>加快推进</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绿电</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和现代化工、矿产品精深加工、新材料</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szCs w:val="32"/>
          <w:lang w:val="en-US" w:eastAsia="zh-CN"/>
        </w:rPr>
        <w:t>数字产业</w:t>
      </w:r>
      <w:r>
        <w:rPr>
          <w:rFonts w:hint="eastAsia" w:ascii="仿宋_GB2312" w:hAnsi="仿宋_GB2312" w:eastAsia="仿宋_GB2312" w:cs="仿宋_GB2312"/>
          <w:color w:val="auto"/>
          <w:szCs w:val="32"/>
        </w:rPr>
        <w:t>等产业深度耦合互促发展，打造西部重要的原材料保障基地，进一步夯实酒泉市</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率先发展，勇做标兵</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基础。</w:t>
      </w:r>
      <w:bookmarkStart w:id="54" w:name="_Toc19527"/>
    </w:p>
    <w:p>
      <w:pPr>
        <w:pStyle w:val="5"/>
        <w:keepNext/>
        <w:keepLines w:val="0"/>
        <w:pageBreakBefore w:val="0"/>
        <w:widowControl w:val="0"/>
        <w:kinsoku/>
        <w:wordWrap/>
        <w:overflowPunct/>
        <w:topLinePunct w:val="0"/>
        <w:bidi w:val="0"/>
        <w:spacing w:line="560" w:lineRule="exact"/>
        <w:ind w:firstLine="643"/>
        <w:jc w:val="both"/>
        <w:textAlignment w:val="auto"/>
        <w:rPr>
          <w:rFonts w:hint="default" w:ascii="仿宋_GB2312" w:hAnsi="仿宋_GB2312" w:eastAsia="仿宋_GB2312" w:cs="仿宋_GB2312"/>
          <w:color w:val="auto"/>
        </w:rPr>
      </w:pPr>
      <w:bookmarkStart w:id="55" w:name="_Toc903674743"/>
      <w:r>
        <w:rPr>
          <w:rFonts w:ascii="仿宋_GB2312" w:hAnsi="仿宋_GB2312" w:eastAsia="仿宋_GB2312" w:cs="仿宋_GB2312"/>
          <w:color w:val="auto"/>
        </w:rPr>
        <w:t>（一）现代化工产业</w:t>
      </w:r>
      <w:bookmarkEnd w:id="54"/>
      <w:bookmarkEnd w:id="55"/>
      <w:bookmarkStart w:id="56" w:name="_Toc18608"/>
    </w:p>
    <w:p>
      <w:pPr>
        <w:pStyle w:val="5"/>
        <w:keepNext/>
        <w:keepLines w:val="0"/>
        <w:pageBreakBefore w:val="0"/>
        <w:widowControl w:val="0"/>
        <w:kinsoku/>
        <w:wordWrap/>
        <w:overflowPunct/>
        <w:topLinePunct w:val="0"/>
        <w:bidi w:val="0"/>
        <w:spacing w:line="560" w:lineRule="exact"/>
        <w:ind w:firstLine="643"/>
        <w:jc w:val="both"/>
        <w:textAlignment w:val="auto"/>
        <w:rPr>
          <w:rFonts w:hint="default" w:ascii="仿宋_GB2312" w:hAnsi="仿宋_GB2312" w:eastAsia="仿宋_GB2312" w:cs="仿宋_GB2312"/>
          <w:color w:val="auto"/>
        </w:rPr>
      </w:pPr>
      <w:bookmarkStart w:id="57" w:name="_Toc1840301181"/>
      <w:r>
        <w:rPr>
          <w:rFonts w:ascii="仿宋_GB2312" w:hAnsi="仿宋_GB2312" w:eastAsia="仿宋_GB2312" w:cs="仿宋_GB2312"/>
          <w:color w:val="auto"/>
        </w:rPr>
        <w:t>1.发展目标</w:t>
      </w:r>
      <w:bookmarkEnd w:id="56"/>
      <w:bookmarkEnd w:id="57"/>
    </w:p>
    <w:p>
      <w:pPr>
        <w:keepLines w:val="0"/>
        <w:pageBreakBefore w:val="0"/>
        <w:kinsoku/>
        <w:wordWrap/>
        <w:overflowPunct/>
        <w:topLinePunct w:val="0"/>
        <w:bidi w:val="0"/>
        <w:spacing w:line="560" w:lineRule="exact"/>
        <w:ind w:firstLine="640"/>
        <w:jc w:val="both"/>
        <w:textAlignment w:val="auto"/>
        <w:rPr>
          <w:rFonts w:ascii="仿宋_GB2312" w:hAnsi="仿宋_GB2312" w:eastAsia="仿宋_GB2312" w:cs="仿宋_GB2312"/>
          <w:color w:val="auto"/>
          <w:szCs w:val="32"/>
        </w:rPr>
      </w:pPr>
      <w:r>
        <w:rPr>
          <w:rFonts w:hint="eastAsia" w:ascii="仿宋_GB2312" w:hAnsi="仿宋_GB2312" w:eastAsia="仿宋_GB2312" w:cs="仿宋_GB2312"/>
          <w:color w:val="auto"/>
        </w:rPr>
        <w:t>坚持特色化、差异化、高值化、绿色化发展方向，强化</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绿电+化工</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深度耦合互促发展</w:t>
      </w:r>
      <w:r>
        <w:rPr>
          <w:rFonts w:hint="eastAsia" w:ascii="仿宋_GB2312" w:hAnsi="仿宋_GB2312" w:eastAsia="仿宋_GB2312" w:cs="仿宋_GB2312"/>
          <w:color w:val="auto"/>
          <w:szCs w:val="32"/>
        </w:rPr>
        <w:t>。到2030年，产值突破600亿元，基本建成绿色化工高质量发展示范区和西部重要的现代化工产业基地。</w:t>
      </w:r>
    </w:p>
    <w:p>
      <w:pPr>
        <w:pStyle w:val="5"/>
        <w:keepNext/>
        <w:keepLines w:val="0"/>
        <w:pageBreakBefore w:val="0"/>
        <w:widowControl w:val="0"/>
        <w:kinsoku/>
        <w:wordWrap/>
        <w:overflowPunct/>
        <w:topLinePunct w:val="0"/>
        <w:bidi w:val="0"/>
        <w:spacing w:line="560" w:lineRule="exact"/>
        <w:ind w:firstLine="643"/>
        <w:jc w:val="both"/>
        <w:textAlignment w:val="auto"/>
        <w:rPr>
          <w:rFonts w:hint="default" w:ascii="仿宋_GB2312" w:hAnsi="仿宋_GB2312" w:eastAsia="仿宋_GB2312" w:cs="仿宋_GB2312"/>
          <w:color w:val="auto"/>
          <w:lang w:val="en"/>
        </w:rPr>
      </w:pPr>
      <w:bookmarkStart w:id="58" w:name="_Toc30856"/>
      <w:bookmarkStart w:id="59" w:name="_Toc568353222"/>
      <w:r>
        <w:rPr>
          <w:rFonts w:ascii="仿宋_GB2312" w:hAnsi="仿宋_GB2312" w:eastAsia="仿宋_GB2312" w:cs="仿宋_GB2312"/>
          <w:color w:val="auto"/>
        </w:rPr>
        <w:t>2.发展重点</w:t>
      </w:r>
      <w:bookmarkEnd w:id="58"/>
      <w:bookmarkEnd w:id="59"/>
    </w:p>
    <w:p>
      <w:pPr>
        <w:pStyle w:val="9"/>
        <w:keepLines w:val="0"/>
        <w:pageBreakBefore w:val="0"/>
        <w:kinsoku/>
        <w:wordWrap/>
        <w:overflowPunct/>
        <w:topLinePunct w:val="0"/>
        <w:bidi w:val="0"/>
        <w:spacing w:line="560" w:lineRule="exact"/>
        <w:ind w:firstLine="643"/>
        <w:jc w:val="both"/>
        <w:textAlignment w:val="auto"/>
        <w:rPr>
          <w:rFonts w:hAnsi="仿宋_GB2312" w:cs="仿宋_GB2312"/>
          <w:color w:val="auto"/>
        </w:rPr>
      </w:pPr>
      <w:r>
        <w:rPr>
          <w:rFonts w:hint="eastAsia" w:hAnsi="仿宋_GB2312" w:cs="仿宋_GB2312"/>
          <w:b/>
          <w:bCs/>
          <w:color w:val="auto"/>
          <w:kern w:val="0"/>
          <w:lang w:bidi="ar"/>
        </w:rPr>
        <w:t>推动石化产业提质延链</w:t>
      </w:r>
      <w:r>
        <w:rPr>
          <w:rFonts w:hint="eastAsia" w:hAnsi="仿宋_GB2312" w:cs="仿宋_GB2312"/>
          <w:b/>
          <w:bCs/>
          <w:color w:val="auto"/>
        </w:rPr>
        <w:t>。</w:t>
      </w:r>
      <w:r>
        <w:rPr>
          <w:rFonts w:hint="eastAsia" w:hAnsi="仿宋_GB2312" w:cs="仿宋_GB2312"/>
          <w:color w:val="auto"/>
        </w:rPr>
        <w:t>推进产业</w:t>
      </w:r>
      <w:r>
        <w:rPr>
          <w:rFonts w:hint="default" w:hAnsi="仿宋_GB2312" w:cs="仿宋_GB2312"/>
          <w:color w:val="auto"/>
          <w:lang w:val="en"/>
        </w:rPr>
        <w:t>“</w:t>
      </w:r>
      <w:r>
        <w:rPr>
          <w:rFonts w:hint="eastAsia" w:hAnsi="仿宋_GB2312" w:cs="仿宋_GB2312"/>
          <w:color w:val="auto"/>
        </w:rPr>
        <w:t>增化增特</w:t>
      </w:r>
      <w:r>
        <w:rPr>
          <w:rFonts w:hint="default" w:hAnsi="仿宋_GB2312" w:cs="仿宋_GB2312"/>
          <w:color w:val="auto"/>
          <w:lang w:val="en"/>
        </w:rPr>
        <w:t>”</w:t>
      </w:r>
      <w:r>
        <w:rPr>
          <w:rFonts w:hint="eastAsia" w:hAnsi="仿宋_GB2312" w:cs="仿宋_GB2312"/>
          <w:color w:val="auto"/>
        </w:rPr>
        <w:t>，加快绿电、绿热、绿氢规模化替代应用，实现新能源和炼化深度融合，构建</w:t>
      </w:r>
      <w:r>
        <w:rPr>
          <w:rFonts w:hint="default" w:hAnsi="仿宋_GB2312" w:cs="仿宋_GB2312"/>
          <w:color w:val="auto"/>
          <w:lang w:val="en"/>
        </w:rPr>
        <w:t>“</w:t>
      </w:r>
      <w:r>
        <w:rPr>
          <w:rFonts w:hint="eastAsia" w:hAnsi="仿宋_GB2312" w:cs="仿宋_GB2312"/>
          <w:color w:val="auto"/>
        </w:rPr>
        <w:t>氢能+特色精品绿色炼化</w:t>
      </w:r>
      <w:r>
        <w:rPr>
          <w:rFonts w:hint="default" w:hAnsi="仿宋_GB2312" w:cs="仿宋_GB2312"/>
          <w:color w:val="auto"/>
          <w:lang w:val="en"/>
        </w:rPr>
        <w:t>”</w:t>
      </w:r>
      <w:r>
        <w:rPr>
          <w:rFonts w:hint="eastAsia" w:hAnsi="仿宋_GB2312" w:cs="仿宋_GB2312"/>
          <w:color w:val="auto"/>
        </w:rPr>
        <w:t>一体化的绿色发展新模式。延伸高端低凝油品、液体火箭发动机用煤油等特种油品链条，打造</w:t>
      </w:r>
      <w:r>
        <w:rPr>
          <w:rFonts w:hint="default" w:hAnsi="仿宋_GB2312" w:cs="仿宋_GB2312"/>
          <w:color w:val="auto"/>
          <w:lang w:val="en"/>
        </w:rPr>
        <w:t>“</w:t>
      </w:r>
      <w:r>
        <w:rPr>
          <w:rFonts w:hint="eastAsia" w:hAnsi="仿宋_GB2312" w:cs="仿宋_GB2312"/>
          <w:color w:val="auto"/>
        </w:rPr>
        <w:t>高精尖</w:t>
      </w:r>
      <w:r>
        <w:rPr>
          <w:rFonts w:hint="default" w:hAnsi="仿宋_GB2312" w:cs="仿宋_GB2312"/>
          <w:color w:val="auto"/>
          <w:lang w:val="en"/>
        </w:rPr>
        <w:t>”</w:t>
      </w:r>
      <w:r>
        <w:rPr>
          <w:rFonts w:hint="eastAsia" w:hAnsi="仿宋_GB2312" w:cs="仿宋_GB2312"/>
          <w:color w:val="auto"/>
        </w:rPr>
        <w:t>特种油品基地。加快推进油田改造，拓展光伏制氢、绿电耦合等应用场景，形成油气电氢协同发展的产业新格局。</w:t>
      </w:r>
    </w:p>
    <w:p>
      <w:pPr>
        <w:pStyle w:val="8"/>
        <w:keepLines w:val="0"/>
        <w:pageBreakBefore w:val="0"/>
        <w:kinsoku/>
        <w:wordWrap/>
        <w:overflowPunct/>
        <w:topLinePunct w:val="0"/>
        <w:bidi w:val="0"/>
        <w:spacing w:line="560" w:lineRule="exact"/>
        <w:ind w:firstLine="643"/>
        <w:jc w:val="both"/>
        <w:textAlignment w:val="auto"/>
        <w:rPr>
          <w:rFonts w:ascii="仿宋_GB2312" w:hAnsi="仿宋_GB2312" w:eastAsia="仿宋_GB2312" w:cs="仿宋_GB2312"/>
          <w:color w:val="auto"/>
          <w:kern w:val="0"/>
          <w:szCs w:val="32"/>
          <w:lang w:bidi="ar"/>
        </w:rPr>
      </w:pPr>
      <w:r>
        <w:rPr>
          <w:rFonts w:hint="eastAsia" w:ascii="仿宋_GB2312" w:hAnsi="仿宋_GB2312" w:eastAsia="仿宋_GB2312" w:cs="仿宋_GB2312"/>
          <w:b/>
          <w:bCs/>
          <w:color w:val="auto"/>
          <w:kern w:val="0"/>
          <w:szCs w:val="32"/>
          <w:lang w:bidi="ar"/>
        </w:rPr>
        <w:t>促进煤化工提质增效。</w:t>
      </w:r>
      <w:r>
        <w:rPr>
          <w:rFonts w:hint="eastAsia" w:ascii="仿宋_GB2312" w:hAnsi="仿宋_GB2312" w:eastAsia="仿宋_GB2312" w:cs="仿宋_GB2312"/>
          <w:color w:val="auto"/>
          <w:kern w:val="0"/>
          <w:szCs w:val="32"/>
          <w:lang w:bidi="ar"/>
        </w:rPr>
        <w:t>以低阶煤分质利用为突破口，推动煤化工向精细化、材料化转型。重点发展煤基精细化工和化工新材料，促进煤化工与绿电、绿氢等清洁能源深度融合，构建</w:t>
      </w:r>
      <w:r>
        <w:rPr>
          <w:rFonts w:hint="default" w:ascii="仿宋_GB2312" w:hAnsi="仿宋_GB2312" w:eastAsia="仿宋_GB2312" w:cs="仿宋_GB2312"/>
          <w:color w:val="auto"/>
          <w:kern w:val="0"/>
          <w:szCs w:val="32"/>
          <w:lang w:val="en" w:bidi="ar"/>
        </w:rPr>
        <w:t>“</w:t>
      </w:r>
      <w:r>
        <w:rPr>
          <w:rFonts w:hint="eastAsia" w:ascii="仿宋_GB2312" w:hAnsi="仿宋_GB2312" w:eastAsia="仿宋_GB2312" w:cs="仿宋_GB2312"/>
          <w:color w:val="auto"/>
          <w:kern w:val="0"/>
          <w:szCs w:val="32"/>
          <w:lang w:bidi="ar"/>
        </w:rPr>
        <w:t>煤—电—化—材</w:t>
      </w:r>
      <w:r>
        <w:rPr>
          <w:rFonts w:hint="default" w:ascii="仿宋_GB2312" w:hAnsi="仿宋_GB2312" w:eastAsia="仿宋_GB2312" w:cs="仿宋_GB2312"/>
          <w:color w:val="auto"/>
          <w:kern w:val="0"/>
          <w:szCs w:val="32"/>
          <w:lang w:val="en" w:bidi="ar"/>
        </w:rPr>
        <w:t>”</w:t>
      </w:r>
      <w:r>
        <w:rPr>
          <w:rFonts w:hint="eastAsia" w:ascii="仿宋_GB2312" w:hAnsi="仿宋_GB2312" w:eastAsia="仿宋_GB2312" w:cs="仿宋_GB2312"/>
          <w:color w:val="auto"/>
          <w:kern w:val="0"/>
          <w:szCs w:val="32"/>
          <w:lang w:bidi="ar"/>
        </w:rPr>
        <w:t>一体化生态。力争形成3000万吨煤炭分质利用及下游新材料产业，推动煤焦油深加工向针状焦、锂电池负极材料等高端煤基新材料延伸。积极开展规模化绿电、绿氢利用替代和CCUS</w:t>
      </w:r>
      <w:r>
        <w:rPr>
          <w:rFonts w:hint="eastAsia" w:ascii="仿宋_GB2312" w:hAnsi="仿宋_GB2312" w:eastAsia="仿宋_GB2312" w:cs="仿宋_GB2312"/>
          <w:color w:val="auto"/>
          <w:kern w:val="0"/>
          <w:szCs w:val="32"/>
          <w:lang w:eastAsia="zh-CN" w:bidi="ar"/>
        </w:rPr>
        <w:t>（</w:t>
      </w:r>
      <w:r>
        <w:rPr>
          <w:rFonts w:hint="eastAsia" w:ascii="仿宋_GB2312" w:hAnsi="仿宋_GB2312" w:eastAsia="仿宋_GB2312" w:cs="仿宋_GB2312"/>
          <w:color w:val="auto"/>
          <w:kern w:val="0"/>
          <w:szCs w:val="32"/>
          <w:lang w:bidi="ar"/>
        </w:rPr>
        <w:t>碳捕集、利用与封存应用</w:t>
      </w:r>
      <w:r>
        <w:rPr>
          <w:rFonts w:hint="eastAsia" w:ascii="仿宋_GB2312" w:hAnsi="仿宋_GB2312" w:eastAsia="仿宋_GB2312" w:cs="仿宋_GB2312"/>
          <w:color w:val="auto"/>
          <w:kern w:val="0"/>
          <w:szCs w:val="32"/>
          <w:lang w:eastAsia="zh-CN" w:bidi="ar"/>
        </w:rPr>
        <w:t>）</w:t>
      </w:r>
      <w:r>
        <w:rPr>
          <w:rFonts w:hint="eastAsia" w:ascii="仿宋_GB2312" w:hAnsi="仿宋_GB2312" w:eastAsia="仿宋_GB2312" w:cs="仿宋_GB2312"/>
          <w:color w:val="auto"/>
          <w:kern w:val="0"/>
          <w:szCs w:val="32"/>
          <w:lang w:bidi="ar"/>
        </w:rPr>
        <w:t>，强化煤化工与新能源、精细化工协同发展，提升资源利用效率和产业绿色化水平。构建以焦化为龙头，以煤炭洗选、焦化、煤焦油加氢、焦炉煤气综合利用为主的上、中、下游循环利用、关联协作的煤化工产业链。</w:t>
      </w:r>
    </w:p>
    <w:p>
      <w:pPr>
        <w:keepLines w:val="0"/>
        <w:pageBreakBefore w:val="0"/>
        <w:kinsoku/>
        <w:wordWrap/>
        <w:overflowPunct/>
        <w:topLinePunct w:val="0"/>
        <w:bidi w:val="0"/>
        <w:spacing w:line="560" w:lineRule="exact"/>
        <w:ind w:firstLine="643"/>
        <w:jc w:val="both"/>
        <w:textAlignment w:val="auto"/>
        <w:rPr>
          <w:rFonts w:ascii="仿宋_GB2312" w:hAnsi="仿宋_GB2312" w:eastAsia="仿宋_GB2312" w:cs="仿宋_GB2312"/>
          <w:color w:val="auto"/>
        </w:rPr>
      </w:pPr>
      <w:r>
        <w:rPr>
          <w:rFonts w:hint="eastAsia" w:ascii="仿宋_GB2312" w:hAnsi="仿宋_GB2312" w:eastAsia="仿宋_GB2312" w:cs="仿宋_GB2312"/>
          <w:b/>
          <w:bCs/>
          <w:color w:val="auto"/>
          <w:kern w:val="0"/>
          <w:szCs w:val="32"/>
          <w:lang w:bidi="ar"/>
        </w:rPr>
        <w:t>壮大精细化工产业集群</w:t>
      </w:r>
      <w:r>
        <w:rPr>
          <w:rFonts w:hint="eastAsia" w:ascii="仿宋_GB2312" w:hAnsi="仿宋_GB2312" w:eastAsia="仿宋_GB2312" w:cs="仿宋_GB2312"/>
          <w:b/>
          <w:bCs/>
          <w:color w:val="auto"/>
        </w:rPr>
        <w:t>。</w:t>
      </w:r>
      <w:r>
        <w:rPr>
          <w:rFonts w:hint="eastAsia" w:ascii="仿宋_GB2312" w:hAnsi="仿宋_GB2312" w:eastAsia="仿宋_GB2312" w:cs="仿宋_GB2312"/>
          <w:color w:val="auto"/>
        </w:rPr>
        <w:t>围绕</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高端化、绿色化、集群化</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方向，以医药农药中间体、高端染料、功能性染料为突破口，</w:t>
      </w:r>
      <w:r>
        <w:rPr>
          <w:rFonts w:hint="eastAsia" w:ascii="仿宋_GB2312" w:hAnsi="仿宋_GB2312" w:eastAsia="仿宋_GB2312" w:cs="仿宋_GB2312"/>
          <w:color w:val="auto"/>
          <w:szCs w:val="32"/>
        </w:rPr>
        <w:t>稳步提升</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三酸两碱</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、甲醇等基础化工原料供给能力，筑牢精细化工产业发展根基，壮大特色精细化工产业集群。</w:t>
      </w:r>
      <w:r>
        <w:rPr>
          <w:rFonts w:hint="eastAsia" w:ascii="仿宋_GB2312" w:hAnsi="仿宋_GB2312" w:eastAsia="仿宋_GB2312" w:cs="仿宋_GB2312"/>
          <w:color w:val="auto"/>
        </w:rPr>
        <w:t>以玉门建化园区</w:t>
      </w:r>
      <w:r>
        <w:rPr>
          <w:rFonts w:hint="eastAsia" w:ascii="仿宋_GB2312" w:hAnsi="仿宋_GB2312" w:eastAsia="仿宋_GB2312" w:cs="仿宋_GB2312"/>
          <w:color w:val="auto"/>
          <w:lang w:val="en-US" w:eastAsia="zh-CN"/>
        </w:rPr>
        <w:t>和瓜州柳沟园区</w:t>
      </w:r>
      <w:r>
        <w:rPr>
          <w:rFonts w:hint="eastAsia" w:ascii="仿宋_GB2312" w:hAnsi="仿宋_GB2312" w:eastAsia="仿宋_GB2312" w:cs="仿宋_GB2312"/>
          <w:color w:val="auto"/>
        </w:rPr>
        <w:t>为核心载体，重点布局医药农药中间体等项目，构建上下游协同、园区产品互供的产业发展生态；依托金塔县北河湾园区，加快发展以煤焦油</w:t>
      </w:r>
      <w:r>
        <w:rPr>
          <w:rFonts w:hint="eastAsia" w:ascii="仿宋_GB2312" w:hAnsi="仿宋_GB2312" w:eastAsia="仿宋_GB2312" w:cs="仿宋_GB2312"/>
          <w:color w:val="auto"/>
          <w:lang w:val="en-US" w:eastAsia="zh-CN"/>
        </w:rPr>
        <w:t>深加工产品</w:t>
      </w:r>
      <w:r>
        <w:rPr>
          <w:rFonts w:hint="eastAsia" w:ascii="仿宋_GB2312" w:hAnsi="仿宋_GB2312" w:eastAsia="仿宋_GB2312" w:cs="仿宋_GB2312"/>
          <w:color w:val="auto"/>
        </w:rPr>
        <w:t>为原料的高端活性染料、环保分散染料和有机颜料产业，推动染料产业向环保化、功能化升级，建设西部重要的精细化工产业集群。</w:t>
      </w:r>
    </w:p>
    <w:p>
      <w:pPr>
        <w:keepLines w:val="0"/>
        <w:pageBreakBefore w:val="0"/>
        <w:kinsoku/>
        <w:wordWrap/>
        <w:overflowPunct/>
        <w:topLinePunct w:val="0"/>
        <w:bidi w:val="0"/>
        <w:spacing w:line="560" w:lineRule="exact"/>
        <w:ind w:firstLine="643"/>
        <w:jc w:val="both"/>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szCs w:val="32"/>
        </w:rPr>
        <w:t>打造高端氟化工产业链。</w:t>
      </w:r>
      <w:r>
        <w:rPr>
          <w:rFonts w:hint="eastAsia" w:ascii="仿宋_GB2312" w:hAnsi="仿宋_GB2312" w:eastAsia="仿宋_GB2312" w:cs="仿宋_GB2312"/>
          <w:color w:val="auto"/>
          <w:szCs w:val="32"/>
        </w:rPr>
        <w:t>以玉门老市区化工园区为核心载体，依托巨化集团高性能硅氟新材料一体化项目，重点围绕高端制冷剂、含氟精细化学品等领域实现突破，并向下游延伸发展高端含氟聚合物、含氟电子特气以及绿色制冷剂等高附加值产品。推动氟化工与新能源产业协同发展，发挥酒泉绿色电力优势，发展</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绿电+氟化工</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低碳模式，有效降低碳排放强度，打造西北地区</w:t>
      </w:r>
      <w:r>
        <w:rPr>
          <w:rFonts w:hint="eastAsia" w:ascii="仿宋_GB2312" w:hAnsi="仿宋_GB2312" w:eastAsia="仿宋_GB2312" w:cs="仿宋_GB2312"/>
          <w:color w:val="auto"/>
          <w:szCs w:val="32"/>
          <w:lang w:val="en-US" w:eastAsia="zh-CN"/>
        </w:rPr>
        <w:t>最大的</w:t>
      </w:r>
      <w:r>
        <w:rPr>
          <w:rFonts w:hint="eastAsia" w:ascii="仿宋_GB2312" w:hAnsi="仿宋_GB2312" w:eastAsia="仿宋_GB2312" w:cs="仿宋_GB2312"/>
          <w:color w:val="auto"/>
          <w:szCs w:val="32"/>
        </w:rPr>
        <w:t>氟化工产业</w:t>
      </w:r>
      <w:r>
        <w:rPr>
          <w:rFonts w:hint="eastAsia" w:ascii="仿宋_GB2312" w:hAnsi="仿宋_GB2312" w:eastAsia="仿宋_GB2312" w:cs="仿宋_GB2312"/>
          <w:color w:val="auto"/>
          <w:szCs w:val="32"/>
          <w:lang w:val="en-US" w:eastAsia="zh-CN"/>
        </w:rPr>
        <w:t>基地</w:t>
      </w:r>
      <w:r>
        <w:rPr>
          <w:rFonts w:hint="eastAsia" w:ascii="仿宋_GB2312" w:hAnsi="仿宋_GB2312" w:eastAsia="仿宋_GB2312" w:cs="仿宋_GB2312"/>
          <w:color w:val="auto"/>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jc w:val="both"/>
        <w:textAlignment w:val="auto"/>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b/>
          <w:bCs/>
          <w:color w:val="auto"/>
          <w:szCs w:val="32"/>
        </w:rPr>
        <w:t>拓展绿电制氢氨醇产业生态。</w:t>
      </w:r>
      <w:r>
        <w:rPr>
          <w:rFonts w:hint="eastAsia" w:ascii="仿宋_GB2312" w:hAnsi="仿宋_GB2312" w:eastAsia="仿宋_GB2312" w:cs="仿宋_GB2312"/>
          <w:color w:val="auto"/>
          <w:szCs w:val="32"/>
          <w:lang w:val="en-US" w:eastAsia="zh-CN"/>
        </w:rPr>
        <w:t>按照</w:t>
      </w:r>
      <w:r>
        <w:rPr>
          <w:rFonts w:hint="default" w:ascii="仿宋_GB2312" w:hAnsi="仿宋_GB2312" w:eastAsia="仿宋_GB2312" w:cs="仿宋_GB2312"/>
          <w:color w:val="auto"/>
          <w:szCs w:val="32"/>
          <w:lang w:val="en" w:eastAsia="zh-CN"/>
        </w:rPr>
        <w:t>“</w:t>
      </w:r>
      <w:r>
        <w:rPr>
          <w:rFonts w:hint="eastAsia" w:ascii="仿宋_GB2312" w:hAnsi="仿宋_GB2312" w:eastAsia="仿宋_GB2312" w:cs="仿宋_GB2312"/>
          <w:color w:val="auto"/>
          <w:szCs w:val="32"/>
          <w:lang w:val="en-US" w:eastAsia="zh-CN"/>
        </w:rPr>
        <w:t>绿氢规模化制备、多场景高效消纳、全产业链协同升级</w:t>
      </w:r>
      <w:r>
        <w:rPr>
          <w:rFonts w:hint="default" w:ascii="仿宋_GB2312" w:hAnsi="仿宋_GB2312" w:eastAsia="仿宋_GB2312" w:cs="仿宋_GB2312"/>
          <w:color w:val="auto"/>
          <w:szCs w:val="32"/>
          <w:lang w:val="en" w:eastAsia="zh-CN"/>
        </w:rPr>
        <w:t>”</w:t>
      </w:r>
      <w:r>
        <w:rPr>
          <w:rFonts w:hint="eastAsia" w:ascii="仿宋_GB2312" w:hAnsi="仿宋_GB2312" w:eastAsia="仿宋_GB2312" w:cs="仿宋_GB2312"/>
          <w:color w:val="auto"/>
          <w:szCs w:val="32"/>
          <w:lang w:val="en-US" w:eastAsia="zh-CN"/>
        </w:rPr>
        <w:t>的发展路径，以可再生能源电解水制氢为产业核心支点，精准布局离网风电光伏制氢、绿氨绿色合成、零碳甲醇制备等重点产业项目，打造国内领先的绿电制氢氨醇全链条产业集群。深化</w:t>
      </w:r>
      <w:r>
        <w:rPr>
          <w:rFonts w:hint="default" w:ascii="仿宋_GB2312" w:hAnsi="仿宋_GB2312" w:eastAsia="仿宋_GB2312" w:cs="仿宋_GB2312"/>
          <w:color w:val="auto"/>
          <w:szCs w:val="32"/>
          <w:lang w:val="en" w:eastAsia="zh-CN"/>
        </w:rPr>
        <w:t>“</w:t>
      </w:r>
      <w:r>
        <w:rPr>
          <w:rFonts w:hint="eastAsia" w:ascii="仿宋_GB2312" w:hAnsi="仿宋_GB2312" w:eastAsia="仿宋_GB2312" w:cs="仿宋_GB2312"/>
          <w:color w:val="auto"/>
          <w:szCs w:val="32"/>
          <w:lang w:val="en-US" w:eastAsia="zh-CN"/>
        </w:rPr>
        <w:t>风光氢储</w:t>
      </w:r>
      <w:r>
        <w:rPr>
          <w:rFonts w:hint="default" w:ascii="仿宋_GB2312" w:hAnsi="仿宋_GB2312" w:eastAsia="仿宋_GB2312" w:cs="仿宋_GB2312"/>
          <w:color w:val="auto"/>
          <w:szCs w:val="32"/>
          <w:lang w:val="en" w:eastAsia="zh-CN"/>
        </w:rPr>
        <w:t>”</w:t>
      </w:r>
      <w:r>
        <w:rPr>
          <w:rFonts w:hint="eastAsia" w:ascii="仿宋_GB2312" w:hAnsi="仿宋_GB2312" w:eastAsia="仿宋_GB2312" w:cs="仿宋_GB2312"/>
          <w:color w:val="auto"/>
          <w:szCs w:val="32"/>
          <w:lang w:val="en-US" w:eastAsia="zh-CN"/>
        </w:rPr>
        <w:t>产业链与氢氨醇特色化工产业深度融合，依托西气东输管道掺氢输送、酒泉—哈密氢能重卡示范走廊等特色应用场景，大力推广绿氢工业替代、绿氨燃煤耦合降碳、绿色甲醇能源利用等新型发展模式，持续拓宽氢氨醇产品多元化、规模化应用渠道，打造具有区域核心竞争力的氢基绿色精细化工产业增长极。</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74" w:type="dxa"/>
            <w:vAlign w:val="center"/>
          </w:tcPr>
          <w:p>
            <w:pPr>
              <w:keepLines w:val="0"/>
              <w:pageBreakBefore w:val="0"/>
              <w:kinsoku/>
              <w:wordWrap/>
              <w:overflowPunct/>
              <w:topLinePunct w:val="0"/>
              <w:bidi w:val="0"/>
              <w:spacing w:line="560" w:lineRule="exact"/>
              <w:ind w:firstLine="480"/>
              <w:jc w:val="center"/>
              <w:textAlignment w:val="auto"/>
              <w:rPr>
                <w:rFonts w:ascii="仿宋_GB2312" w:hAnsi="仿宋_GB2312" w:eastAsia="仿宋_GB2312" w:cs="仿宋_GB2312"/>
                <w:color w:val="auto"/>
                <w:sz w:val="28"/>
                <w:szCs w:val="28"/>
              </w:rPr>
            </w:pPr>
            <w:r>
              <w:rPr>
                <w:rFonts w:hint="eastAsia" w:ascii="黑体" w:hAnsi="黑体" w:eastAsia="黑体" w:cs="黑体"/>
                <w:color w:val="auto"/>
                <w:sz w:val="24"/>
              </w:rPr>
              <w:t>专栏</w:t>
            </w:r>
            <w:r>
              <w:rPr>
                <w:rFonts w:hint="eastAsia" w:ascii="黑体" w:hAnsi="黑体" w:eastAsia="黑体" w:cs="黑体"/>
                <w:color w:val="auto"/>
                <w:sz w:val="24"/>
                <w:lang w:val="en-US" w:eastAsia="zh-CN"/>
              </w:rPr>
              <w:t>3</w:t>
            </w:r>
            <w:r>
              <w:rPr>
                <w:rFonts w:ascii="黑体" w:hAnsi="黑体" w:eastAsia="黑体" w:cs="黑体"/>
                <w:color w:val="auto"/>
                <w:sz w:val="24"/>
                <w:lang w:val="en"/>
              </w:rPr>
              <w:t xml:space="preserve"> </w:t>
            </w:r>
            <w:r>
              <w:rPr>
                <w:rFonts w:hint="eastAsia" w:ascii="黑体" w:hAnsi="黑体" w:eastAsia="黑体" w:cs="黑体"/>
                <w:color w:val="auto"/>
                <w:sz w:val="24"/>
              </w:rPr>
              <w:t xml:space="preserve"> 现代化工产业</w:t>
            </w:r>
            <w:r>
              <w:rPr>
                <w:rFonts w:ascii="黑体" w:hAnsi="黑体" w:eastAsia="黑体" w:cs="黑体"/>
                <w:color w:val="auto"/>
                <w:sz w:val="24"/>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9174" w:type="dxa"/>
          </w:tcPr>
          <w:p>
            <w:pPr>
              <w:pStyle w:val="18"/>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ind w:firstLine="480" w:firstLineChars="200"/>
              <w:jc w:val="both"/>
              <w:textAlignment w:val="auto"/>
              <w:rPr>
                <w:rFonts w:hint="eastAsia" w:ascii="仿宋_GB2312" w:hAnsi="仿宋_GB2312" w:eastAsia="仿宋_GB2312" w:cs="仿宋_GB2312"/>
                <w:snapToGrid w:val="0"/>
                <w:color w:val="auto"/>
                <w:lang w:eastAsia="zh-CN" w:bidi="ar-SA"/>
              </w:rPr>
            </w:pPr>
            <w:r>
              <w:rPr>
                <w:rFonts w:hint="eastAsia" w:ascii="仿宋_GB2312" w:hAnsi="仿宋_GB2312" w:eastAsia="仿宋_GB2312" w:cs="仿宋_GB2312"/>
                <w:snapToGrid w:val="0"/>
                <w:color w:val="auto"/>
                <w:lang w:val="en-US" w:eastAsia="zh-CN" w:bidi="ar-SA"/>
              </w:rPr>
              <w:t>1.</w:t>
            </w:r>
            <w:r>
              <w:rPr>
                <w:rFonts w:hint="eastAsia" w:ascii="仿宋_GB2312" w:hAnsi="仿宋_GB2312" w:eastAsia="仿宋_GB2312" w:cs="仿宋_GB2312"/>
                <w:snapToGrid w:val="0"/>
                <w:color w:val="auto"/>
                <w:lang w:bidi="ar-SA"/>
              </w:rPr>
              <w:t>智汇格林现代煤化工和新能源耦合示范项目</w:t>
            </w:r>
            <w:r>
              <w:rPr>
                <w:rFonts w:hint="eastAsia" w:ascii="仿宋_GB2312" w:hAnsi="仿宋_GB2312" w:eastAsia="仿宋_GB2312" w:cs="仿宋_GB2312"/>
                <w:snapToGrid w:val="0"/>
                <w:color w:val="auto"/>
                <w:lang w:eastAsia="zh-CN" w:bidi="ar-SA"/>
              </w:rPr>
              <w:t>；</w:t>
            </w:r>
          </w:p>
          <w:p>
            <w:pPr>
              <w:pStyle w:val="18"/>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ind w:firstLine="480" w:firstLineChars="200"/>
              <w:jc w:val="both"/>
              <w:textAlignment w:val="auto"/>
              <w:rPr>
                <w:rFonts w:ascii="仿宋_GB2312" w:hAnsi="仿宋_GB2312" w:eastAsia="仿宋_GB2312" w:cs="仿宋_GB2312"/>
                <w:snapToGrid w:val="0"/>
                <w:color w:val="auto"/>
                <w:lang w:bidi="ar-SA"/>
              </w:rPr>
            </w:pPr>
            <w:r>
              <w:rPr>
                <w:rFonts w:hint="eastAsia" w:ascii="仿宋_GB2312" w:hAnsi="仿宋_GB2312" w:eastAsia="仿宋_GB2312" w:cs="仿宋_GB2312"/>
                <w:snapToGrid w:val="0"/>
                <w:color w:val="auto"/>
                <w:lang w:val="en-US" w:eastAsia="zh-CN" w:bidi="ar-SA"/>
              </w:rPr>
              <w:t>2.</w:t>
            </w:r>
            <w:r>
              <w:rPr>
                <w:rFonts w:hint="eastAsia" w:ascii="仿宋_GB2312" w:hAnsi="仿宋_GB2312" w:eastAsia="仿宋_GB2312" w:cs="仿宋_GB2312"/>
                <w:snapToGrid w:val="0"/>
                <w:color w:val="auto"/>
                <w:lang w:bidi="ar-SA"/>
              </w:rPr>
              <w:t>盛东</w:t>
            </w:r>
            <w:r>
              <w:rPr>
                <w:rFonts w:ascii="仿宋_GB2312" w:hAnsi="仿宋_GB2312" w:eastAsia="仿宋_GB2312" w:cs="仿宋_GB2312"/>
                <w:snapToGrid w:val="0"/>
                <w:color w:val="auto"/>
                <w:lang w:val="en" w:bidi="ar-SA"/>
              </w:rPr>
              <w:t>年产</w:t>
            </w:r>
            <w:r>
              <w:rPr>
                <w:rFonts w:hint="eastAsia" w:ascii="仿宋_GB2312" w:hAnsi="仿宋_GB2312" w:eastAsia="仿宋_GB2312" w:cs="仿宋_GB2312"/>
                <w:snapToGrid w:val="0"/>
                <w:color w:val="auto"/>
                <w:lang w:bidi="ar-SA"/>
              </w:rPr>
              <w:t>1000万吨低阶煤分级分质清洁高效利用项目；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hint="eastAsia" w:ascii="仿宋_GB2312" w:hAnsi="仿宋_GB2312" w:eastAsia="仿宋_GB2312" w:cs="仿宋_GB2312"/>
                <w:snapToGrid w:val="0"/>
                <w:color w:val="auto"/>
                <w:lang w:eastAsia="zh-CN" w:bidi="ar-SA"/>
              </w:rPr>
            </w:pPr>
            <w:r>
              <w:rPr>
                <w:rFonts w:hint="eastAsia" w:ascii="仿宋_GB2312" w:hAnsi="仿宋_GB2312" w:eastAsia="仿宋_GB2312" w:cs="仿宋_GB2312"/>
                <w:snapToGrid w:val="0"/>
                <w:color w:val="auto"/>
                <w:lang w:val="en-US" w:eastAsia="zh-CN" w:bidi="ar-SA"/>
              </w:rPr>
              <w:t>3.</w:t>
            </w:r>
            <w:r>
              <w:rPr>
                <w:rFonts w:hint="eastAsia" w:ascii="仿宋_GB2312" w:hAnsi="仿宋_GB2312" w:eastAsia="仿宋_GB2312" w:cs="仿宋_GB2312"/>
                <w:snapToGrid w:val="0"/>
                <w:color w:val="auto"/>
                <w:lang w:bidi="ar-SA"/>
              </w:rPr>
              <w:t>特种油品深度加氢及精馏改造项目</w:t>
            </w:r>
            <w:r>
              <w:rPr>
                <w:rFonts w:hint="eastAsia" w:ascii="仿宋_GB2312" w:hAnsi="仿宋_GB2312" w:eastAsia="仿宋_GB2312" w:cs="仿宋_GB2312"/>
                <w:snapToGrid w:val="0"/>
                <w:color w:val="auto"/>
                <w:lang w:eastAsia="zh-CN" w:bidi="ar-SA"/>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lang w:val="en" w:bidi="ar-SA"/>
              </w:rPr>
            </w:pPr>
            <w:r>
              <w:rPr>
                <w:rFonts w:hint="eastAsia" w:ascii="仿宋_GB2312" w:hAnsi="仿宋_GB2312" w:eastAsia="仿宋_GB2312" w:cs="仿宋_GB2312"/>
                <w:snapToGrid w:val="0"/>
                <w:color w:val="auto"/>
                <w:lang w:val="en-US" w:eastAsia="zh-CN" w:bidi="ar-SA"/>
              </w:rPr>
              <w:t>4.</w:t>
            </w:r>
            <w:r>
              <w:rPr>
                <w:rFonts w:hint="eastAsia" w:ascii="仿宋_GB2312" w:hAnsi="仿宋_GB2312" w:eastAsia="仿宋_GB2312" w:cs="仿宋_GB2312"/>
                <w:snapToGrid w:val="0"/>
                <w:color w:val="auto"/>
                <w:lang w:bidi="ar-SA"/>
              </w:rPr>
              <w:t>柴油加氢装置缓和加氢裂化改造项目</w:t>
            </w:r>
            <w:r>
              <w:rPr>
                <w:rFonts w:ascii="仿宋_GB2312" w:hAnsi="仿宋_GB2312" w:eastAsia="仿宋_GB2312" w:cs="仿宋_GB2312"/>
                <w:snapToGrid w:val="0"/>
                <w:color w:val="auto"/>
                <w:lang w:val="en" w:bidi="ar-SA"/>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hint="eastAsia" w:ascii="仿宋_GB2312" w:hAnsi="仿宋_GB2312" w:eastAsia="仿宋_GB2312" w:cs="仿宋_GB2312"/>
                <w:snapToGrid w:val="0"/>
                <w:color w:val="auto"/>
                <w:lang w:eastAsia="zh-CN" w:bidi="ar-SA"/>
              </w:rPr>
            </w:pPr>
            <w:r>
              <w:rPr>
                <w:rFonts w:hint="eastAsia" w:ascii="仿宋_GB2312" w:hAnsi="仿宋_GB2312" w:eastAsia="仿宋_GB2312" w:cs="仿宋_GB2312"/>
                <w:snapToGrid w:val="0"/>
                <w:color w:val="auto"/>
                <w:lang w:val="en-US" w:eastAsia="zh-CN" w:bidi="ar-SA"/>
              </w:rPr>
              <w:t>5.</w:t>
            </w:r>
            <w:r>
              <w:rPr>
                <w:rFonts w:hint="eastAsia" w:ascii="仿宋_GB2312" w:hAnsi="仿宋_GB2312" w:eastAsia="仿宋_GB2312" w:cs="仿宋_GB2312"/>
                <w:snapToGrid w:val="0"/>
                <w:color w:val="auto"/>
              </w:rPr>
              <w:t>巨化新材料高性能硅氟新材料一体化项目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lang w:bidi="ar-SA"/>
              </w:rPr>
            </w:pPr>
            <w:r>
              <w:rPr>
                <w:rFonts w:hint="eastAsia" w:ascii="仿宋_GB2312" w:hAnsi="仿宋_GB2312" w:eastAsia="仿宋_GB2312" w:cs="仿宋_GB2312"/>
                <w:snapToGrid w:val="0"/>
                <w:color w:val="auto"/>
                <w:lang w:val="en-US" w:eastAsia="zh-CN" w:bidi="ar-SA"/>
              </w:rPr>
              <w:t>6.</w:t>
            </w:r>
            <w:r>
              <w:rPr>
                <w:rFonts w:hint="eastAsia" w:ascii="仿宋_GB2312" w:hAnsi="仿宋_GB2312" w:eastAsia="仿宋_GB2312" w:cs="仿宋_GB2312"/>
                <w:snapToGrid w:val="0"/>
                <w:color w:val="auto"/>
                <w:lang w:bidi="ar-SA"/>
              </w:rPr>
              <w:t>嘉翔氟塑料聚四氟乙烯深加工项目；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hint="eastAsia" w:ascii="仿宋_GB2312" w:hAnsi="仿宋_GB2312" w:eastAsia="仿宋_GB2312" w:cs="仿宋_GB2312"/>
                <w:snapToGrid w:val="0"/>
                <w:color w:val="auto"/>
                <w:lang w:eastAsia="zh-CN" w:bidi="ar-SA"/>
              </w:rPr>
            </w:pPr>
            <w:r>
              <w:rPr>
                <w:rFonts w:hint="eastAsia" w:ascii="仿宋_GB2312" w:hAnsi="仿宋_GB2312" w:eastAsia="仿宋_GB2312" w:cs="仿宋_GB2312"/>
                <w:snapToGrid w:val="0"/>
                <w:color w:val="auto"/>
                <w:lang w:val="en-US" w:eastAsia="zh-CN" w:bidi="ar-SA"/>
              </w:rPr>
              <w:t>7.</w:t>
            </w:r>
            <w:r>
              <w:rPr>
                <w:rFonts w:hint="eastAsia" w:ascii="仿宋_GB2312" w:hAnsi="仿宋_GB2312" w:eastAsia="仿宋_GB2312" w:cs="仿宋_GB2312"/>
                <w:snapToGrid w:val="0"/>
                <w:color w:val="auto"/>
                <w:lang w:bidi="ar-SA"/>
              </w:rPr>
              <w:t>顺诚鑫年产20万吨液氧、30万吨液氮项目</w:t>
            </w:r>
            <w:r>
              <w:rPr>
                <w:rFonts w:hint="eastAsia" w:ascii="仿宋_GB2312" w:hAnsi="仿宋_GB2312" w:eastAsia="仿宋_GB2312" w:cs="仿宋_GB2312"/>
                <w:snapToGrid w:val="0"/>
                <w:color w:val="auto"/>
                <w:lang w:eastAsia="zh-CN" w:bidi="ar-SA"/>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hint="eastAsia" w:ascii="仿宋_GB2312" w:hAnsi="仿宋_GB2312" w:eastAsia="仿宋_GB2312" w:cs="仿宋_GB2312"/>
                <w:snapToGrid w:val="0"/>
                <w:color w:val="auto"/>
                <w:lang w:val="en" w:eastAsia="zh-CN" w:bidi="ar-SA"/>
              </w:rPr>
            </w:pPr>
            <w:r>
              <w:rPr>
                <w:rFonts w:hint="eastAsia" w:ascii="仿宋_GB2312" w:hAnsi="仿宋_GB2312" w:eastAsia="仿宋_GB2312" w:cs="仿宋_GB2312"/>
                <w:snapToGrid w:val="0"/>
                <w:color w:val="auto"/>
                <w:lang w:val="en-US" w:eastAsia="zh-CN" w:bidi="ar-SA"/>
              </w:rPr>
              <w:t>8.</w:t>
            </w:r>
            <w:r>
              <w:rPr>
                <w:rFonts w:hint="eastAsia" w:ascii="仿宋_GB2312" w:hAnsi="仿宋_GB2312" w:eastAsia="仿宋_GB2312" w:cs="仿宋_GB2312"/>
                <w:snapToGrid w:val="0"/>
                <w:color w:val="auto"/>
                <w:lang w:eastAsia="zh-CN" w:bidi="ar-SA"/>
              </w:rPr>
              <w:t>年产42000吨茚虫威原药项目；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hint="eastAsia" w:ascii="仿宋_GB2312" w:hAnsi="仿宋_GB2312" w:eastAsia="仿宋_GB2312" w:cs="仿宋_GB2312"/>
                <w:snapToGrid w:val="0"/>
                <w:color w:val="auto"/>
                <w:lang w:eastAsia="zh-CN" w:bidi="ar-SA"/>
              </w:rPr>
            </w:pPr>
            <w:r>
              <w:rPr>
                <w:rFonts w:hint="eastAsia" w:ascii="仿宋_GB2312" w:hAnsi="仿宋_GB2312" w:eastAsia="仿宋_GB2312" w:cs="仿宋_GB2312"/>
                <w:snapToGrid w:val="0"/>
                <w:color w:val="auto"/>
                <w:lang w:val="en-US" w:eastAsia="zh-CN" w:bidi="ar-SA"/>
              </w:rPr>
              <w:t>9.</w:t>
            </w:r>
            <w:r>
              <w:rPr>
                <w:rFonts w:hint="eastAsia" w:ascii="仿宋_GB2312" w:hAnsi="仿宋_GB2312" w:eastAsia="仿宋_GB2312" w:cs="仿宋_GB2312"/>
                <w:snapToGrid w:val="0"/>
                <w:color w:val="auto"/>
                <w:lang w:bidi="ar-SA"/>
              </w:rPr>
              <w:t>格罗夫风光氢储车一体化项目</w:t>
            </w:r>
            <w:r>
              <w:rPr>
                <w:rFonts w:hint="eastAsia" w:ascii="仿宋_GB2312" w:hAnsi="仿宋_GB2312" w:eastAsia="仿宋_GB2312" w:cs="仿宋_GB2312"/>
                <w:snapToGrid w:val="0"/>
                <w:color w:val="auto"/>
                <w:lang w:eastAsia="zh-CN" w:bidi="ar-SA"/>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hint="eastAsia" w:ascii="仿宋_GB2312" w:hAnsi="仿宋_GB2312" w:eastAsia="仿宋_GB2312" w:cs="仿宋_GB2312"/>
                <w:snapToGrid w:val="0"/>
                <w:color w:val="auto"/>
                <w:sz w:val="28"/>
                <w:szCs w:val="28"/>
                <w:lang w:eastAsia="zh-CN" w:bidi="ar-SA"/>
              </w:rPr>
            </w:pPr>
            <w:r>
              <w:rPr>
                <w:rFonts w:hint="eastAsia" w:ascii="仿宋_GB2312" w:hAnsi="仿宋_GB2312" w:eastAsia="仿宋_GB2312" w:cs="仿宋_GB2312"/>
                <w:snapToGrid w:val="0"/>
                <w:color w:val="auto"/>
                <w:lang w:val="en-US" w:eastAsia="zh-CN" w:bidi="ar-SA"/>
              </w:rPr>
              <w:t>10.</w:t>
            </w:r>
            <w:r>
              <w:rPr>
                <w:rFonts w:hint="eastAsia" w:ascii="仿宋_GB2312" w:hAnsi="仿宋_GB2312" w:eastAsia="仿宋_GB2312" w:cs="仿宋_GB2312"/>
                <w:snapToGrid w:val="0"/>
                <w:color w:val="auto"/>
                <w:lang w:bidi="ar-SA"/>
              </w:rPr>
              <w:t>润陇泓风光制氢耦合生物质制备绿色甲醇一体化示范项目</w:t>
            </w:r>
            <w:r>
              <w:rPr>
                <w:rFonts w:hint="eastAsia" w:ascii="仿宋_GB2312" w:hAnsi="仿宋_GB2312" w:eastAsia="仿宋_GB2312" w:cs="仿宋_GB2312"/>
                <w:snapToGrid w:val="0"/>
                <w:color w:val="auto"/>
                <w:lang w:eastAsia="zh-CN" w:bidi="ar-SA"/>
              </w:rPr>
              <w:t>。</w:t>
            </w:r>
          </w:p>
        </w:tc>
      </w:tr>
    </w:tbl>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60" w:name="_Toc1332515777"/>
      <w:bookmarkStart w:id="61" w:name="_Toc29560"/>
      <w:r>
        <w:rPr>
          <w:rFonts w:ascii="仿宋_GB2312" w:hAnsi="仿宋_GB2312" w:eastAsia="仿宋_GB2312" w:cs="仿宋_GB2312"/>
          <w:color w:val="auto"/>
        </w:rPr>
        <w:t>（二）矿产品精深加工产业</w:t>
      </w:r>
      <w:bookmarkEnd w:id="60"/>
      <w:bookmarkEnd w:id="61"/>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62" w:name="_Toc1620559205"/>
      <w:bookmarkStart w:id="63" w:name="_Toc13871"/>
      <w:r>
        <w:rPr>
          <w:rFonts w:ascii="仿宋_GB2312" w:hAnsi="仿宋_GB2312" w:eastAsia="仿宋_GB2312" w:cs="仿宋_GB2312"/>
          <w:color w:val="auto"/>
        </w:rPr>
        <w:t>1.发展目标</w:t>
      </w:r>
      <w:bookmarkEnd w:id="62"/>
    </w:p>
    <w:p>
      <w:pPr>
        <w:pStyle w:val="9"/>
        <w:keepLines w:val="0"/>
        <w:pageBreakBefore w:val="0"/>
        <w:kinsoku/>
        <w:wordWrap/>
        <w:overflowPunct/>
        <w:topLinePunct w:val="0"/>
        <w:bidi w:val="0"/>
        <w:spacing w:line="560" w:lineRule="exact"/>
        <w:ind w:firstLine="640"/>
        <w:textAlignment w:val="auto"/>
        <w:rPr>
          <w:rFonts w:hAnsi="仿宋_GB2312" w:cs="仿宋_GB2312"/>
          <w:color w:val="auto"/>
        </w:rPr>
      </w:pPr>
      <w:r>
        <w:rPr>
          <w:rFonts w:hint="eastAsia" w:hAnsi="仿宋_GB2312" w:cs="仿宋_GB2312"/>
          <w:color w:val="auto"/>
        </w:rPr>
        <w:t>大力实施新一轮找矿突破战略行动，形成</w:t>
      </w:r>
      <w:r>
        <w:rPr>
          <w:rFonts w:hint="default" w:hAnsi="仿宋_GB2312" w:cs="仿宋_GB2312"/>
          <w:color w:val="auto"/>
          <w:lang w:val="en"/>
        </w:rPr>
        <w:t>“</w:t>
      </w:r>
      <w:r>
        <w:rPr>
          <w:rFonts w:hint="eastAsia" w:hAnsi="仿宋_GB2312" w:cs="仿宋_GB2312"/>
          <w:color w:val="auto"/>
        </w:rPr>
        <w:t>分散开采、集中选冶、集群加工</w:t>
      </w:r>
      <w:r>
        <w:rPr>
          <w:rFonts w:hint="default" w:hAnsi="仿宋_GB2312" w:cs="仿宋_GB2312"/>
          <w:color w:val="auto"/>
          <w:lang w:val="en"/>
        </w:rPr>
        <w:t>”</w:t>
      </w:r>
      <w:r>
        <w:rPr>
          <w:rFonts w:hint="eastAsia" w:hAnsi="仿宋_GB2312" w:cs="仿宋_GB2312"/>
          <w:color w:val="auto"/>
        </w:rPr>
        <w:t>的产业布局，构建</w:t>
      </w:r>
      <w:r>
        <w:rPr>
          <w:rFonts w:hint="default" w:hAnsi="仿宋_GB2312" w:cs="仿宋_GB2312"/>
          <w:color w:val="auto"/>
          <w:lang w:val="en"/>
        </w:rPr>
        <w:t>“</w:t>
      </w:r>
      <w:r>
        <w:rPr>
          <w:rFonts w:hint="eastAsia" w:hAnsi="仿宋_GB2312" w:cs="仿宋_GB2312"/>
          <w:color w:val="auto"/>
        </w:rPr>
        <w:t>绿色采选—低碳冶炼—</w:t>
      </w:r>
      <w:r>
        <w:rPr>
          <w:rFonts w:hint="eastAsia" w:hAnsi="仿宋_GB2312" w:cs="仿宋_GB2312"/>
          <w:color w:val="auto"/>
          <w:lang w:val="en-US" w:eastAsia="zh-CN"/>
        </w:rPr>
        <w:t>精深</w:t>
      </w:r>
      <w:r>
        <w:rPr>
          <w:rFonts w:hint="eastAsia" w:hAnsi="仿宋_GB2312" w:cs="仿宋_GB2312"/>
          <w:color w:val="auto"/>
        </w:rPr>
        <w:t>加工—</w:t>
      </w:r>
      <w:r>
        <w:rPr>
          <w:rFonts w:hint="eastAsia" w:hAnsi="仿宋_GB2312" w:cs="仿宋_GB2312"/>
          <w:color w:val="auto"/>
          <w:lang w:val="en-US" w:eastAsia="zh-CN"/>
        </w:rPr>
        <w:t>资源</w:t>
      </w:r>
      <w:r>
        <w:rPr>
          <w:rFonts w:hint="eastAsia" w:hAnsi="仿宋_GB2312" w:cs="仿宋_GB2312"/>
          <w:color w:val="auto"/>
        </w:rPr>
        <w:t>循环利用</w:t>
      </w:r>
      <w:r>
        <w:rPr>
          <w:rFonts w:hint="default" w:hAnsi="仿宋_GB2312" w:cs="仿宋_GB2312"/>
          <w:color w:val="auto"/>
          <w:lang w:val="en"/>
        </w:rPr>
        <w:t>”</w:t>
      </w:r>
      <w:r>
        <w:rPr>
          <w:rFonts w:hint="eastAsia" w:hAnsi="仿宋_GB2312" w:cs="仿宋_GB2312"/>
          <w:color w:val="auto"/>
        </w:rPr>
        <w:t>的</w:t>
      </w:r>
      <w:r>
        <w:rPr>
          <w:rFonts w:hint="eastAsia" w:hAnsi="仿宋_GB2312" w:cs="仿宋_GB2312"/>
          <w:color w:val="auto"/>
          <w:lang w:val="en-US" w:eastAsia="zh-CN"/>
        </w:rPr>
        <w:t>全链条</w:t>
      </w:r>
      <w:r>
        <w:rPr>
          <w:rFonts w:hint="eastAsia" w:hAnsi="仿宋_GB2312" w:cs="仿宋_GB2312"/>
          <w:color w:val="auto"/>
        </w:rPr>
        <w:t>产业体系。到2030年，产值突破300亿元，建成西部重要的矿产资源综合利用基地和原材料保障基地。</w:t>
      </w:r>
    </w:p>
    <w:bookmarkEnd w:id="63"/>
    <w:p>
      <w:pPr>
        <w:pStyle w:val="5"/>
        <w:keepNext/>
        <w:keepLines w:val="0"/>
        <w:pageBreakBefore w:val="0"/>
        <w:widowControl w:val="0"/>
        <w:kinsoku/>
        <w:wordWrap/>
        <w:overflowPunct/>
        <w:topLinePunct w:val="0"/>
        <w:bidi w:val="0"/>
        <w:snapToGrid w:val="0"/>
        <w:spacing w:line="560" w:lineRule="exact"/>
        <w:ind w:firstLine="643"/>
        <w:textAlignment w:val="auto"/>
        <w:rPr>
          <w:rFonts w:hint="default" w:ascii="仿宋_GB2312" w:hAnsi="仿宋_GB2312" w:eastAsia="仿宋_GB2312" w:cs="仿宋_GB2312"/>
          <w:color w:val="auto"/>
        </w:rPr>
      </w:pPr>
      <w:bookmarkStart w:id="64" w:name="_Toc409438395"/>
      <w:bookmarkStart w:id="65" w:name="_Toc6818"/>
      <w:r>
        <w:rPr>
          <w:rFonts w:ascii="仿宋_GB2312" w:hAnsi="仿宋_GB2312" w:eastAsia="仿宋_GB2312" w:cs="仿宋_GB2312"/>
          <w:color w:val="auto"/>
        </w:rPr>
        <w:t>2.发展重点</w:t>
      </w:r>
      <w:bookmarkEnd w:id="64"/>
      <w:bookmarkEnd w:id="65"/>
    </w:p>
    <w:p>
      <w:pPr>
        <w:pStyle w:val="9"/>
        <w:keepLines w:val="0"/>
        <w:pageBreakBefore w:val="0"/>
        <w:kinsoku/>
        <w:wordWrap/>
        <w:overflowPunct/>
        <w:topLinePunct w:val="0"/>
        <w:bidi w:val="0"/>
        <w:snapToGrid w:val="0"/>
        <w:spacing w:line="560" w:lineRule="exact"/>
        <w:ind w:firstLine="643"/>
        <w:textAlignment w:val="auto"/>
        <w:rPr>
          <w:rFonts w:hint="eastAsia" w:ascii="仿宋_GB2312" w:hAnsi="仿宋_GB2312" w:eastAsia="仿宋_GB2312" w:cs="仿宋_GB2312"/>
          <w:color w:val="auto"/>
          <w:lang w:val="en-US" w:eastAsia="zh-CN"/>
        </w:rPr>
      </w:pPr>
      <w:r>
        <w:rPr>
          <w:rFonts w:hint="eastAsia" w:hAnsi="仿宋_GB2312" w:cs="仿宋_GB2312"/>
          <w:b/>
          <w:bCs/>
          <w:color w:val="auto"/>
          <w:kern w:val="0"/>
          <w:lang w:bidi="ar"/>
        </w:rPr>
        <w:t>推动有色金属拓增量</w:t>
      </w:r>
      <w:r>
        <w:rPr>
          <w:rFonts w:hint="eastAsia" w:hAnsi="仿宋_GB2312" w:cs="仿宋_GB2312"/>
          <w:b/>
          <w:bCs/>
          <w:color w:val="auto"/>
        </w:rPr>
        <w:t>。</w:t>
      </w:r>
      <w:r>
        <w:rPr>
          <w:rFonts w:hint="eastAsia" w:hAnsi="仿宋_GB2312" w:cs="仿宋_GB2312"/>
          <w:color w:val="auto"/>
        </w:rPr>
        <w:t>依托敦煌、肃北、阿克塞、金塔等市县的金、铜、锌、菱镁等矿产资源优势，重点突破精深加工技术瓶颈，延伸产业链条，提升产品附加值。</w:t>
      </w:r>
      <w:r>
        <w:rPr>
          <w:rFonts w:hint="eastAsia" w:hAnsi="仿宋_GB2312" w:cs="仿宋_GB2312"/>
          <w:b/>
          <w:bCs/>
          <w:color w:val="auto"/>
        </w:rPr>
        <w:t>贵金属精深加工。</w:t>
      </w:r>
      <w:r>
        <w:rPr>
          <w:rFonts w:hint="eastAsia" w:hAnsi="仿宋_GB2312" w:cs="仿宋_GB2312"/>
          <w:color w:val="auto"/>
        </w:rPr>
        <w:t>抢抓全省加快推进黄金产业高质量发展机遇，以玉门前红泉-黑山北滩地区金矿为重点，集中布局冶炼提纯项目，发展高纯黄金、金基合金等基础材料，</w:t>
      </w:r>
      <w:r>
        <w:rPr>
          <w:rFonts w:hint="eastAsia" w:ascii="仿宋_GB2312" w:hAnsi="仿宋_GB2312" w:eastAsia="仿宋_GB2312" w:cs="仿宋_GB2312"/>
          <w:color w:val="auto"/>
          <w:lang w:val="en-US" w:eastAsia="zh-CN"/>
        </w:rPr>
        <w:t>实现</w:t>
      </w:r>
      <w:r>
        <w:rPr>
          <w:rFonts w:hint="eastAsia" w:hAnsi="仿宋_GB2312" w:cs="仿宋_GB2312"/>
          <w:color w:val="auto"/>
          <w:lang w:val="en-US" w:eastAsia="zh-CN"/>
        </w:rPr>
        <w:t>黄金</w:t>
      </w:r>
      <w:r>
        <w:rPr>
          <w:rFonts w:hint="eastAsia" w:ascii="仿宋_GB2312" w:hAnsi="仿宋_GB2312" w:eastAsia="仿宋_GB2312" w:cs="仿宋_GB2312"/>
          <w:color w:val="auto"/>
          <w:lang w:val="en-US" w:eastAsia="zh-CN"/>
        </w:rPr>
        <w:t>开采、选矿、冶炼、加工和市场销售一体化全产业链布局，</w:t>
      </w:r>
      <w:r>
        <w:rPr>
          <w:rFonts w:hint="eastAsia" w:hAnsi="仿宋_GB2312" w:cs="仿宋_GB2312"/>
          <w:color w:val="auto"/>
        </w:rPr>
        <w:t>全力打造</w:t>
      </w:r>
      <w:r>
        <w:rPr>
          <w:rFonts w:hint="default" w:hAnsi="仿宋_GB2312" w:cs="仿宋_GB2312"/>
          <w:color w:val="auto"/>
          <w:lang w:val="en"/>
        </w:rPr>
        <w:t>“</w:t>
      </w:r>
      <w:r>
        <w:rPr>
          <w:rFonts w:hint="eastAsia" w:hAnsi="仿宋_GB2312" w:cs="仿宋_GB2312"/>
          <w:color w:val="auto"/>
        </w:rPr>
        <w:t>黄金大市</w:t>
      </w:r>
      <w:r>
        <w:rPr>
          <w:rFonts w:hint="default" w:hAnsi="仿宋_GB2312" w:cs="仿宋_GB2312"/>
          <w:color w:val="auto"/>
          <w:lang w:val="en"/>
        </w:rPr>
        <w:t>”</w:t>
      </w:r>
      <w:r>
        <w:rPr>
          <w:rFonts w:hint="eastAsia" w:hAnsi="仿宋_GB2312" w:cs="仿宋_GB2312"/>
          <w:color w:val="auto"/>
        </w:rPr>
        <w:t>。</w:t>
      </w:r>
      <w:r>
        <w:rPr>
          <w:rFonts w:hint="eastAsia" w:hAnsi="仿宋_GB2312" w:cs="仿宋_GB2312"/>
          <w:b/>
          <w:bCs/>
          <w:color w:val="auto"/>
        </w:rPr>
        <w:t>基础金属精深加工。</w:t>
      </w:r>
      <w:r>
        <w:rPr>
          <w:rFonts w:hint="eastAsia" w:hAnsi="仿宋_GB2312" w:cs="仿宋_GB2312"/>
          <w:color w:val="auto"/>
        </w:rPr>
        <w:t>立足酒泉资源禀赋，构建以镁、铝、铜为核心，铅锌协同发展的基础金属精深加工产业体系，着力推动基础金属由原料开采向材料制造加工转型。</w:t>
      </w:r>
      <w:r>
        <w:rPr>
          <w:rFonts w:hint="eastAsia" w:hAnsi="仿宋_GB2312" w:cs="仿宋_GB2312"/>
          <w:b/>
          <w:bCs/>
          <w:color w:val="auto"/>
        </w:rPr>
        <w:t>镁产业</w:t>
      </w:r>
      <w:r>
        <w:rPr>
          <w:rFonts w:hint="eastAsia" w:hAnsi="仿宋_GB2312" w:cs="仿宋_GB2312"/>
          <w:color w:val="auto"/>
        </w:rPr>
        <w:t>，加快开发金属镁资源，提升氧化镁、金属镁、电熔镁砂等耐火材料品质，积极发展轻质碳酸镁、高纯度氧化镁及镁合金，对菱镁矿和生产过程副产物进行综合利用。</w:t>
      </w:r>
      <w:r>
        <w:rPr>
          <w:rFonts w:hint="eastAsia" w:hAnsi="仿宋_GB2312" w:cs="仿宋_GB2312"/>
          <w:b/>
          <w:bCs/>
          <w:color w:val="auto"/>
        </w:rPr>
        <w:t>铝产业，</w:t>
      </w:r>
      <w:r>
        <w:rPr>
          <w:rFonts w:hint="eastAsia" w:ascii="仿宋_GB2312" w:hAnsi="仿宋_GB2312" w:eastAsia="仿宋_GB2312" w:cs="仿宋_GB2312"/>
          <w:color w:val="auto"/>
          <w:lang w:val="en-US" w:eastAsia="zh-CN"/>
        </w:rPr>
        <w:t>以绿色电力消纳为导向，争取承接电解铝转移产能，</w:t>
      </w:r>
      <w:r>
        <w:rPr>
          <w:rFonts w:hint="eastAsia" w:hAnsi="仿宋_GB2312" w:cs="仿宋_GB2312"/>
          <w:color w:val="auto"/>
        </w:rPr>
        <w:t>布局外向型铝材加工产业，延伸发展电池铝箔胚料、电池铝箔等高端材料，供应新能源装备配套铝材需求。</w:t>
      </w:r>
      <w:r>
        <w:rPr>
          <w:rFonts w:hint="eastAsia" w:hAnsi="仿宋_GB2312" w:cs="仿宋_GB2312"/>
          <w:b/>
          <w:bCs/>
          <w:color w:val="auto"/>
        </w:rPr>
        <w:t>铜产业，</w:t>
      </w:r>
      <w:r>
        <w:rPr>
          <w:rFonts w:hint="eastAsia" w:hAnsi="仿宋_GB2312" w:cs="仿宋_GB2312"/>
          <w:color w:val="auto"/>
        </w:rPr>
        <w:t>推进敖包沟、臭水沟铜多金属矿</w:t>
      </w:r>
      <w:r>
        <w:rPr>
          <w:rFonts w:hint="default" w:hAnsi="仿宋_GB2312" w:cs="仿宋_GB2312"/>
          <w:color w:val="auto"/>
          <w:lang w:val="en"/>
        </w:rPr>
        <w:t>“</w:t>
      </w:r>
      <w:r>
        <w:rPr>
          <w:rFonts w:hint="eastAsia" w:hAnsi="仿宋_GB2312" w:cs="仿宋_GB2312"/>
          <w:color w:val="auto"/>
        </w:rPr>
        <w:t>采选尾</w:t>
      </w:r>
      <w:r>
        <w:rPr>
          <w:rFonts w:hint="default" w:hAnsi="仿宋_GB2312" w:cs="仿宋_GB2312"/>
          <w:color w:val="auto"/>
          <w:lang w:val="en"/>
        </w:rPr>
        <w:t>”</w:t>
      </w:r>
      <w:r>
        <w:rPr>
          <w:rFonts w:hint="eastAsia" w:hAnsi="仿宋_GB2312" w:cs="仿宋_GB2312"/>
          <w:color w:val="auto"/>
        </w:rPr>
        <w:t>一体绿色智能化矿山、化石沟铜矿、黑山铜镍矿采选及深加工项目，扩大铜精粉产业规模，布局引进电解铜、电池铜箔材料等产业。</w:t>
      </w:r>
      <w:r>
        <w:rPr>
          <w:rFonts w:hint="eastAsia" w:hAnsi="仿宋_GB2312" w:cs="仿宋_GB2312"/>
          <w:b/>
          <w:bCs/>
          <w:color w:val="auto"/>
        </w:rPr>
        <w:t>铅锌产业</w:t>
      </w:r>
      <w:r>
        <w:rPr>
          <w:rFonts w:hint="eastAsia" w:hAnsi="仿宋_GB2312" w:cs="仿宋_GB2312"/>
          <w:color w:val="auto"/>
        </w:rPr>
        <w:t>，</w:t>
      </w:r>
      <w:r>
        <w:rPr>
          <w:rFonts w:hint="eastAsia" w:ascii="仿宋_GB2312" w:hAnsi="仿宋_GB2312" w:eastAsia="仿宋_GB2312" w:cs="仿宋_GB2312"/>
          <w:color w:val="auto"/>
          <w:lang w:val="en-US" w:eastAsia="zh-CN"/>
        </w:rPr>
        <w:t>围绕瓜州县花牛山一带铅锌产业、肃北县石硐沟铅锌银多金属矿等资源，</w:t>
      </w:r>
      <w:r>
        <w:rPr>
          <w:rFonts w:hint="eastAsia" w:hAnsi="仿宋_GB2312" w:cs="仿宋_GB2312"/>
          <w:color w:val="auto"/>
          <w:lang w:val="en-US" w:eastAsia="zh-CN"/>
        </w:rPr>
        <w:t>构建</w:t>
      </w:r>
      <w:r>
        <w:rPr>
          <w:rFonts w:hint="default" w:hAnsi="仿宋_GB2312" w:cs="仿宋_GB2312"/>
          <w:color w:val="auto"/>
          <w:lang w:val="en" w:eastAsia="zh-CN"/>
        </w:rPr>
        <w:t>“</w:t>
      </w:r>
      <w:r>
        <w:rPr>
          <w:rFonts w:hint="eastAsia" w:ascii="仿宋_GB2312" w:hAnsi="仿宋_GB2312" w:eastAsia="仿宋_GB2312" w:cs="仿宋_GB2312"/>
          <w:color w:val="auto"/>
          <w:lang w:val="en-US" w:eastAsia="zh-CN"/>
        </w:rPr>
        <w:t>铅锌矿—锌精粉</w:t>
      </w:r>
      <w:r>
        <w:rPr>
          <w:rFonts w:hint="default" w:hAnsi="仿宋_GB2312" w:cs="仿宋_GB2312"/>
          <w:color w:val="auto"/>
          <w:lang w:val="en" w:eastAsia="zh-CN"/>
        </w:rPr>
        <w:t>”</w:t>
      </w:r>
      <w:r>
        <w:rPr>
          <w:rFonts w:hint="eastAsia" w:ascii="仿宋_GB2312" w:hAnsi="仿宋_GB2312" w:eastAsia="仿宋_GB2312" w:cs="仿宋_GB2312"/>
          <w:color w:val="auto"/>
          <w:lang w:val="en-US" w:eastAsia="zh-CN"/>
        </w:rPr>
        <w:t>产业，延伸发展铅锌合金材料和铅锌粉体材料，重点发展附加值较高的超细高活性氧化锌粉、高纯铅锌、氧化锌晶须、鳞片状锌粉等深加工产品。</w:t>
      </w:r>
    </w:p>
    <w:p>
      <w:pPr>
        <w:pStyle w:val="9"/>
        <w:keepNext w:val="0"/>
        <w:keepLines w:val="0"/>
        <w:pageBreakBefore w:val="0"/>
        <w:widowControl w:val="0"/>
        <w:kinsoku/>
        <w:wordWrap/>
        <w:overflowPunct/>
        <w:topLinePunct w:val="0"/>
        <w:autoSpaceDE/>
        <w:autoSpaceDN/>
        <w:bidi w:val="0"/>
        <w:adjustRightInd/>
        <w:snapToGrid w:val="0"/>
        <w:spacing w:line="560" w:lineRule="exact"/>
        <w:ind w:firstLine="643"/>
        <w:textAlignment w:val="auto"/>
        <w:rPr>
          <w:rFonts w:ascii="仿宋_GB2312" w:hAnsi="仿宋_GB2312" w:eastAsia="仿宋_GB2312" w:cs="仿宋_GB2312"/>
          <w:color w:val="auto"/>
        </w:rPr>
      </w:pPr>
      <w:r>
        <w:rPr>
          <w:rFonts w:hint="eastAsia" w:ascii="仿宋_GB2312" w:hAnsi="仿宋_GB2312" w:eastAsia="仿宋_GB2312" w:cs="仿宋_GB2312"/>
          <w:b/>
          <w:bCs/>
          <w:color w:val="auto"/>
          <w:kern w:val="0"/>
          <w:szCs w:val="32"/>
          <w:lang w:bidi="ar"/>
        </w:rPr>
        <w:t>推动黑色金属扩规模</w:t>
      </w:r>
      <w:r>
        <w:rPr>
          <w:rFonts w:hint="eastAsia" w:ascii="仿宋_GB2312" w:hAnsi="仿宋_GB2312" w:eastAsia="仿宋_GB2312" w:cs="仿宋_GB2312"/>
          <w:b/>
          <w:bCs/>
          <w:color w:val="auto"/>
        </w:rPr>
        <w:t>。</w:t>
      </w:r>
      <w:r>
        <w:rPr>
          <w:rFonts w:hint="eastAsia" w:ascii="仿宋_GB2312" w:hAnsi="仿宋_GB2312" w:eastAsia="仿宋_GB2312" w:cs="仿宋_GB2312"/>
          <w:color w:val="auto"/>
        </w:rPr>
        <w:t>围绕铁、锰、</w:t>
      </w:r>
      <w:r>
        <w:rPr>
          <w:rFonts w:hint="eastAsia" w:hAnsi="仿宋_GB2312" w:cs="仿宋_GB2312"/>
          <w:color w:val="auto"/>
        </w:rPr>
        <w:t>钒</w:t>
      </w:r>
      <w:r>
        <w:rPr>
          <w:rFonts w:hint="eastAsia" w:ascii="仿宋_GB2312" w:hAnsi="仿宋_GB2312" w:eastAsia="仿宋_GB2312" w:cs="仿宋_GB2312"/>
          <w:color w:val="auto"/>
        </w:rPr>
        <w:t>等矿产资源，布局全产业链精深加工体系。</w:t>
      </w:r>
      <w:r>
        <w:rPr>
          <w:rFonts w:hint="eastAsia" w:ascii="仿宋_GB2312" w:hAnsi="仿宋_GB2312" w:eastAsia="仿宋_GB2312" w:cs="仿宋_GB2312"/>
          <w:b/>
          <w:bCs/>
          <w:color w:val="auto"/>
        </w:rPr>
        <w:t>铁矿精深加工。</w:t>
      </w:r>
      <w:r>
        <w:rPr>
          <w:rFonts w:hint="eastAsia" w:ascii="仿宋_GB2312" w:hAnsi="仿宋_GB2312" w:eastAsia="仿宋_GB2312" w:cs="仿宋_GB2312"/>
          <w:color w:val="auto"/>
        </w:rPr>
        <w:t>以肃北县七角井-杨岭为核心，辐射带动白山泉、瓜州县碎石山、东巴兔等铁矿开发利用，引导狼娃山铁矿盘活扩能，扩大铁精粉生产能力，支持发展铁球团、球墨铸铁件、铸管、新型铁基耐磨材料、铁合金等下游深加工产品，并向装备制造用材延伸。</w:t>
      </w:r>
      <w:r>
        <w:rPr>
          <w:rFonts w:hint="eastAsia" w:ascii="仿宋_GB2312" w:hAnsi="仿宋_GB2312" w:eastAsia="仿宋_GB2312" w:cs="仿宋_GB2312"/>
          <w:b/>
          <w:bCs/>
          <w:color w:val="auto"/>
        </w:rPr>
        <w:t>钒矿精深加工。</w:t>
      </w:r>
      <w:r>
        <w:rPr>
          <w:rFonts w:hint="eastAsia" w:ascii="仿宋_GB2312" w:hAnsi="仿宋_GB2312" w:eastAsia="仿宋_GB2312" w:cs="仿宋_GB2312"/>
          <w:color w:val="auto"/>
        </w:rPr>
        <w:t>围绕敦煌五一山、平台山一带钒矿资源，巩固现有钒材料加工产能，加快敦煌方山口磷钒矿资源整合，支持七角井共生钒矿绿色环保开发利用，引进石煤提钒带余热发电、钢渣提钒等先进技术，提升资源利用效率。积极开发钒铁、钒氮合金、钒电池等高新技术产品，延伸钒产业链，形成面向全省、服务西北的钒产品生产基地。</w:t>
      </w:r>
      <w:r>
        <w:rPr>
          <w:rFonts w:hint="eastAsia" w:ascii="仿宋_GB2312" w:hAnsi="仿宋_GB2312" w:eastAsia="仿宋_GB2312" w:cs="仿宋_GB2312"/>
          <w:b/>
          <w:bCs/>
          <w:color w:val="auto"/>
        </w:rPr>
        <w:t>锰矿精深加工。</w:t>
      </w:r>
      <w:r>
        <w:rPr>
          <w:rFonts w:hint="eastAsia" w:ascii="仿宋_GB2312" w:hAnsi="仿宋_GB2312" w:eastAsia="仿宋_GB2312" w:cs="仿宋_GB2312"/>
          <w:color w:val="auto"/>
        </w:rPr>
        <w:t>以阿克塞县为重点，加大青砂沟-赛马沟低品位难选冶锰矿综合利用研究，加强精选环节建设，提升锰矿采选能力，重点发展高纯硫酸锰、镍钴锰氢氧化物、锰盐、磁性材料和电解金属锰以及低磷低碳硅锰合金、高硅锰合金等精深加工产业，逐步延长硅锰合金等深加工产业链。</w:t>
      </w:r>
    </w:p>
    <w:p>
      <w:pPr>
        <w:pStyle w:val="9"/>
        <w:keepNext w:val="0"/>
        <w:keepLines w:val="0"/>
        <w:pageBreakBefore w:val="0"/>
        <w:widowControl w:val="0"/>
        <w:kinsoku/>
        <w:wordWrap/>
        <w:overflowPunct/>
        <w:topLinePunct w:val="0"/>
        <w:autoSpaceDE/>
        <w:autoSpaceDN/>
        <w:bidi w:val="0"/>
        <w:adjustRightInd/>
        <w:snapToGrid/>
        <w:spacing w:line="560" w:lineRule="exact"/>
        <w:ind w:firstLine="442"/>
        <w:textAlignment w:val="auto"/>
        <w:rPr>
          <w:rFonts w:hint="eastAsia" w:ascii="仿宋_GB2312" w:hAnsi="仿宋_GB2312" w:eastAsia="仿宋_GB2312" w:cs="仿宋_GB2312"/>
          <w:color w:val="auto"/>
          <w:kern w:val="2"/>
          <w:sz w:val="32"/>
          <w:szCs w:val="32"/>
          <w:lang w:val="en-US" w:eastAsia="zh-CN" w:bidi="ar-SA"/>
        </w:rPr>
      </w:pPr>
      <w:r>
        <w:rPr>
          <w:rFonts w:hint="eastAsia" w:hAnsi="仿宋_GB2312" w:cs="仿宋_GB2312"/>
          <w:b/>
          <w:bCs/>
          <w:color w:val="auto"/>
          <w:kern w:val="0"/>
          <w:lang w:bidi="ar"/>
        </w:rPr>
        <w:t>推动非金属产业增效益</w:t>
      </w:r>
      <w:r>
        <w:rPr>
          <w:rFonts w:hint="eastAsia" w:hAnsi="仿宋_GB2312" w:cs="仿宋_GB2312"/>
          <w:b/>
          <w:bCs/>
          <w:color w:val="auto"/>
        </w:rPr>
        <w:t>。</w:t>
      </w:r>
      <w:r>
        <w:rPr>
          <w:rFonts w:hint="eastAsia" w:hAnsi="仿宋_GB2312" w:cs="仿宋_GB2312"/>
          <w:color w:val="auto"/>
        </w:rPr>
        <w:t>以煤炭、石墨、硅石等矿产为重点，推动非金属矿产资源多元化高端化利用。</w:t>
      </w:r>
      <w:r>
        <w:rPr>
          <w:rFonts w:hint="eastAsia" w:hAnsi="仿宋_GB2312" w:cs="仿宋_GB2312"/>
          <w:b/>
          <w:bCs/>
          <w:color w:val="auto"/>
        </w:rPr>
        <w:t>煤炭采选加工。</w:t>
      </w:r>
      <w:r>
        <w:rPr>
          <w:rFonts w:hint="eastAsia" w:hAnsi="仿宋_GB2312" w:cs="仿宋_GB2312"/>
          <w:color w:val="auto"/>
        </w:rPr>
        <w:t>以</w:t>
      </w:r>
      <w:r>
        <w:rPr>
          <w:rFonts w:hint="default" w:hAnsi="仿宋_GB2312" w:cs="仿宋_GB2312"/>
          <w:color w:val="auto"/>
          <w:lang w:val="en"/>
        </w:rPr>
        <w:t>“</w:t>
      </w:r>
      <w:r>
        <w:rPr>
          <w:rFonts w:hint="eastAsia" w:hAnsi="仿宋_GB2312" w:cs="仿宋_GB2312"/>
          <w:color w:val="auto"/>
        </w:rPr>
        <w:t>绿色开采、集约转化、高效利用</w:t>
      </w:r>
      <w:r>
        <w:rPr>
          <w:rFonts w:hint="default" w:hAnsi="仿宋_GB2312" w:cs="仿宋_GB2312"/>
          <w:color w:val="auto"/>
          <w:lang w:val="en"/>
        </w:rPr>
        <w:t>”</w:t>
      </w:r>
      <w:r>
        <w:rPr>
          <w:rFonts w:hint="eastAsia" w:hAnsi="仿宋_GB2312" w:cs="仿宋_GB2312"/>
          <w:color w:val="auto"/>
        </w:rPr>
        <w:t>为导向，构建从煤炭生产到清洁转化的产业链。重点推进肃北县吐鲁矿区、公婆泉、条湖等煤矿项目建设，</w:t>
      </w:r>
      <w:r>
        <w:rPr>
          <w:rFonts w:hint="eastAsia" w:hAnsi="仿宋_GB2312" w:cs="仿宋_GB2312"/>
          <w:color w:val="auto"/>
          <w:sz w:val="32"/>
          <w:szCs w:val="32"/>
        </w:rPr>
        <w:t>强化煤炭资源保障能力，煤炭产能</w:t>
      </w:r>
      <w:r>
        <w:rPr>
          <w:rFonts w:hint="eastAsia" w:ascii="仿宋_GB2312" w:hAnsi="仿宋_GB2312" w:eastAsia="仿宋_GB2312" w:cs="仿宋_GB2312"/>
          <w:color w:val="auto"/>
          <w:sz w:val="32"/>
          <w:szCs w:val="32"/>
        </w:rPr>
        <w:t>达到1400万吨以</w:t>
      </w:r>
      <w:r>
        <w:rPr>
          <w:rFonts w:hint="eastAsia" w:hAnsi="仿宋_GB2312" w:cs="仿宋_GB2312"/>
          <w:color w:val="auto"/>
          <w:sz w:val="32"/>
          <w:szCs w:val="32"/>
        </w:rPr>
        <w:t>上，形成千万吨级煤炭生产基地。</w:t>
      </w:r>
      <w:r>
        <w:rPr>
          <w:rFonts w:hint="eastAsia" w:hAnsi="仿宋_GB2312" w:cs="仿宋_GB2312"/>
          <w:b/>
          <w:bCs/>
          <w:color w:val="auto"/>
          <w:sz w:val="32"/>
          <w:szCs w:val="32"/>
        </w:rPr>
        <w:t>硅石深加工。</w:t>
      </w:r>
      <w:r>
        <w:rPr>
          <w:rFonts w:hint="eastAsia" w:hAnsi="仿宋_GB2312" w:cs="仿宋_GB2312"/>
          <w:color w:val="auto"/>
          <w:sz w:val="32"/>
          <w:szCs w:val="32"/>
        </w:rPr>
        <w:t>立足硅石资源禀赋，以高纯硅高端化突破、中低品位硅梯级利用、全产业链协同升级为核心，加快构建</w:t>
      </w:r>
      <w:r>
        <w:rPr>
          <w:rFonts w:hint="default" w:hAnsi="仿宋_GB2312" w:cs="仿宋_GB2312"/>
          <w:color w:val="auto"/>
          <w:sz w:val="32"/>
          <w:szCs w:val="32"/>
          <w:lang w:val="en"/>
        </w:rPr>
        <w:t>“</w:t>
      </w:r>
      <w:r>
        <w:rPr>
          <w:rFonts w:hint="eastAsia" w:hAnsi="仿宋_GB2312" w:cs="仿宋_GB2312"/>
          <w:color w:val="auto"/>
          <w:sz w:val="32"/>
          <w:szCs w:val="32"/>
        </w:rPr>
        <w:t>高纯引领、中低互补、链式协同</w:t>
      </w:r>
      <w:r>
        <w:rPr>
          <w:rFonts w:hint="default" w:hAnsi="仿宋_GB2312" w:cs="仿宋_GB2312"/>
          <w:color w:val="auto"/>
          <w:sz w:val="32"/>
          <w:szCs w:val="32"/>
          <w:lang w:val="en"/>
        </w:rPr>
        <w:t>”</w:t>
      </w:r>
      <w:r>
        <w:rPr>
          <w:rFonts w:hint="eastAsia" w:hAnsi="仿宋_GB2312" w:cs="仿宋_GB2312"/>
          <w:color w:val="auto"/>
          <w:sz w:val="32"/>
          <w:szCs w:val="32"/>
        </w:rPr>
        <w:t>的现代硅产业体系。重点引进中低品位深加工企业，布局人造石英板材、异型玻璃瓶等项目，发展工业硅粉、硅微粉及有机硅橡胶、硅油、硅树脂等产品，延伸</w:t>
      </w:r>
      <w:r>
        <w:rPr>
          <w:rFonts w:hint="default" w:hAnsi="仿宋_GB2312" w:cs="仿宋_GB2312"/>
          <w:color w:val="auto"/>
          <w:sz w:val="32"/>
          <w:szCs w:val="32"/>
          <w:lang w:val="en"/>
        </w:rPr>
        <w:t>“</w:t>
      </w:r>
      <w:r>
        <w:rPr>
          <w:rFonts w:hint="eastAsia" w:hAnsi="仿宋_GB2312" w:cs="仿宋_GB2312"/>
          <w:color w:val="auto"/>
          <w:sz w:val="32"/>
          <w:szCs w:val="32"/>
        </w:rPr>
        <w:t>工业硅—有机硅—下游制品</w:t>
      </w:r>
      <w:r>
        <w:rPr>
          <w:rFonts w:hint="default" w:hAnsi="仿宋_GB2312" w:cs="仿宋_GB2312"/>
          <w:color w:val="auto"/>
          <w:sz w:val="32"/>
          <w:szCs w:val="32"/>
          <w:lang w:val="en"/>
        </w:rPr>
        <w:t>”</w:t>
      </w:r>
      <w:r>
        <w:rPr>
          <w:rFonts w:hint="eastAsia" w:hAnsi="仿宋_GB2312" w:cs="仿宋_GB2312"/>
          <w:color w:val="auto"/>
          <w:sz w:val="32"/>
          <w:szCs w:val="32"/>
        </w:rPr>
        <w:t>链条</w:t>
      </w:r>
      <w:r>
        <w:rPr>
          <w:rFonts w:hint="eastAsia" w:hAnsi="仿宋_GB2312" w:cs="仿宋_GB2312"/>
          <w:color w:val="auto"/>
          <w:sz w:val="32"/>
          <w:szCs w:val="32"/>
          <w:lang w:eastAsia="zh-CN"/>
        </w:rPr>
        <w:t>。</w:t>
      </w:r>
      <w:r>
        <w:rPr>
          <w:rFonts w:hint="eastAsia" w:hAnsi="仿宋_GB2312" w:cs="仿宋_GB2312"/>
          <w:color w:val="auto"/>
          <w:sz w:val="32"/>
          <w:szCs w:val="32"/>
        </w:rPr>
        <w:t>深化与巨化氟化工协同，利用巨化氟单体与硅氧烷单体共聚，布局高性能密封材料、灌封胶。</w:t>
      </w:r>
      <w:r>
        <w:rPr>
          <w:rFonts w:hint="eastAsia" w:hAnsi="仿宋_GB2312" w:cs="仿宋_GB2312"/>
          <w:b/>
          <w:bCs/>
          <w:color w:val="auto"/>
          <w:sz w:val="32"/>
          <w:szCs w:val="32"/>
        </w:rPr>
        <w:t>绿电制氟与低碳协同，</w:t>
      </w:r>
      <w:r>
        <w:rPr>
          <w:rFonts w:hint="eastAsia" w:hAnsi="仿宋_GB2312" w:cs="仿宋_GB2312"/>
          <w:color w:val="auto"/>
          <w:sz w:val="32"/>
          <w:szCs w:val="32"/>
        </w:rPr>
        <w:t>利用硅产业副产氢气支撑巨化氢氟酸制备，构建</w:t>
      </w:r>
      <w:r>
        <w:rPr>
          <w:rFonts w:hint="default" w:hAnsi="仿宋_GB2312" w:cs="仿宋_GB2312"/>
          <w:color w:val="auto"/>
          <w:sz w:val="32"/>
          <w:szCs w:val="32"/>
          <w:lang w:val="en"/>
        </w:rPr>
        <w:t>“</w:t>
      </w:r>
      <w:r>
        <w:rPr>
          <w:rFonts w:hint="eastAsia" w:hAnsi="仿宋_GB2312" w:cs="仿宋_GB2312"/>
          <w:color w:val="auto"/>
          <w:sz w:val="32"/>
          <w:szCs w:val="32"/>
        </w:rPr>
        <w:t>硅-氢-氟</w:t>
      </w:r>
      <w:r>
        <w:rPr>
          <w:rFonts w:hint="default" w:hAnsi="仿宋_GB2312" w:cs="仿宋_GB2312"/>
          <w:color w:val="auto"/>
          <w:sz w:val="32"/>
          <w:szCs w:val="32"/>
          <w:lang w:val="en"/>
        </w:rPr>
        <w:t>”</w:t>
      </w:r>
      <w:r>
        <w:rPr>
          <w:rFonts w:hint="eastAsia" w:hAnsi="仿宋_GB2312" w:cs="仿宋_GB2312"/>
          <w:color w:val="auto"/>
          <w:sz w:val="32"/>
          <w:szCs w:val="32"/>
        </w:rPr>
        <w:t>低碳循环链。布局发展硅渣制备白炭黑（轮胎补强剂）、陶瓷原料及尾气回收氢气（用于氢能产业或硅烷气制备），实现资源高效利用与环境减负协同。</w:t>
      </w:r>
      <w:r>
        <w:rPr>
          <w:rFonts w:hint="eastAsia" w:ascii="仿宋_GB2312" w:hAnsi="仿宋_GB2312" w:eastAsia="仿宋_GB2312" w:cs="仿宋_GB2312"/>
          <w:b/>
          <w:bCs/>
          <w:color w:val="auto"/>
          <w:kern w:val="2"/>
          <w:sz w:val="32"/>
          <w:szCs w:val="32"/>
          <w:lang w:val="en-US" w:eastAsia="zh-CN" w:bidi="ar-SA"/>
        </w:rPr>
        <w:t>石墨精深加工。</w:t>
      </w:r>
      <w:r>
        <w:rPr>
          <w:rFonts w:hint="eastAsia" w:ascii="仿宋_GB2312" w:hAnsi="仿宋_GB2312" w:eastAsia="仿宋_GB2312" w:cs="仿宋_GB2312"/>
          <w:color w:val="auto"/>
          <w:kern w:val="2"/>
          <w:sz w:val="32"/>
          <w:szCs w:val="32"/>
          <w:lang w:val="en-US" w:eastAsia="zh-CN" w:bidi="ar-SA"/>
        </w:rPr>
        <w:t>依托我市晶质石墨矿资源，推进肃北红柳峡—大敖包沟、瓜州东巴兔、阿克塞豺狼沟晶质石墨矿提质增效，形成年产20万吨石墨精粉稳定供应，构建</w:t>
      </w:r>
      <w:r>
        <w:rPr>
          <w:rFonts w:hint="default" w:hAnsi="仿宋_GB2312" w:cs="仿宋_GB2312"/>
          <w:color w:val="auto"/>
          <w:kern w:val="2"/>
          <w:sz w:val="32"/>
          <w:szCs w:val="32"/>
          <w:lang w:val="en" w:eastAsia="zh-CN" w:bidi="ar-SA"/>
        </w:rPr>
        <w:t>“</w:t>
      </w:r>
      <w:r>
        <w:rPr>
          <w:rFonts w:hint="eastAsia" w:ascii="仿宋_GB2312" w:hAnsi="仿宋_GB2312" w:eastAsia="仿宋_GB2312" w:cs="仿宋_GB2312"/>
          <w:color w:val="auto"/>
          <w:kern w:val="2"/>
          <w:sz w:val="32"/>
          <w:szCs w:val="32"/>
          <w:lang w:val="en-US" w:eastAsia="zh-CN" w:bidi="ar-SA"/>
        </w:rPr>
        <w:t>石墨采选—晶质石墨（石墨精粉）—石墨烯粉体（高纯石墨）</w:t>
      </w:r>
      <w:r>
        <w:rPr>
          <w:rFonts w:hint="default" w:hAnsi="仿宋_GB2312" w:cs="仿宋_GB2312"/>
          <w:color w:val="auto"/>
          <w:kern w:val="2"/>
          <w:sz w:val="32"/>
          <w:szCs w:val="32"/>
          <w:lang w:val="en" w:eastAsia="zh-CN" w:bidi="ar-SA"/>
        </w:rPr>
        <w:t>”</w:t>
      </w:r>
      <w:r>
        <w:rPr>
          <w:rFonts w:hint="eastAsia" w:ascii="仿宋_GB2312" w:hAnsi="仿宋_GB2312" w:eastAsia="仿宋_GB2312" w:cs="仿宋_GB2312"/>
          <w:color w:val="auto"/>
          <w:kern w:val="2"/>
          <w:sz w:val="32"/>
          <w:szCs w:val="32"/>
          <w:lang w:val="en-US" w:eastAsia="zh-CN" w:bidi="ar-SA"/>
        </w:rPr>
        <w:t>石墨原材料制备等石墨精粉深加工产业链，统筹发展墙体材料、陶瓷环保生态砖、白炭黑等石墨尾矿综合利用。</w:t>
      </w:r>
    </w:p>
    <w:tbl>
      <w:tblPr>
        <w:tblStyle w:val="21"/>
        <w:tblpPr w:leftFromText="180" w:rightFromText="180" w:vertAnchor="text" w:horzAnchor="page" w:tblpX="1588" w:tblpY="22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061" w:type="dxa"/>
          </w:tcPr>
          <w:p>
            <w:pPr>
              <w:keepLines w:val="0"/>
              <w:pageBreakBefore w:val="0"/>
              <w:kinsoku/>
              <w:wordWrap/>
              <w:overflowPunct/>
              <w:topLinePunct w:val="0"/>
              <w:bidi w:val="0"/>
              <w:spacing w:line="560" w:lineRule="exact"/>
              <w:ind w:firstLine="480"/>
              <w:jc w:val="center"/>
              <w:textAlignment w:val="auto"/>
              <w:rPr>
                <w:rFonts w:ascii="仿宋_GB2312" w:hAnsi="仿宋_GB2312" w:eastAsia="仿宋_GB2312" w:cs="仿宋_GB2312"/>
                <w:color w:val="auto"/>
                <w:sz w:val="28"/>
                <w:szCs w:val="28"/>
              </w:rPr>
            </w:pPr>
            <w:r>
              <w:rPr>
                <w:rFonts w:hint="eastAsia" w:ascii="黑体" w:hAnsi="黑体" w:eastAsia="黑体" w:cs="黑体"/>
                <w:color w:val="auto"/>
                <w:sz w:val="24"/>
              </w:rPr>
              <w:t>专栏</w:t>
            </w:r>
            <w:r>
              <w:rPr>
                <w:rFonts w:hint="eastAsia" w:ascii="黑体" w:hAnsi="黑体" w:eastAsia="黑体" w:cs="黑体"/>
                <w:color w:val="auto"/>
                <w:sz w:val="24"/>
                <w:lang w:val="en-US" w:eastAsia="zh-CN"/>
              </w:rPr>
              <w:t>4</w:t>
            </w:r>
            <w:r>
              <w:rPr>
                <w:rFonts w:ascii="黑体" w:hAnsi="黑体" w:eastAsia="黑体" w:cs="黑体"/>
                <w:color w:val="auto"/>
                <w:sz w:val="24"/>
                <w:lang w:val="en"/>
              </w:rPr>
              <w:t xml:space="preserve"> </w:t>
            </w:r>
            <w:r>
              <w:rPr>
                <w:rFonts w:hint="eastAsia" w:ascii="黑体" w:hAnsi="黑体" w:eastAsia="黑体" w:cs="黑体"/>
                <w:color w:val="auto"/>
                <w:sz w:val="24"/>
              </w:rPr>
              <w:t xml:space="preserve"> 矿产品精深加工产业重点项目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40"/>
              <w:jc w:val="both"/>
              <w:textAlignment w:val="auto"/>
              <w:rPr>
                <w:rFonts w:ascii="仿宋_GB2312" w:hAnsi="仿宋_GB2312" w:eastAsia="仿宋_GB2312" w:cs="仿宋_GB2312"/>
                <w:color w:val="auto"/>
                <w:kern w:val="2"/>
                <w:sz w:val="22"/>
                <w:szCs w:val="22"/>
                <w:lang w:bidi="ar-SA"/>
              </w:rPr>
            </w:pPr>
            <w:r>
              <w:rPr>
                <w:rFonts w:hint="eastAsia" w:ascii="仿宋_GB2312" w:hAnsi="仿宋_GB2312" w:eastAsia="仿宋_GB2312" w:cs="仿宋_GB2312"/>
                <w:color w:val="auto"/>
                <w:kern w:val="2"/>
                <w:sz w:val="22"/>
                <w:szCs w:val="22"/>
                <w:lang w:bidi="ar-SA"/>
              </w:rPr>
              <w:t>1.鑫森年产100万吨高纯石英砂300万吨普通石英砂项目；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40"/>
              <w:jc w:val="both"/>
              <w:textAlignment w:val="auto"/>
              <w:rPr>
                <w:rFonts w:ascii="仿宋_GB2312" w:hAnsi="仿宋_GB2312" w:eastAsia="仿宋_GB2312" w:cs="仿宋_GB2312"/>
                <w:color w:val="auto"/>
                <w:kern w:val="2"/>
                <w:sz w:val="22"/>
                <w:szCs w:val="22"/>
                <w:lang w:bidi="ar-SA"/>
              </w:rPr>
            </w:pPr>
            <w:r>
              <w:rPr>
                <w:rFonts w:hint="eastAsia" w:ascii="仿宋_GB2312" w:hAnsi="仿宋_GB2312" w:eastAsia="仿宋_GB2312" w:cs="仿宋_GB2312"/>
                <w:color w:val="auto"/>
                <w:kern w:val="2"/>
                <w:sz w:val="22"/>
                <w:szCs w:val="22"/>
                <w:lang w:val="en-US" w:eastAsia="zh-CN" w:bidi="ar-SA"/>
              </w:rPr>
              <w:t>2</w:t>
            </w:r>
            <w:r>
              <w:rPr>
                <w:rFonts w:hint="eastAsia" w:ascii="仿宋_GB2312" w:hAnsi="仿宋_GB2312" w:eastAsia="仿宋_GB2312" w:cs="仿宋_GB2312"/>
                <w:color w:val="auto"/>
                <w:kern w:val="2"/>
                <w:sz w:val="22"/>
                <w:szCs w:val="22"/>
                <w:lang w:bidi="ar-SA"/>
              </w:rPr>
              <w:t>.年产13万吨轻量化钠钙玻璃瓶及4万吨高硼硅玻璃瓶项目；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40"/>
              <w:jc w:val="both"/>
              <w:textAlignment w:val="auto"/>
              <w:rPr>
                <w:rFonts w:ascii="仿宋_GB2312" w:hAnsi="仿宋_GB2312" w:eastAsia="仿宋_GB2312" w:cs="仿宋_GB2312"/>
                <w:color w:val="auto"/>
                <w:kern w:val="2"/>
                <w:sz w:val="22"/>
                <w:szCs w:val="22"/>
                <w:lang w:bidi="ar-SA"/>
              </w:rPr>
            </w:pPr>
            <w:r>
              <w:rPr>
                <w:rFonts w:hint="eastAsia" w:ascii="仿宋_GB2312" w:hAnsi="仿宋_GB2312" w:eastAsia="仿宋_GB2312" w:cs="仿宋_GB2312"/>
                <w:color w:val="auto"/>
                <w:kern w:val="2"/>
                <w:sz w:val="22"/>
                <w:szCs w:val="22"/>
                <w:lang w:val="en-US" w:eastAsia="zh-CN" w:bidi="ar-SA"/>
              </w:rPr>
              <w:t>3</w:t>
            </w:r>
            <w:r>
              <w:rPr>
                <w:rFonts w:hint="eastAsia" w:ascii="仿宋_GB2312" w:hAnsi="仿宋_GB2312" w:eastAsia="仿宋_GB2312" w:cs="仿宋_GB2312"/>
                <w:color w:val="auto"/>
                <w:kern w:val="2"/>
                <w:sz w:val="22"/>
                <w:szCs w:val="22"/>
                <w:lang w:bidi="ar-SA"/>
              </w:rPr>
              <w:t>.恒瑞新石英材料有限公司65万吨/年高纯硅材料精加工项目；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40"/>
              <w:jc w:val="both"/>
              <w:textAlignment w:val="auto"/>
              <w:rPr>
                <w:rFonts w:ascii="仿宋_GB2312" w:hAnsi="仿宋_GB2312" w:eastAsia="仿宋_GB2312" w:cs="仿宋_GB2312"/>
                <w:color w:val="auto"/>
                <w:kern w:val="2"/>
                <w:sz w:val="22"/>
                <w:szCs w:val="22"/>
                <w:lang w:bidi="ar-SA"/>
              </w:rPr>
            </w:pPr>
            <w:r>
              <w:rPr>
                <w:rFonts w:hint="eastAsia" w:ascii="仿宋_GB2312" w:hAnsi="仿宋_GB2312" w:eastAsia="仿宋_GB2312" w:cs="仿宋_GB2312"/>
                <w:color w:val="auto"/>
                <w:kern w:val="2"/>
                <w:sz w:val="22"/>
                <w:szCs w:val="22"/>
                <w:lang w:val="en-US" w:eastAsia="zh-CN" w:bidi="ar-SA"/>
              </w:rPr>
              <w:t>4</w:t>
            </w:r>
            <w:r>
              <w:rPr>
                <w:rFonts w:hint="eastAsia" w:ascii="仿宋_GB2312" w:hAnsi="仿宋_GB2312" w:eastAsia="仿宋_GB2312" w:cs="仿宋_GB2312"/>
                <w:color w:val="auto"/>
                <w:kern w:val="2"/>
                <w:sz w:val="22"/>
                <w:szCs w:val="22"/>
                <w:lang w:bidi="ar-SA"/>
              </w:rPr>
              <w:t>.玄武岩纤维产业园项目；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40"/>
              <w:jc w:val="both"/>
              <w:textAlignment w:val="auto"/>
              <w:rPr>
                <w:rFonts w:ascii="仿宋_GB2312" w:hAnsi="仿宋_GB2312" w:eastAsia="仿宋_GB2312" w:cs="仿宋_GB2312"/>
                <w:color w:val="auto"/>
                <w:kern w:val="2"/>
                <w:sz w:val="22"/>
                <w:szCs w:val="22"/>
                <w:lang w:bidi="ar-SA"/>
              </w:rPr>
            </w:pPr>
            <w:r>
              <w:rPr>
                <w:rFonts w:hint="eastAsia" w:ascii="仿宋_GB2312" w:hAnsi="仿宋_GB2312" w:eastAsia="仿宋_GB2312" w:cs="仿宋_GB2312"/>
                <w:color w:val="auto"/>
                <w:kern w:val="2"/>
                <w:sz w:val="22"/>
                <w:szCs w:val="22"/>
                <w:lang w:val="en-US" w:eastAsia="zh-CN" w:bidi="ar-SA"/>
              </w:rPr>
              <w:t>5</w:t>
            </w:r>
            <w:r>
              <w:rPr>
                <w:rFonts w:hint="eastAsia" w:ascii="仿宋_GB2312" w:hAnsi="仿宋_GB2312" w:eastAsia="仿宋_GB2312" w:cs="仿宋_GB2312"/>
                <w:color w:val="auto"/>
                <w:kern w:val="2"/>
                <w:sz w:val="22"/>
                <w:szCs w:val="22"/>
                <w:lang w:bidi="ar-SA"/>
              </w:rPr>
              <w:t>.金精粉深加工项目；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40"/>
              <w:jc w:val="both"/>
              <w:textAlignment w:val="auto"/>
              <w:rPr>
                <w:rFonts w:ascii="仿宋_GB2312" w:hAnsi="仿宋_GB2312" w:eastAsia="仿宋_GB2312" w:cs="仿宋_GB2312"/>
                <w:color w:val="auto"/>
                <w:kern w:val="2"/>
                <w:sz w:val="22"/>
                <w:szCs w:val="22"/>
                <w:lang w:bidi="ar-SA"/>
              </w:rPr>
            </w:pPr>
            <w:r>
              <w:rPr>
                <w:rFonts w:hint="eastAsia" w:ascii="仿宋_GB2312" w:hAnsi="仿宋_GB2312" w:eastAsia="仿宋_GB2312" w:cs="仿宋_GB2312"/>
                <w:color w:val="auto"/>
                <w:kern w:val="2"/>
                <w:sz w:val="22"/>
                <w:szCs w:val="22"/>
                <w:lang w:val="en-US" w:eastAsia="zh-CN" w:bidi="ar-SA"/>
              </w:rPr>
              <w:t>6</w:t>
            </w:r>
            <w:r>
              <w:rPr>
                <w:rFonts w:hint="eastAsia" w:ascii="仿宋_GB2312" w:hAnsi="仿宋_GB2312" w:eastAsia="仿宋_GB2312" w:cs="仿宋_GB2312"/>
                <w:color w:val="auto"/>
                <w:kern w:val="2"/>
                <w:sz w:val="22"/>
                <w:szCs w:val="22"/>
                <w:lang w:bidi="ar-SA"/>
              </w:rPr>
              <w:t>.方山口平台山磷钒矿资源开发与利用项目；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40"/>
              <w:jc w:val="both"/>
              <w:textAlignment w:val="auto"/>
              <w:rPr>
                <w:rFonts w:ascii="仿宋_GB2312" w:hAnsi="仿宋_GB2312" w:eastAsia="仿宋_GB2312" w:cs="仿宋_GB2312"/>
                <w:color w:val="auto"/>
                <w:kern w:val="2"/>
                <w:sz w:val="22"/>
                <w:szCs w:val="22"/>
                <w:lang w:bidi="ar-SA"/>
              </w:rPr>
            </w:pPr>
            <w:r>
              <w:rPr>
                <w:rFonts w:hint="eastAsia" w:ascii="仿宋_GB2312" w:hAnsi="仿宋_GB2312" w:eastAsia="仿宋_GB2312" w:cs="仿宋_GB2312"/>
                <w:color w:val="auto"/>
                <w:kern w:val="2"/>
                <w:sz w:val="22"/>
                <w:szCs w:val="22"/>
                <w:lang w:val="en-US" w:eastAsia="zh-CN" w:bidi="ar-SA"/>
              </w:rPr>
              <w:t>7</w:t>
            </w:r>
            <w:r>
              <w:rPr>
                <w:rFonts w:hint="eastAsia" w:ascii="仿宋_GB2312" w:hAnsi="仿宋_GB2312" w:eastAsia="仿宋_GB2312" w:cs="仿宋_GB2312"/>
                <w:color w:val="auto"/>
                <w:kern w:val="2"/>
                <w:sz w:val="22"/>
                <w:szCs w:val="22"/>
                <w:lang w:bidi="ar-SA"/>
              </w:rPr>
              <w:t>.中鸿控股石材资源整合开发项目；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40"/>
              <w:jc w:val="both"/>
              <w:textAlignment w:val="auto"/>
              <w:rPr>
                <w:rFonts w:ascii="仿宋_GB2312" w:hAnsi="仿宋_GB2312" w:eastAsia="仿宋_GB2312" w:cs="仿宋_GB2312"/>
                <w:color w:val="auto"/>
                <w:kern w:val="2"/>
                <w:sz w:val="22"/>
                <w:szCs w:val="22"/>
                <w:lang w:bidi="ar-SA"/>
              </w:rPr>
            </w:pPr>
            <w:r>
              <w:rPr>
                <w:rFonts w:hint="eastAsia" w:ascii="仿宋_GB2312" w:hAnsi="仿宋_GB2312" w:eastAsia="仿宋_GB2312" w:cs="仿宋_GB2312"/>
                <w:color w:val="auto"/>
                <w:kern w:val="2"/>
                <w:sz w:val="22"/>
                <w:szCs w:val="22"/>
                <w:lang w:val="en-US" w:eastAsia="zh-CN" w:bidi="ar-SA"/>
              </w:rPr>
              <w:t>8</w:t>
            </w:r>
            <w:r>
              <w:rPr>
                <w:rFonts w:hint="eastAsia" w:ascii="仿宋_GB2312" w:hAnsi="仿宋_GB2312" w:eastAsia="仿宋_GB2312" w:cs="仿宋_GB2312"/>
                <w:color w:val="auto"/>
                <w:kern w:val="2"/>
                <w:sz w:val="22"/>
                <w:szCs w:val="22"/>
                <w:lang w:bidi="ar-SA"/>
              </w:rPr>
              <w:t>.北山金矿采选及配套建设项目；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40"/>
              <w:jc w:val="both"/>
              <w:textAlignment w:val="auto"/>
              <w:rPr>
                <w:rFonts w:ascii="仿宋_GB2312" w:hAnsi="仿宋_GB2312" w:eastAsia="仿宋_GB2312" w:cs="仿宋_GB2312"/>
                <w:color w:val="auto"/>
                <w:kern w:val="2"/>
                <w:sz w:val="22"/>
                <w:szCs w:val="22"/>
                <w:lang w:bidi="ar-SA"/>
              </w:rPr>
            </w:pPr>
            <w:r>
              <w:rPr>
                <w:rFonts w:hint="eastAsia" w:ascii="仿宋_GB2312" w:hAnsi="仿宋_GB2312" w:eastAsia="仿宋_GB2312" w:cs="仿宋_GB2312"/>
                <w:color w:val="auto"/>
                <w:kern w:val="2"/>
                <w:sz w:val="22"/>
                <w:szCs w:val="22"/>
                <w:lang w:val="en-US" w:eastAsia="zh-CN" w:bidi="ar-SA"/>
              </w:rPr>
              <w:t>9</w:t>
            </w:r>
            <w:r>
              <w:rPr>
                <w:rFonts w:hint="eastAsia" w:ascii="仿宋_GB2312" w:hAnsi="仿宋_GB2312" w:eastAsia="仿宋_GB2312" w:cs="仿宋_GB2312"/>
                <w:color w:val="auto"/>
                <w:kern w:val="2"/>
                <w:sz w:val="22"/>
                <w:szCs w:val="22"/>
                <w:lang w:bidi="ar-SA"/>
              </w:rPr>
              <w:t>.公婆泉露天矿建设项目；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40"/>
              <w:jc w:val="both"/>
              <w:textAlignment w:val="auto"/>
              <w:rPr>
                <w:rFonts w:hint="eastAsia" w:ascii="仿宋_GB2312" w:hAnsi="仿宋_GB2312" w:eastAsia="仿宋_GB2312" w:cs="仿宋_GB2312"/>
                <w:snapToGrid w:val="0"/>
                <w:color w:val="auto"/>
                <w:sz w:val="28"/>
                <w:szCs w:val="28"/>
                <w:lang w:eastAsia="zh-CN" w:bidi="ar-SA"/>
              </w:rPr>
            </w:pPr>
            <w:r>
              <w:rPr>
                <w:rFonts w:hint="eastAsia" w:ascii="仿宋_GB2312" w:hAnsi="仿宋_GB2312" w:eastAsia="仿宋_GB2312" w:cs="仿宋_GB2312"/>
                <w:color w:val="auto"/>
                <w:kern w:val="2"/>
                <w:sz w:val="22"/>
                <w:szCs w:val="22"/>
                <w:lang w:val="en-US" w:eastAsia="zh-CN" w:bidi="ar-SA"/>
              </w:rPr>
              <w:t>10</w:t>
            </w:r>
            <w:r>
              <w:rPr>
                <w:rFonts w:hint="eastAsia" w:ascii="仿宋_GB2312" w:hAnsi="仿宋_GB2312" w:eastAsia="仿宋_GB2312" w:cs="仿宋_GB2312"/>
                <w:color w:val="auto"/>
                <w:kern w:val="2"/>
                <w:sz w:val="22"/>
                <w:szCs w:val="22"/>
                <w:lang w:bidi="ar-SA"/>
              </w:rPr>
              <w:t>.红沙梁东露天煤矿建设项目</w:t>
            </w:r>
            <w:r>
              <w:rPr>
                <w:rFonts w:hint="eastAsia" w:ascii="仿宋_GB2312" w:hAnsi="仿宋_GB2312" w:eastAsia="仿宋_GB2312" w:cs="仿宋_GB2312"/>
                <w:color w:val="auto"/>
                <w:kern w:val="2"/>
                <w:sz w:val="22"/>
                <w:szCs w:val="22"/>
                <w:lang w:eastAsia="zh-CN" w:bidi="ar-SA"/>
              </w:rPr>
              <w:t>。</w:t>
            </w:r>
          </w:p>
        </w:tc>
      </w:tr>
    </w:tbl>
    <w:p>
      <w:pPr>
        <w:pStyle w:val="5"/>
        <w:keepNext/>
        <w:keepLines w:val="0"/>
        <w:pageBreakBefore w:val="0"/>
        <w:widowControl w:val="0"/>
        <w:kinsoku/>
        <w:wordWrap/>
        <w:overflowPunct/>
        <w:topLinePunct w:val="0"/>
        <w:bidi w:val="0"/>
        <w:spacing w:line="560" w:lineRule="exact"/>
        <w:ind w:left="0" w:leftChars="0" w:firstLine="642" w:firstLineChars="200"/>
        <w:textAlignment w:val="auto"/>
        <w:rPr>
          <w:rFonts w:hint="default" w:ascii="仿宋_GB2312" w:hAnsi="仿宋_GB2312" w:eastAsia="仿宋_GB2312" w:cs="仿宋_GB2312"/>
          <w:color w:val="auto"/>
        </w:rPr>
      </w:pPr>
      <w:bookmarkStart w:id="66" w:name="_Toc20979"/>
      <w:bookmarkStart w:id="67" w:name="_Toc907912637"/>
      <w:r>
        <w:rPr>
          <w:rFonts w:ascii="仿宋_GB2312" w:hAnsi="仿宋_GB2312" w:eastAsia="仿宋_GB2312" w:cs="仿宋_GB2312"/>
          <w:color w:val="auto"/>
        </w:rPr>
        <w:t>（三）新材料产业</w:t>
      </w:r>
      <w:bookmarkEnd w:id="66"/>
      <w:bookmarkEnd w:id="67"/>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68" w:name="_Toc32438"/>
      <w:bookmarkStart w:id="69" w:name="_Toc417905396"/>
      <w:r>
        <w:rPr>
          <w:rFonts w:ascii="仿宋_GB2312" w:hAnsi="仿宋_GB2312" w:eastAsia="仿宋_GB2312" w:cs="仿宋_GB2312"/>
          <w:color w:val="auto"/>
        </w:rPr>
        <w:t>1.发展目标</w:t>
      </w:r>
      <w:bookmarkEnd w:id="68"/>
      <w:bookmarkEnd w:id="69"/>
    </w:p>
    <w:p>
      <w:pPr>
        <w:pStyle w:val="9"/>
        <w:keepLines w:val="0"/>
        <w:pageBreakBefore w:val="0"/>
        <w:kinsoku/>
        <w:wordWrap/>
        <w:overflowPunct/>
        <w:topLinePunct w:val="0"/>
        <w:bidi w:val="0"/>
        <w:spacing w:line="560" w:lineRule="exact"/>
        <w:ind w:firstLine="640"/>
        <w:textAlignment w:val="auto"/>
        <w:rPr>
          <w:rFonts w:hAnsi="宋体" w:cs="仿宋_GB2312"/>
          <w:color w:val="auto"/>
          <w:kern w:val="0"/>
          <w:sz w:val="31"/>
          <w:szCs w:val="31"/>
          <w:lang w:bidi="ar"/>
        </w:rPr>
      </w:pPr>
      <w:bookmarkStart w:id="70" w:name="_Toc15930"/>
      <w:r>
        <w:rPr>
          <w:rFonts w:hint="eastAsia" w:hAnsi="仿宋_GB2312" w:cs="仿宋_GB2312"/>
          <w:color w:val="auto"/>
        </w:rPr>
        <w:t>坚持</w:t>
      </w:r>
      <w:r>
        <w:rPr>
          <w:rFonts w:hint="default" w:hAnsi="仿宋_GB2312" w:cs="仿宋_GB2312"/>
          <w:color w:val="auto"/>
          <w:lang w:val="en"/>
        </w:rPr>
        <w:t>“</w:t>
      </w:r>
      <w:r>
        <w:rPr>
          <w:rFonts w:hint="eastAsia" w:hAnsi="仿宋_GB2312" w:cs="仿宋_GB2312"/>
          <w:color w:val="auto"/>
        </w:rPr>
        <w:t>高性能、轻量化、绿色化、集群化</w:t>
      </w:r>
      <w:r>
        <w:rPr>
          <w:rFonts w:hint="default" w:hAnsi="仿宋_GB2312" w:cs="仿宋_GB2312"/>
          <w:color w:val="auto"/>
          <w:lang w:val="en"/>
        </w:rPr>
        <w:t>”</w:t>
      </w:r>
      <w:r>
        <w:rPr>
          <w:rFonts w:hint="eastAsia" w:hAnsi="仿宋_GB2312" w:cs="仿宋_GB2312"/>
          <w:color w:val="auto"/>
        </w:rPr>
        <w:t>方向，推进</w:t>
      </w:r>
      <w:r>
        <w:rPr>
          <w:rFonts w:hint="default" w:hAnsi="仿宋_GB2312" w:cs="仿宋_GB2312"/>
          <w:color w:val="auto"/>
          <w:lang w:val="en"/>
        </w:rPr>
        <w:t>“</w:t>
      </w:r>
      <w:r>
        <w:rPr>
          <w:rFonts w:hint="eastAsia" w:hAnsi="仿宋_GB2312" w:cs="仿宋_GB2312"/>
          <w:color w:val="auto"/>
        </w:rPr>
        <w:t>绿电+新材料</w:t>
      </w:r>
      <w:r>
        <w:rPr>
          <w:rFonts w:hint="default" w:hAnsi="仿宋_GB2312" w:cs="仿宋_GB2312"/>
          <w:color w:val="auto"/>
          <w:lang w:val="en"/>
        </w:rPr>
        <w:t>”</w:t>
      </w:r>
      <w:r>
        <w:rPr>
          <w:rFonts w:hint="eastAsia" w:hAnsi="仿宋_GB2312" w:cs="仿宋_GB2312"/>
          <w:color w:val="auto"/>
        </w:rPr>
        <w:t>耦合发展，形成特色鲜明的</w:t>
      </w:r>
      <w:r>
        <w:rPr>
          <w:rFonts w:hint="default" w:hAnsi="仿宋_GB2312" w:cs="仿宋_GB2312"/>
          <w:color w:val="auto"/>
          <w:lang w:val="en"/>
        </w:rPr>
        <w:t>“</w:t>
      </w:r>
      <w:r>
        <w:rPr>
          <w:rFonts w:hint="eastAsia" w:hAnsi="仿宋_GB2312" w:cs="仿宋_GB2312"/>
          <w:color w:val="auto"/>
        </w:rPr>
        <w:t>绿电+新材料</w:t>
      </w:r>
      <w:r>
        <w:rPr>
          <w:rFonts w:hint="default" w:hAnsi="仿宋_GB2312" w:cs="仿宋_GB2312"/>
          <w:color w:val="auto"/>
          <w:lang w:val="en"/>
        </w:rPr>
        <w:t>”</w:t>
      </w:r>
      <w:r>
        <w:rPr>
          <w:rFonts w:hint="eastAsia" w:hAnsi="仿宋_GB2312" w:cs="仿宋_GB2312"/>
          <w:color w:val="auto"/>
        </w:rPr>
        <w:t>产业链体系。</w:t>
      </w:r>
      <w:r>
        <w:rPr>
          <w:rFonts w:hint="eastAsia" w:hAnsi="宋体" w:cs="仿宋_GB2312"/>
          <w:color w:val="auto"/>
          <w:kern w:val="0"/>
          <w:sz w:val="31"/>
          <w:szCs w:val="31"/>
          <w:lang w:bidi="ar"/>
        </w:rPr>
        <w:t>到</w:t>
      </w:r>
      <w:r>
        <w:rPr>
          <w:rFonts w:hint="default" w:hAnsi="宋体" w:cs="仿宋_GB2312"/>
          <w:color w:val="auto"/>
          <w:kern w:val="0"/>
          <w:sz w:val="31"/>
          <w:szCs w:val="31"/>
          <w:lang w:val="en" w:bidi="ar"/>
        </w:rPr>
        <w:t>“</w:t>
      </w:r>
      <w:r>
        <w:rPr>
          <w:rFonts w:hint="eastAsia" w:hAnsi="宋体" w:cs="仿宋_GB2312"/>
          <w:color w:val="auto"/>
          <w:kern w:val="0"/>
          <w:sz w:val="31"/>
          <w:szCs w:val="31"/>
          <w:lang w:bidi="ar"/>
        </w:rPr>
        <w:t>十五五</w:t>
      </w:r>
      <w:r>
        <w:rPr>
          <w:rFonts w:hint="default" w:hAnsi="宋体" w:cs="仿宋_GB2312"/>
          <w:color w:val="auto"/>
          <w:kern w:val="0"/>
          <w:sz w:val="31"/>
          <w:szCs w:val="31"/>
          <w:lang w:val="en" w:bidi="ar"/>
        </w:rPr>
        <w:t>”</w:t>
      </w:r>
      <w:r>
        <w:rPr>
          <w:rFonts w:hint="eastAsia" w:hAnsi="宋体" w:cs="仿宋_GB2312"/>
          <w:color w:val="auto"/>
          <w:kern w:val="0"/>
          <w:sz w:val="31"/>
          <w:szCs w:val="31"/>
          <w:lang w:bidi="ar"/>
        </w:rPr>
        <w:t>末，</w:t>
      </w:r>
      <w:r>
        <w:rPr>
          <w:rFonts w:hint="eastAsia" w:hAnsi="仿宋_GB2312" w:cs="仿宋_GB2312"/>
          <w:color w:val="auto"/>
        </w:rPr>
        <w:t>力争</w:t>
      </w:r>
      <w:r>
        <w:rPr>
          <w:rFonts w:hint="eastAsia" w:hAnsi="宋体" w:cs="仿宋_GB2312"/>
          <w:color w:val="auto"/>
          <w:kern w:val="0"/>
          <w:sz w:val="31"/>
          <w:szCs w:val="31"/>
          <w:lang w:bidi="ar"/>
        </w:rPr>
        <w:t>新材料全产业链产值超过100亿元，建成西部重要的新材料产业基地。</w:t>
      </w:r>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71" w:name="_Toc1620062954"/>
      <w:r>
        <w:rPr>
          <w:rFonts w:ascii="仿宋_GB2312" w:hAnsi="仿宋_GB2312" w:eastAsia="仿宋_GB2312" w:cs="仿宋_GB2312"/>
          <w:color w:val="auto"/>
        </w:rPr>
        <w:t>2.发展重点</w:t>
      </w:r>
      <w:bookmarkEnd w:id="70"/>
      <w:bookmarkEnd w:id="71"/>
    </w:p>
    <w:p>
      <w:pPr>
        <w:keepLines w:val="0"/>
        <w:pageBreakBefore w:val="0"/>
        <w:kinsoku/>
        <w:wordWrap/>
        <w:overflowPunct/>
        <w:topLinePunct w:val="0"/>
        <w:bidi w:val="0"/>
        <w:spacing w:line="560" w:lineRule="exact"/>
        <w:ind w:firstLine="622"/>
        <w:textAlignment w:val="auto"/>
        <w:rPr>
          <w:rFonts w:ascii="仿宋_GB2312" w:hAnsi="宋体" w:eastAsia="仿宋_GB2312" w:cs="仿宋_GB2312"/>
          <w:b/>
          <w:bCs/>
          <w:color w:val="auto"/>
          <w:kern w:val="0"/>
          <w:sz w:val="31"/>
          <w:szCs w:val="31"/>
          <w:lang w:bidi="ar"/>
        </w:rPr>
      </w:pPr>
      <w:r>
        <w:rPr>
          <w:rFonts w:hint="eastAsia" w:ascii="仿宋_GB2312" w:hAnsi="宋体" w:eastAsia="仿宋_GB2312" w:cs="仿宋_GB2312"/>
          <w:b/>
          <w:bCs/>
          <w:color w:val="auto"/>
          <w:kern w:val="0"/>
          <w:sz w:val="31"/>
          <w:szCs w:val="31"/>
          <w:lang w:bidi="ar"/>
        </w:rPr>
        <w:t>（1）矿产资源依托型新材料</w:t>
      </w:r>
    </w:p>
    <w:p>
      <w:pPr>
        <w:keepLines w:val="0"/>
        <w:pageBreakBefore w:val="0"/>
        <w:kinsoku/>
        <w:wordWrap/>
        <w:overflowPunct/>
        <w:topLinePunct w:val="0"/>
        <w:bidi w:val="0"/>
        <w:spacing w:line="560" w:lineRule="exact"/>
        <w:textAlignment w:val="auto"/>
        <w:rPr>
          <w:rFonts w:ascii="Times New Roman" w:hAnsi="Times New Roman" w:eastAsia="仿宋"/>
          <w:color w:val="auto"/>
          <w:sz w:val="21"/>
          <w:szCs w:val="22"/>
        </w:rPr>
      </w:pPr>
      <w:r>
        <w:rPr>
          <w:rFonts w:hint="eastAsia" w:ascii="仿宋_GB2312" w:hAnsi="宋体" w:eastAsia="仿宋_GB2312" w:cs="仿宋_GB2312"/>
          <w:b/>
          <w:bCs/>
          <w:color w:val="auto"/>
          <w:kern w:val="0"/>
          <w:sz w:val="31"/>
          <w:szCs w:val="31"/>
          <w:lang w:bidi="ar"/>
        </w:rPr>
        <w:t>硅基新材料。</w:t>
      </w:r>
      <w:r>
        <w:rPr>
          <w:rFonts w:hint="eastAsia" w:ascii="仿宋_GB2312" w:hAnsi="宋体" w:eastAsia="仿宋_GB2312" w:cs="仿宋_GB2312"/>
          <w:color w:val="auto"/>
          <w:kern w:val="0"/>
          <w:sz w:val="31"/>
          <w:szCs w:val="31"/>
          <w:lang w:bidi="ar"/>
        </w:rPr>
        <w:t>发展大尺寸硅片、电子级多晶硅，支撑光伏产业链</w:t>
      </w:r>
      <w:r>
        <w:rPr>
          <w:rFonts w:hint="default" w:ascii="仿宋_GB2312" w:hAnsi="宋体" w:eastAsia="仿宋_GB2312" w:cs="仿宋_GB2312"/>
          <w:color w:val="auto"/>
          <w:kern w:val="0"/>
          <w:sz w:val="31"/>
          <w:szCs w:val="31"/>
          <w:lang w:val="en" w:bidi="ar"/>
        </w:rPr>
        <w:t>“</w:t>
      </w:r>
      <w:r>
        <w:rPr>
          <w:rFonts w:hint="eastAsia" w:ascii="仿宋_GB2312" w:hAnsi="宋体" w:eastAsia="仿宋_GB2312" w:cs="仿宋_GB2312"/>
          <w:color w:val="auto"/>
          <w:kern w:val="0"/>
          <w:sz w:val="31"/>
          <w:szCs w:val="31"/>
          <w:lang w:bidi="ar"/>
        </w:rPr>
        <w:t>硅料-硅片-电池-组件</w:t>
      </w:r>
      <w:r>
        <w:rPr>
          <w:rFonts w:hint="default" w:ascii="仿宋_GB2312" w:hAnsi="宋体" w:eastAsia="仿宋_GB2312" w:cs="仿宋_GB2312"/>
          <w:color w:val="auto"/>
          <w:kern w:val="0"/>
          <w:sz w:val="31"/>
          <w:szCs w:val="31"/>
          <w:lang w:val="en" w:bidi="ar"/>
        </w:rPr>
        <w:t>”</w:t>
      </w:r>
      <w:r>
        <w:rPr>
          <w:rFonts w:hint="eastAsia" w:ascii="仿宋_GB2312" w:hAnsi="宋体" w:eastAsia="仿宋_GB2312" w:cs="仿宋_GB2312"/>
          <w:color w:val="auto"/>
          <w:kern w:val="0"/>
          <w:sz w:val="31"/>
          <w:szCs w:val="31"/>
          <w:lang w:bidi="ar"/>
        </w:rPr>
        <w:t>全环节布局。</w:t>
      </w:r>
      <w:r>
        <w:rPr>
          <w:rFonts w:hint="eastAsia" w:ascii="仿宋_GB2312" w:hAnsi="宋体" w:eastAsia="仿宋_GB2312" w:cs="仿宋_GB2312"/>
          <w:b/>
          <w:bCs/>
          <w:color w:val="auto"/>
          <w:kern w:val="0"/>
          <w:sz w:val="31"/>
          <w:szCs w:val="31"/>
          <w:lang w:bidi="ar"/>
        </w:rPr>
        <w:t>化工新材料。</w:t>
      </w:r>
      <w:r>
        <w:rPr>
          <w:rFonts w:hint="eastAsia" w:ascii="仿宋_GB2312" w:hAnsi="宋体" w:eastAsia="仿宋_GB2312" w:cs="仿宋_GB2312"/>
          <w:color w:val="auto"/>
          <w:kern w:val="0"/>
          <w:sz w:val="31"/>
          <w:szCs w:val="31"/>
          <w:lang w:bidi="ar"/>
        </w:rPr>
        <w:t>延伸现有化工产业链，发展电子化学品、可降解与低碳材料、高性能特种材料等。</w:t>
      </w:r>
      <w:r>
        <w:rPr>
          <w:rFonts w:hint="eastAsia" w:ascii="仿宋_GB2312" w:hAnsi="宋体" w:eastAsia="仿宋_GB2312" w:cs="仿宋_GB2312"/>
          <w:b/>
          <w:bCs/>
          <w:color w:val="auto"/>
          <w:kern w:val="0"/>
          <w:sz w:val="31"/>
          <w:szCs w:val="31"/>
          <w:lang w:bidi="ar"/>
        </w:rPr>
        <w:t>镁基新材料。</w:t>
      </w:r>
      <w:r>
        <w:rPr>
          <w:rFonts w:hint="eastAsia" w:ascii="仿宋_GB2312" w:hAnsi="宋体" w:eastAsia="仿宋_GB2312" w:cs="仿宋_GB2312"/>
          <w:color w:val="auto"/>
          <w:kern w:val="0"/>
          <w:sz w:val="31"/>
          <w:szCs w:val="31"/>
          <w:lang w:bidi="ar"/>
        </w:rPr>
        <w:t>重点发展高纯电熔镁砂、高性能镁合金、大结晶电熔镁，积极布局发展铝镁合金、镁锂合金等镁基轻合金材料。</w:t>
      </w:r>
      <w:r>
        <w:rPr>
          <w:rFonts w:hint="eastAsia" w:ascii="仿宋_GB2312" w:hAnsi="宋体" w:eastAsia="仿宋_GB2312" w:cs="仿宋_GB2312"/>
          <w:b/>
          <w:bCs/>
          <w:color w:val="auto"/>
          <w:kern w:val="0"/>
          <w:sz w:val="31"/>
          <w:szCs w:val="31"/>
          <w:lang w:bidi="ar"/>
        </w:rPr>
        <w:t>石墨新材料。</w:t>
      </w:r>
      <w:r>
        <w:rPr>
          <w:rFonts w:hint="eastAsia" w:ascii="仿宋_GB2312" w:hAnsi="宋体" w:eastAsia="仿宋_GB2312" w:cs="仿宋_GB2312"/>
          <w:color w:val="auto"/>
          <w:kern w:val="0"/>
          <w:sz w:val="31"/>
          <w:szCs w:val="31"/>
          <w:lang w:bidi="ar"/>
        </w:rPr>
        <w:t>重点发展球形石墨、人造石墨负极材料、可膨胀石墨、柔性石墨、超薄石墨、超高功率石墨电极和石墨柱等。</w:t>
      </w:r>
    </w:p>
    <w:p>
      <w:pPr>
        <w:keepNext w:val="0"/>
        <w:keepLines w:val="0"/>
        <w:pageBreakBefore w:val="0"/>
        <w:widowControl w:val="0"/>
        <w:kinsoku/>
        <w:wordWrap/>
        <w:overflowPunct/>
        <w:topLinePunct w:val="0"/>
        <w:autoSpaceDE/>
        <w:autoSpaceDN/>
        <w:bidi w:val="0"/>
        <w:adjustRightInd/>
        <w:snapToGrid/>
        <w:spacing w:line="560" w:lineRule="exact"/>
        <w:ind w:firstLine="622"/>
        <w:textAlignment w:val="auto"/>
        <w:rPr>
          <w:rFonts w:ascii="仿宋_GB2312" w:hAnsi="宋体" w:eastAsia="仿宋_GB2312" w:cs="仿宋_GB2312"/>
          <w:color w:val="auto"/>
          <w:kern w:val="0"/>
          <w:sz w:val="31"/>
          <w:szCs w:val="31"/>
          <w:lang w:bidi="ar"/>
        </w:rPr>
      </w:pPr>
      <w:r>
        <w:rPr>
          <w:rFonts w:hint="eastAsia" w:ascii="仿宋_GB2312" w:hAnsi="宋体" w:eastAsia="仿宋_GB2312" w:cs="仿宋_GB2312"/>
          <w:b/>
          <w:bCs/>
          <w:color w:val="auto"/>
          <w:kern w:val="0"/>
          <w:sz w:val="31"/>
          <w:szCs w:val="31"/>
          <w:lang w:bidi="ar"/>
        </w:rPr>
        <w:t>（2）新能源装备关联型新材料</w:t>
      </w:r>
    </w:p>
    <w:p>
      <w:pPr>
        <w:keepNext w:val="0"/>
        <w:keepLines w:val="0"/>
        <w:pageBreakBefore w:val="0"/>
        <w:widowControl w:val="0"/>
        <w:kinsoku/>
        <w:wordWrap/>
        <w:overflowPunct/>
        <w:topLinePunct w:val="0"/>
        <w:autoSpaceDE/>
        <w:autoSpaceDN/>
        <w:bidi w:val="0"/>
        <w:adjustRightInd/>
        <w:snapToGrid/>
        <w:spacing w:line="560" w:lineRule="exact"/>
        <w:ind w:firstLine="622"/>
        <w:textAlignment w:val="auto"/>
        <w:rPr>
          <w:rFonts w:ascii="仿宋_GB2312" w:hAnsi="宋体" w:eastAsia="仿宋_GB2312" w:cs="仿宋_GB2312"/>
          <w:color w:val="auto"/>
          <w:kern w:val="0"/>
          <w:sz w:val="31"/>
          <w:szCs w:val="31"/>
          <w:lang w:bidi="ar"/>
        </w:rPr>
      </w:pPr>
      <w:r>
        <w:rPr>
          <w:rFonts w:hint="eastAsia" w:ascii="仿宋_GB2312" w:hAnsi="宋体" w:eastAsia="仿宋_GB2312" w:cs="仿宋_GB2312"/>
          <w:b/>
          <w:bCs/>
          <w:color w:val="auto"/>
          <w:kern w:val="0"/>
          <w:sz w:val="31"/>
          <w:szCs w:val="31"/>
          <w:lang w:bidi="ar"/>
        </w:rPr>
        <w:t>风电装备关键材料。</w:t>
      </w:r>
      <w:r>
        <w:rPr>
          <w:rFonts w:hint="eastAsia" w:ascii="仿宋_GB2312" w:hAnsi="宋体" w:eastAsia="仿宋_GB2312" w:cs="仿宋_GB2312"/>
          <w:color w:val="auto"/>
          <w:kern w:val="0"/>
          <w:sz w:val="31"/>
          <w:szCs w:val="31"/>
          <w:lang w:bidi="ar"/>
        </w:rPr>
        <w:t>巩固提升大尺寸碳纤维复合材料叶片、石墨烯改性金属基复合材料，拓展布局碳纤维树脂基复合材料、炭及炭复合材料。</w:t>
      </w:r>
      <w:r>
        <w:rPr>
          <w:rFonts w:hint="eastAsia" w:ascii="仿宋_GB2312" w:hAnsi="宋体" w:eastAsia="仿宋_GB2312" w:cs="仿宋_GB2312"/>
          <w:b/>
          <w:bCs/>
          <w:color w:val="auto"/>
          <w:kern w:val="0"/>
          <w:sz w:val="31"/>
          <w:szCs w:val="31"/>
          <w:lang w:bidi="ar"/>
        </w:rPr>
        <w:t>光伏产业链配套材料。</w:t>
      </w:r>
      <w:r>
        <w:rPr>
          <w:rFonts w:hint="eastAsia" w:ascii="仿宋_GB2312" w:hAnsi="宋体" w:eastAsia="仿宋_GB2312" w:cs="仿宋_GB2312"/>
          <w:color w:val="auto"/>
          <w:kern w:val="0"/>
          <w:sz w:val="31"/>
          <w:szCs w:val="31"/>
          <w:lang w:bidi="ar"/>
        </w:rPr>
        <w:t>做强高纯石英砂、单晶硅生长用坩埚等基础材料和光伏用超白压延玻璃产业。</w:t>
      </w:r>
      <w:r>
        <w:rPr>
          <w:rFonts w:hint="eastAsia" w:ascii="仿宋_GB2312" w:hAnsi="宋体" w:eastAsia="仿宋_GB2312" w:cs="仿宋_GB2312"/>
          <w:b/>
          <w:bCs/>
          <w:color w:val="auto"/>
          <w:kern w:val="0"/>
          <w:sz w:val="31"/>
          <w:szCs w:val="31"/>
          <w:lang w:bidi="ar"/>
        </w:rPr>
        <w:t>储能电池材料。</w:t>
      </w:r>
      <w:r>
        <w:rPr>
          <w:rFonts w:hint="eastAsia" w:ascii="仿宋_GB2312" w:hAnsi="宋体" w:eastAsia="仿宋_GB2312" w:cs="仿宋_GB2312"/>
          <w:color w:val="auto"/>
          <w:kern w:val="0"/>
          <w:sz w:val="31"/>
          <w:szCs w:val="31"/>
          <w:lang w:bidi="ar"/>
        </w:rPr>
        <w:t>重点发展高压实密度磷酸铁锂正极材料、硅碳负极材料、电池材料粘接剂、相变储能材料、功能型粉末涂料、光伏背板膜材料、质子交换膜、气凝胶、全钒液流电池材料等。</w:t>
      </w:r>
    </w:p>
    <w:p>
      <w:pPr>
        <w:keepLines w:val="0"/>
        <w:pageBreakBefore w:val="0"/>
        <w:kinsoku/>
        <w:wordWrap/>
        <w:overflowPunct/>
        <w:topLinePunct w:val="0"/>
        <w:bidi w:val="0"/>
        <w:spacing w:line="560" w:lineRule="exact"/>
        <w:ind w:firstLine="622"/>
        <w:textAlignment w:val="auto"/>
        <w:rPr>
          <w:rFonts w:ascii="仿宋_GB2312" w:hAnsi="宋体" w:eastAsia="仿宋_GB2312" w:cs="仿宋_GB2312"/>
          <w:color w:val="auto"/>
          <w:kern w:val="0"/>
          <w:sz w:val="31"/>
          <w:szCs w:val="31"/>
          <w:lang w:bidi="ar"/>
        </w:rPr>
      </w:pPr>
      <w:r>
        <w:rPr>
          <w:rFonts w:hint="eastAsia" w:ascii="仿宋_GB2312" w:hAnsi="宋体" w:eastAsia="仿宋_GB2312" w:cs="仿宋_GB2312"/>
          <w:b/>
          <w:bCs/>
          <w:color w:val="auto"/>
          <w:kern w:val="0"/>
          <w:sz w:val="31"/>
          <w:szCs w:val="31"/>
          <w:lang w:bidi="ar"/>
        </w:rPr>
        <w:t>（3）战略需求配套型新材料</w:t>
      </w:r>
    </w:p>
    <w:p>
      <w:pPr>
        <w:keepLines w:val="0"/>
        <w:pageBreakBefore w:val="0"/>
        <w:kinsoku/>
        <w:wordWrap/>
        <w:overflowPunct/>
        <w:topLinePunct w:val="0"/>
        <w:bidi w:val="0"/>
        <w:spacing w:line="560" w:lineRule="exact"/>
        <w:ind w:firstLine="622"/>
        <w:textAlignment w:val="auto"/>
        <w:rPr>
          <w:rFonts w:ascii="仿宋_GB2312" w:hAnsi="宋体" w:eastAsia="仿宋_GB2312" w:cs="仿宋_GB2312"/>
          <w:color w:val="auto"/>
          <w:kern w:val="0"/>
          <w:sz w:val="31"/>
          <w:szCs w:val="31"/>
          <w:lang w:bidi="ar"/>
        </w:rPr>
      </w:pPr>
      <w:r>
        <w:rPr>
          <w:rFonts w:hint="eastAsia" w:ascii="仿宋_GB2312" w:hAnsi="宋体" w:eastAsia="仿宋_GB2312" w:cs="仿宋_GB2312"/>
          <w:b/>
          <w:bCs/>
          <w:color w:val="auto"/>
          <w:kern w:val="0"/>
          <w:sz w:val="31"/>
          <w:szCs w:val="31"/>
          <w:lang w:bidi="ar"/>
        </w:rPr>
        <w:t>核关联材料。</w:t>
      </w:r>
      <w:r>
        <w:rPr>
          <w:rFonts w:hint="eastAsia" w:ascii="仿宋_GB2312" w:hAnsi="宋体" w:eastAsia="仿宋_GB2312" w:cs="仿宋_GB2312"/>
          <w:color w:val="auto"/>
          <w:kern w:val="0"/>
          <w:sz w:val="31"/>
          <w:szCs w:val="31"/>
          <w:lang w:bidi="ar"/>
        </w:rPr>
        <w:t>依托中核甘肃核技术产业园，发展核级锆合金、核燃料元件材料、同位素及辐照加工新材料。</w:t>
      </w:r>
      <w:r>
        <w:rPr>
          <w:rFonts w:hint="eastAsia" w:ascii="仿宋_GB2312" w:hAnsi="宋体" w:eastAsia="仿宋_GB2312" w:cs="仿宋_GB2312"/>
          <w:b/>
          <w:bCs/>
          <w:color w:val="auto"/>
          <w:kern w:val="0"/>
          <w:sz w:val="31"/>
          <w:szCs w:val="31"/>
          <w:lang w:bidi="ar"/>
        </w:rPr>
        <w:t>航天特种材料。</w:t>
      </w:r>
      <w:r>
        <w:rPr>
          <w:rFonts w:hint="eastAsia" w:ascii="仿宋_GB2312" w:hAnsi="宋体" w:eastAsia="仿宋_GB2312" w:cs="仿宋_GB2312"/>
          <w:color w:val="auto"/>
          <w:kern w:val="0"/>
          <w:sz w:val="31"/>
          <w:szCs w:val="31"/>
          <w:lang w:bidi="ar"/>
        </w:rPr>
        <w:t>发展用于火箭发动机燃烧室、涡轮叶片，需耐高温、抗疲劳特性的高温合金材料；用于卫星结构件、整流罩的碳纤维/树脂基复合材料，满足轻量化、高可靠性要求。</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8522" w:type="dxa"/>
          </w:tcPr>
          <w:p>
            <w:pPr>
              <w:keepLines w:val="0"/>
              <w:pageBreakBefore w:val="0"/>
              <w:kinsoku/>
              <w:wordWrap/>
              <w:overflowPunct/>
              <w:topLinePunct w:val="0"/>
              <w:bidi w:val="0"/>
              <w:spacing w:line="560" w:lineRule="exact"/>
              <w:ind w:firstLine="480"/>
              <w:jc w:val="center"/>
              <w:textAlignment w:val="auto"/>
              <w:rPr>
                <w:rFonts w:ascii="Times New Roman" w:hAnsi="Times New Roman" w:eastAsia="仿宋"/>
                <w:snapToGrid w:val="0"/>
                <w:color w:val="auto"/>
                <w:kern w:val="0"/>
                <w:szCs w:val="32"/>
              </w:rPr>
            </w:pPr>
            <w:r>
              <w:rPr>
                <w:rFonts w:ascii="黑体" w:hAnsi="黑体" w:eastAsia="黑体" w:cs="黑体"/>
                <w:color w:val="auto"/>
                <w:sz w:val="24"/>
              </w:rPr>
              <w:t>专栏</w:t>
            </w:r>
            <w:r>
              <w:rPr>
                <w:rFonts w:hint="eastAsia" w:ascii="黑体" w:hAnsi="黑体" w:eastAsia="黑体" w:cs="黑体"/>
                <w:color w:val="auto"/>
                <w:sz w:val="24"/>
                <w:lang w:val="en-US" w:eastAsia="zh-CN"/>
              </w:rPr>
              <w:t>5</w:t>
            </w:r>
            <w:r>
              <w:rPr>
                <w:rFonts w:ascii="黑体" w:hAnsi="黑体" w:eastAsia="黑体" w:cs="黑体"/>
                <w:color w:val="auto"/>
                <w:sz w:val="24"/>
                <w:lang w:val="en"/>
              </w:rPr>
              <w:t xml:space="preserve"> </w:t>
            </w:r>
            <w:r>
              <w:rPr>
                <w:rFonts w:ascii="黑体" w:hAnsi="黑体" w:eastAsia="黑体" w:cs="黑体"/>
                <w:color w:val="auto"/>
                <w:sz w:val="24"/>
              </w:rPr>
              <w:t xml:space="preserve"> 新材料产业重点项目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8522" w:type="dxa"/>
          </w:tcPr>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rPr>
              <w:t>1.硅碳负极前驱体材料生产项目；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rPr>
              <w:t>2.新材料（气凝胶关联）产业基地项目；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rPr>
              <w:t>3.巨化新材料高性能硅氟新材料一体化项目；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rPr>
              <w:t>4.大洋天庆年产300吨三甲基铝和10吨乙硼烷特种气体建设项目；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rPr>
              <w:t>5.光苒新材料8万吨/年锂电池负极材料新建项目；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rPr>
              <w:t>6.载伟新材料98000吨/年特种炭黑项目；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rPr>
              <w:t>7.年产10万吨镁基新材料项目；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rPr>
              <w:t>8.多晶硅上下游协同项目二期硅材料项目；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rPr>
              <w:t>9.年产10万吨碳材料项目；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sz w:val="28"/>
                <w:szCs w:val="28"/>
              </w:rPr>
            </w:pPr>
            <w:r>
              <w:rPr>
                <w:rFonts w:hint="eastAsia" w:ascii="仿宋_GB2312" w:hAnsi="仿宋_GB2312" w:eastAsia="仿宋_GB2312" w:cs="仿宋_GB2312"/>
                <w:snapToGrid w:val="0"/>
                <w:color w:val="auto"/>
              </w:rPr>
              <w:t>10.年产14400吨绿色锆镁复合新材料项目。</w:t>
            </w:r>
          </w:p>
        </w:tc>
      </w:tr>
    </w:tbl>
    <w:p>
      <w:r>
        <w:br w:type="page"/>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72" w:name="_Toc13434"/>
      <w:bookmarkStart w:id="73" w:name="_Toc2067713184"/>
      <w:r>
        <w:rPr>
          <w:rFonts w:hint="eastAsia" w:ascii="楷体_GB2312" w:hAnsi="楷体_GB2312" w:eastAsia="楷体_GB2312" w:cs="楷体_GB2312"/>
          <w:color w:val="auto"/>
          <w:lang w:eastAsia="zh-CN"/>
        </w:rPr>
        <w:t>三</w:t>
      </w:r>
      <w:r>
        <w:rPr>
          <w:rFonts w:ascii="楷体_GB2312" w:hAnsi="楷体_GB2312" w:eastAsia="楷体_GB2312" w:cs="楷体_GB2312"/>
          <w:color w:val="auto"/>
        </w:rPr>
        <w:t>、战略产业纵深突破，服务国家重大需求</w:t>
      </w:r>
      <w:bookmarkEnd w:id="72"/>
      <w:bookmarkEnd w:id="73"/>
    </w:p>
    <w:p>
      <w:pPr>
        <w:keepLines w:val="0"/>
        <w:pageBreakBefore w:val="0"/>
        <w:kinsoku/>
        <w:wordWrap/>
        <w:overflowPunct/>
        <w:topLinePunct w:val="0"/>
        <w:bidi w:val="0"/>
        <w:spacing w:line="560" w:lineRule="exact"/>
        <w:ind w:firstLine="640"/>
        <w:jc w:val="left"/>
        <w:textAlignment w:val="auto"/>
        <w:rPr>
          <w:rFonts w:ascii="仿宋_GB2312" w:hAnsi="仿宋_GB2312" w:eastAsia="仿宋_GB2312" w:cs="仿宋_GB2312"/>
          <w:color w:val="auto"/>
        </w:rPr>
      </w:pPr>
      <w:bookmarkStart w:id="74" w:name="_Toc24772"/>
      <w:r>
        <w:rPr>
          <w:rFonts w:hint="eastAsia" w:ascii="仿宋_GB2312" w:hAnsi="仿宋_GB2312" w:eastAsia="仿宋_GB2312" w:cs="仿宋_GB2312"/>
          <w:color w:val="auto"/>
        </w:rPr>
        <w:t>勇担国家使命，抢抓国家</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核工业强国</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航天强国</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战略机遇，坚持不移服务保障国家大战略，重点发展核及核关联、航天航空及低空经济产业，打造全国重要的国家重大战略支撑区。</w:t>
      </w:r>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75" w:name="_Toc1909591815"/>
      <w:r>
        <w:rPr>
          <w:rFonts w:ascii="仿宋_GB2312" w:hAnsi="仿宋_GB2312" w:eastAsia="仿宋_GB2312" w:cs="仿宋_GB2312"/>
          <w:color w:val="auto"/>
        </w:rPr>
        <w:t>（一）核及核关联产业</w:t>
      </w:r>
      <w:bookmarkEnd w:id="74"/>
      <w:bookmarkEnd w:id="75"/>
    </w:p>
    <w:p>
      <w:pPr>
        <w:pStyle w:val="5"/>
        <w:keepNext/>
        <w:keepLines w:val="0"/>
        <w:pageBreakBefore w:val="0"/>
        <w:widowControl w:val="0"/>
        <w:kinsoku/>
        <w:wordWrap/>
        <w:overflowPunct/>
        <w:topLinePunct w:val="0"/>
        <w:bidi w:val="0"/>
        <w:spacing w:line="560" w:lineRule="exact"/>
        <w:ind w:firstLine="643"/>
        <w:textAlignment w:val="auto"/>
        <w:rPr>
          <w:rFonts w:hint="eastAsia" w:ascii="仿宋_GB2312" w:hAnsi="仿宋_GB2312" w:eastAsia="仿宋_GB2312" w:cs="仿宋_GB2312"/>
          <w:b w:val="0"/>
          <w:bCs w:val="0"/>
          <w:color w:val="auto"/>
          <w:kern w:val="2"/>
          <w:sz w:val="32"/>
          <w:szCs w:val="24"/>
          <w:lang w:val="en-US" w:eastAsia="zh-CN" w:bidi="ar-SA"/>
        </w:rPr>
      </w:pPr>
      <w:bookmarkStart w:id="76" w:name="_Toc1406192101"/>
      <w:bookmarkStart w:id="77" w:name="_Toc8112"/>
      <w:r>
        <w:rPr>
          <w:rFonts w:hint="eastAsia" w:ascii="仿宋_GB2312" w:hAnsi="仿宋_GB2312" w:eastAsia="仿宋_GB2312" w:cs="仿宋_GB2312"/>
          <w:b w:val="0"/>
          <w:bCs w:val="0"/>
          <w:color w:val="auto"/>
          <w:kern w:val="2"/>
          <w:sz w:val="32"/>
          <w:szCs w:val="24"/>
          <w:lang w:val="en-US" w:eastAsia="zh-CN" w:bidi="ar-SA"/>
        </w:rPr>
        <w:t>（略）</w:t>
      </w:r>
      <w:bookmarkEnd w:id="76"/>
    </w:p>
    <w:p>
      <w:pPr>
        <w:pStyle w:val="5"/>
        <w:keepNext/>
        <w:keepLines w:val="0"/>
        <w:pageBreakBefore w:val="0"/>
        <w:widowControl w:val="0"/>
        <w:kinsoku/>
        <w:wordWrap/>
        <w:overflowPunct/>
        <w:topLinePunct w:val="0"/>
        <w:bidi w:val="0"/>
        <w:spacing w:line="560" w:lineRule="exact"/>
        <w:ind w:firstLine="643"/>
        <w:textAlignment w:val="auto"/>
        <w:rPr>
          <w:rFonts w:hint="default" w:ascii="Times New Roman" w:hAnsi="Times New Roman" w:eastAsia="仿宋"/>
          <w:color w:val="auto"/>
        </w:rPr>
      </w:pPr>
      <w:bookmarkStart w:id="78" w:name="_Toc1113743101"/>
      <w:r>
        <w:rPr>
          <w:rFonts w:hint="default" w:ascii="Times New Roman" w:hAnsi="Times New Roman" w:eastAsia="仿宋"/>
          <w:color w:val="auto"/>
        </w:rPr>
        <w:t>（二）航天航空</w:t>
      </w:r>
      <w:bookmarkEnd w:id="77"/>
      <w:r>
        <w:rPr>
          <w:rFonts w:ascii="Times New Roman" w:hAnsi="Times New Roman" w:eastAsia="仿宋"/>
          <w:color w:val="auto"/>
        </w:rPr>
        <w:t>产业</w:t>
      </w:r>
      <w:bookmarkEnd w:id="78"/>
    </w:p>
    <w:p>
      <w:pPr>
        <w:pStyle w:val="5"/>
        <w:keepNext/>
        <w:keepLines w:val="0"/>
        <w:pageBreakBefore w:val="0"/>
        <w:widowControl w:val="0"/>
        <w:kinsoku/>
        <w:wordWrap/>
        <w:overflowPunct/>
        <w:topLinePunct w:val="0"/>
        <w:bidi w:val="0"/>
        <w:spacing w:line="560" w:lineRule="exact"/>
        <w:ind w:firstLine="643"/>
        <w:textAlignment w:val="auto"/>
        <w:rPr>
          <w:rFonts w:hint="eastAsia" w:ascii="仿宋_GB2312" w:hAnsi="仿宋_GB2312" w:eastAsia="仿宋_GB2312" w:cs="仿宋_GB2312"/>
          <w:b w:val="0"/>
          <w:bCs w:val="0"/>
          <w:color w:val="auto"/>
          <w:kern w:val="2"/>
          <w:sz w:val="32"/>
          <w:szCs w:val="24"/>
          <w:lang w:val="en-US" w:eastAsia="zh-CN" w:bidi="ar-SA"/>
        </w:rPr>
      </w:pPr>
      <w:bookmarkStart w:id="79" w:name="_Toc746604859"/>
      <w:r>
        <w:rPr>
          <w:rFonts w:hint="eastAsia" w:ascii="仿宋_GB2312" w:hAnsi="仿宋_GB2312" w:eastAsia="仿宋_GB2312" w:cs="仿宋_GB2312"/>
          <w:b w:val="0"/>
          <w:bCs w:val="0"/>
          <w:color w:val="auto"/>
          <w:kern w:val="2"/>
          <w:sz w:val="32"/>
          <w:szCs w:val="24"/>
          <w:lang w:val="en-US" w:eastAsia="zh-CN" w:bidi="ar-SA"/>
        </w:rPr>
        <w:t>（略）</w:t>
      </w:r>
      <w:bookmarkEnd w:id="79"/>
    </w:p>
    <w:p>
      <w:pPr>
        <w:pStyle w:val="2"/>
        <w:rPr>
          <w:rFonts w:hint="eastAsia"/>
        </w:rPr>
      </w:pPr>
    </w:p>
    <w:p>
      <w:pPr>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br w:type="page"/>
      </w:r>
    </w:p>
    <w:p>
      <w:pPr>
        <w:keepNext/>
        <w:keepLines w:val="0"/>
        <w:pageBreakBefore w:val="0"/>
        <w:kinsoku/>
        <w:wordWrap/>
        <w:overflowPunct/>
        <w:topLinePunct w:val="0"/>
        <w:bidi w:val="0"/>
        <w:spacing w:line="560" w:lineRule="exact"/>
        <w:ind w:left="0" w:leftChars="0" w:firstLine="642" w:firstLineChars="200"/>
        <w:textAlignment w:val="auto"/>
        <w:outlineLvl w:val="1"/>
        <w:rPr>
          <w:rFonts w:ascii="楷体_GB2312" w:hAnsi="楷体_GB2312" w:eastAsia="楷体_GB2312" w:cs="楷体_GB2312"/>
          <w:b/>
          <w:color w:val="auto"/>
        </w:rPr>
      </w:pPr>
      <w:bookmarkStart w:id="80" w:name="_Toc1530701257"/>
      <w:bookmarkStart w:id="81" w:name="_Toc6640"/>
      <w:bookmarkStart w:id="82" w:name="_Toc23512"/>
      <w:r>
        <w:rPr>
          <w:rFonts w:ascii="楷体_GB2312" w:hAnsi="楷体_GB2312" w:eastAsia="楷体_GB2312" w:cs="楷体_GB2312"/>
          <w:b/>
          <w:color w:val="auto"/>
        </w:rPr>
        <w:t>四、</w:t>
      </w:r>
      <w:r>
        <w:rPr>
          <w:rFonts w:hint="eastAsia" w:ascii="楷体_GB2312" w:hAnsi="楷体_GB2312" w:eastAsia="楷体_GB2312" w:cs="楷体_GB2312"/>
          <w:b/>
          <w:color w:val="auto"/>
        </w:rPr>
        <w:t>区域特色</w:t>
      </w:r>
      <w:r>
        <w:rPr>
          <w:rFonts w:ascii="楷体_GB2312" w:hAnsi="楷体_GB2312" w:eastAsia="楷体_GB2312" w:cs="楷体_GB2312"/>
          <w:b/>
          <w:color w:val="auto"/>
        </w:rPr>
        <w:t>产业提质增效，打造产业新增长点</w:t>
      </w:r>
      <w:bookmarkEnd w:id="80"/>
    </w:p>
    <w:p>
      <w:pPr>
        <w:keepLines w:val="0"/>
        <w:pageBreakBefore w:val="0"/>
        <w:kinsoku/>
        <w:wordWrap/>
        <w:overflowPunct/>
        <w:topLinePunct w:val="0"/>
        <w:bidi w:val="0"/>
        <w:spacing w:line="560" w:lineRule="exact"/>
        <w:ind w:firstLine="640"/>
        <w:textAlignment w:val="auto"/>
        <w:rPr>
          <w:rFonts w:ascii="仿宋_GB2312" w:hAnsi="仿宋_GB2312" w:eastAsia="仿宋_GB2312" w:cs="仿宋_GB2312"/>
          <w:color w:val="auto"/>
          <w:szCs w:val="32"/>
        </w:rPr>
      </w:pPr>
      <w:r>
        <w:rPr>
          <w:rFonts w:hint="eastAsia" w:ascii="仿宋_GB2312" w:hAnsi="仿宋_GB2312" w:eastAsia="仿宋_GB2312" w:cs="仿宋_GB2312"/>
          <w:color w:val="auto"/>
          <w:szCs w:val="32"/>
        </w:rPr>
        <w:t>突出高端引领、数智赋能、绿色支撑，深入实施制造业新型技术改造升级和大规模设备更新工程，加快推进农机装备制造、生物医药、农产品精深加工、绿色建材产业转型升级，提质量增效益，服务区域民生需求，形成产业发展新增长点。</w:t>
      </w:r>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83" w:name="_Toc1046514534"/>
      <w:r>
        <w:rPr>
          <w:rFonts w:ascii="仿宋_GB2312" w:hAnsi="仿宋_GB2312" w:eastAsia="仿宋_GB2312" w:cs="仿宋_GB2312"/>
          <w:color w:val="auto"/>
        </w:rPr>
        <w:t>（一）农机装备制造产业</w:t>
      </w:r>
      <w:bookmarkEnd w:id="83"/>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84" w:name="_Toc1534099379"/>
      <w:r>
        <w:rPr>
          <w:rFonts w:ascii="仿宋_GB2312" w:hAnsi="仿宋_GB2312" w:eastAsia="仿宋_GB2312" w:cs="仿宋_GB2312"/>
          <w:color w:val="auto"/>
        </w:rPr>
        <w:t>1.发展目标</w:t>
      </w:r>
      <w:bookmarkEnd w:id="84"/>
    </w:p>
    <w:p>
      <w:pPr>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color w:val="auto"/>
        </w:rPr>
      </w:pPr>
      <w:r>
        <w:rPr>
          <w:rFonts w:hint="eastAsia" w:ascii="仿宋_GB2312" w:hAnsi="仿宋_GB2312" w:eastAsia="仿宋_GB2312" w:cs="仿宋_GB2312"/>
          <w:color w:val="auto"/>
          <w:szCs w:val="32"/>
        </w:rPr>
        <w:t>坚持国家标准引领、数智绿色技术赋能，</w:t>
      </w:r>
      <w:r>
        <w:rPr>
          <w:rFonts w:hint="eastAsia" w:ascii="仿宋_GB2312" w:hAnsi="仿宋_GB2312" w:eastAsia="仿宋_GB2312" w:cs="仿宋_GB2312"/>
          <w:color w:val="auto"/>
        </w:rPr>
        <w:t>聚焦特色农业场景适配，坚持研发制造、推广使用一体推进，延伸发展智能化</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产品+服务</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lang w:eastAsia="zh-CN"/>
        </w:rPr>
        <w:t>，</w:t>
      </w:r>
      <w:r>
        <w:rPr>
          <w:rFonts w:hint="eastAsia" w:ascii="仿宋_GB2312" w:hAnsi="仿宋_GB2312" w:eastAsia="仿宋_GB2312" w:cs="仿宋_GB2312"/>
          <w:snapToGrid w:val="0"/>
          <w:color w:val="auto"/>
          <w:kern w:val="0"/>
          <w:szCs w:val="32"/>
          <w:lang w:val="en-US" w:eastAsia="zh-CN"/>
        </w:rPr>
        <w:t>形成</w:t>
      </w:r>
      <w:r>
        <w:rPr>
          <w:rFonts w:hint="default" w:ascii="仿宋_GB2312" w:hAnsi="仿宋_GB2312" w:eastAsia="仿宋_GB2312" w:cs="仿宋_GB2312"/>
          <w:snapToGrid w:val="0"/>
          <w:color w:val="auto"/>
          <w:kern w:val="0"/>
          <w:szCs w:val="32"/>
          <w:lang w:val="en" w:eastAsia="zh-CN"/>
        </w:rPr>
        <w:t>“</w:t>
      </w:r>
      <w:r>
        <w:rPr>
          <w:rFonts w:hint="eastAsia" w:ascii="仿宋_GB2312" w:hAnsi="仿宋_GB2312" w:eastAsia="仿宋_GB2312" w:cs="仿宋_GB2312"/>
          <w:snapToGrid w:val="0"/>
          <w:color w:val="auto"/>
          <w:kern w:val="0"/>
          <w:szCs w:val="32"/>
          <w:lang w:val="en-US" w:eastAsia="zh-CN"/>
        </w:rPr>
        <w:t>龙头带动、链式集聚、创新驱动</w:t>
      </w:r>
      <w:r>
        <w:rPr>
          <w:rFonts w:hint="default" w:ascii="仿宋_GB2312" w:hAnsi="仿宋_GB2312" w:eastAsia="仿宋_GB2312" w:cs="仿宋_GB2312"/>
          <w:snapToGrid w:val="0"/>
          <w:color w:val="auto"/>
          <w:kern w:val="0"/>
          <w:szCs w:val="32"/>
          <w:lang w:val="en" w:eastAsia="zh-CN"/>
        </w:rPr>
        <w:t>”</w:t>
      </w:r>
      <w:r>
        <w:rPr>
          <w:rFonts w:hint="eastAsia" w:ascii="仿宋_GB2312" w:hAnsi="仿宋_GB2312" w:eastAsia="仿宋_GB2312" w:cs="仿宋_GB2312"/>
          <w:snapToGrid w:val="0"/>
          <w:color w:val="auto"/>
          <w:kern w:val="0"/>
          <w:szCs w:val="32"/>
          <w:lang w:val="en-US" w:eastAsia="zh-CN"/>
        </w:rPr>
        <w:t>的现代农机装备产业体系。</w:t>
      </w:r>
      <w:r>
        <w:rPr>
          <w:rFonts w:hint="eastAsia" w:ascii="仿宋_GB2312" w:hAnsi="仿宋_GB2312" w:eastAsia="仿宋_GB2312" w:cs="仿宋_GB2312"/>
          <w:snapToGrid w:val="0"/>
          <w:color w:val="auto"/>
          <w:kern w:val="0"/>
          <w:szCs w:val="32"/>
        </w:rPr>
        <w:t>到</w:t>
      </w:r>
      <w:r>
        <w:rPr>
          <w:rFonts w:hint="default" w:ascii="仿宋_GB2312" w:hAnsi="仿宋_GB2312" w:eastAsia="仿宋_GB2312" w:cs="仿宋_GB2312"/>
          <w:snapToGrid w:val="0"/>
          <w:color w:val="auto"/>
          <w:kern w:val="0"/>
          <w:szCs w:val="32"/>
          <w:lang w:val="en"/>
        </w:rPr>
        <w:t>“</w:t>
      </w:r>
      <w:r>
        <w:rPr>
          <w:rFonts w:hint="eastAsia" w:ascii="仿宋_GB2312" w:hAnsi="仿宋_GB2312" w:eastAsia="仿宋_GB2312" w:cs="仿宋_GB2312"/>
          <w:snapToGrid w:val="0"/>
          <w:color w:val="auto"/>
          <w:kern w:val="0"/>
          <w:szCs w:val="32"/>
        </w:rPr>
        <w:t>十五五</w:t>
      </w:r>
      <w:r>
        <w:rPr>
          <w:rFonts w:hint="default" w:ascii="仿宋_GB2312" w:hAnsi="仿宋_GB2312" w:eastAsia="仿宋_GB2312" w:cs="仿宋_GB2312"/>
          <w:snapToGrid w:val="0"/>
          <w:color w:val="auto"/>
          <w:kern w:val="0"/>
          <w:szCs w:val="32"/>
          <w:lang w:val="en"/>
        </w:rPr>
        <w:t>”</w:t>
      </w:r>
      <w:r>
        <w:rPr>
          <w:rFonts w:hint="eastAsia" w:ascii="仿宋_GB2312" w:hAnsi="仿宋_GB2312" w:eastAsia="仿宋_GB2312" w:cs="仿宋_GB2312"/>
          <w:snapToGrid w:val="0"/>
          <w:color w:val="auto"/>
          <w:kern w:val="0"/>
          <w:szCs w:val="32"/>
        </w:rPr>
        <w:t>末，</w:t>
      </w:r>
      <w:r>
        <w:rPr>
          <w:rFonts w:hint="eastAsia" w:ascii="仿宋_GB2312" w:hAnsi="仿宋_GB2312" w:eastAsia="仿宋_GB2312" w:cs="仿宋_GB2312"/>
          <w:color w:val="auto"/>
          <w:szCs w:val="32"/>
        </w:rPr>
        <w:t>建成</w:t>
      </w:r>
      <w:r>
        <w:rPr>
          <w:rFonts w:hint="eastAsia" w:ascii="仿宋_GB2312" w:hAnsi="仿宋_GB2312" w:eastAsia="仿宋_GB2312" w:cs="仿宋_GB2312"/>
          <w:color w:val="auto"/>
          <w:szCs w:val="32"/>
          <w:lang w:val="en-US" w:eastAsia="zh-CN"/>
        </w:rPr>
        <w:t>河</w:t>
      </w:r>
      <w:r>
        <w:rPr>
          <w:rFonts w:hint="eastAsia" w:ascii="仿宋_GB2312" w:hAnsi="仿宋_GB2312" w:eastAsia="仿宋_GB2312" w:cs="仿宋_GB2312"/>
          <w:color w:val="auto"/>
          <w:szCs w:val="32"/>
        </w:rPr>
        <w:t>西地区重要的智能农机装备制造基地，</w:t>
      </w:r>
      <w:r>
        <w:rPr>
          <w:rFonts w:hint="eastAsia" w:ascii="仿宋_GB2312" w:hAnsi="仿宋_GB2312" w:eastAsia="仿宋_GB2312" w:cs="仿宋_GB2312"/>
          <w:snapToGrid w:val="0"/>
          <w:color w:val="auto"/>
          <w:kern w:val="0"/>
          <w:szCs w:val="32"/>
        </w:rPr>
        <w:t>力争产值超过10亿元。</w:t>
      </w:r>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85" w:name="_Toc1969177887"/>
      <w:r>
        <w:rPr>
          <w:rFonts w:ascii="仿宋_GB2312" w:hAnsi="仿宋_GB2312" w:eastAsia="仿宋_GB2312" w:cs="仿宋_GB2312"/>
          <w:color w:val="auto"/>
        </w:rPr>
        <w:t>2.发展重点</w:t>
      </w:r>
      <w:bookmarkEnd w:id="81"/>
      <w:bookmarkEnd w:id="85"/>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snapToGrid w:val="0"/>
          <w:color w:val="auto"/>
          <w:kern w:val="0"/>
          <w:szCs w:val="32"/>
        </w:rPr>
      </w:pPr>
      <w:r>
        <w:rPr>
          <w:rFonts w:hint="eastAsia" w:ascii="仿宋_GB2312" w:hAnsi="仿宋_GB2312" w:eastAsia="仿宋_GB2312" w:cs="仿宋_GB2312"/>
          <w:b/>
          <w:snapToGrid w:val="0"/>
          <w:color w:val="auto"/>
          <w:kern w:val="0"/>
          <w:szCs w:val="32"/>
        </w:rPr>
        <w:t>制种装备</w:t>
      </w:r>
      <w:r>
        <w:rPr>
          <w:rFonts w:hint="eastAsia" w:ascii="仿宋_GB2312" w:hAnsi="仿宋_GB2312" w:eastAsia="仿宋_GB2312" w:cs="仿宋_GB2312"/>
          <w:snapToGrid w:val="0"/>
          <w:color w:val="auto"/>
          <w:kern w:val="0"/>
          <w:szCs w:val="32"/>
        </w:rPr>
        <w:t>。重点发展玉米、花卉、蔬菜等精量播种、去雄、收获机械及种子加工成套设备，开发智能型种子干燥装备、包衣装备、立体仓储装备，争取突破无人驾驶制种播种机，着力构建现代农作物种业生产装备体系。</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snapToGrid w:val="0"/>
          <w:color w:val="auto"/>
          <w:kern w:val="0"/>
          <w:szCs w:val="32"/>
        </w:rPr>
      </w:pPr>
      <w:r>
        <w:rPr>
          <w:rFonts w:hint="eastAsia" w:ascii="仿宋_GB2312" w:hAnsi="仿宋_GB2312" w:eastAsia="仿宋_GB2312" w:cs="仿宋_GB2312"/>
          <w:b/>
          <w:snapToGrid w:val="0"/>
          <w:color w:val="auto"/>
          <w:kern w:val="0"/>
          <w:szCs w:val="32"/>
        </w:rPr>
        <w:t>节水装备</w:t>
      </w:r>
      <w:r>
        <w:rPr>
          <w:rFonts w:hint="eastAsia" w:ascii="仿宋_GB2312" w:hAnsi="仿宋_GB2312" w:eastAsia="仿宋_GB2312" w:cs="仿宋_GB2312"/>
          <w:snapToGrid w:val="0"/>
          <w:color w:val="auto"/>
          <w:kern w:val="0"/>
          <w:szCs w:val="32"/>
        </w:rPr>
        <w:t>。重点发展低压高效输配水装备、高效节水灌溉装备、数字化节水管控装备，延伸发展水肥一体、污水处理、水生态修复等领域装备。</w:t>
      </w:r>
    </w:p>
    <w:p>
      <w:pPr>
        <w:keepLines w:val="0"/>
        <w:pageBreakBefore w:val="0"/>
        <w:kinsoku/>
        <w:wordWrap/>
        <w:overflowPunct/>
        <w:topLinePunct w:val="0"/>
        <w:bidi w:val="0"/>
        <w:spacing w:line="560" w:lineRule="exact"/>
        <w:ind w:firstLine="643"/>
        <w:textAlignment w:val="auto"/>
        <w:rPr>
          <w:color w:val="auto"/>
        </w:rPr>
      </w:pPr>
      <w:r>
        <w:rPr>
          <w:rFonts w:hint="eastAsia" w:ascii="仿宋_GB2312" w:hAnsi="仿宋_GB2312" w:eastAsia="仿宋_GB2312" w:cs="仿宋_GB2312"/>
          <w:b/>
          <w:bCs/>
          <w:snapToGrid w:val="0"/>
          <w:color w:val="auto"/>
          <w:kern w:val="0"/>
          <w:szCs w:val="32"/>
        </w:rPr>
        <w:t>农业专用装备。</w:t>
      </w:r>
      <w:r>
        <w:rPr>
          <w:rFonts w:hint="eastAsia" w:ascii="仿宋_GB2312" w:hAnsi="仿宋_GB2312" w:eastAsia="仿宋_GB2312" w:cs="仿宋_GB2312"/>
          <w:snapToGrid w:val="0"/>
          <w:color w:val="auto"/>
          <w:kern w:val="0"/>
          <w:szCs w:val="32"/>
        </w:rPr>
        <w:t>重点发展戈壁土壤改良装备、智能温控与节能装备、抗风沙轻量化温室结构装备，延展发展沙培种植、智能温室及巡检机器人等装备。</w:t>
      </w:r>
    </w:p>
    <w:bookmarkEnd w:id="82"/>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86" w:name="_Toc27264"/>
      <w:bookmarkStart w:id="87" w:name="_Toc1571812525"/>
      <w:bookmarkStart w:id="88" w:name="_Toc281508293"/>
      <w:r>
        <w:rPr>
          <w:rFonts w:ascii="仿宋_GB2312" w:hAnsi="仿宋_GB2312" w:eastAsia="仿宋_GB2312" w:cs="仿宋_GB2312"/>
          <w:color w:val="auto"/>
        </w:rPr>
        <w:t>（二）生物医药产业</w:t>
      </w:r>
      <w:bookmarkEnd w:id="86"/>
      <w:bookmarkEnd w:id="87"/>
      <w:bookmarkEnd w:id="88"/>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89" w:name="_Toc6857"/>
      <w:bookmarkStart w:id="90" w:name="_Toc580715491"/>
      <w:r>
        <w:rPr>
          <w:rFonts w:ascii="仿宋_GB2312" w:hAnsi="仿宋_GB2312" w:eastAsia="仿宋_GB2312" w:cs="仿宋_GB2312"/>
          <w:color w:val="auto"/>
        </w:rPr>
        <w:t>1.发展目标</w:t>
      </w:r>
      <w:bookmarkEnd w:id="89"/>
      <w:bookmarkEnd w:id="90"/>
    </w:p>
    <w:p>
      <w:pPr>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color w:val="auto"/>
          <w:lang w:val="en-US" w:eastAsia="zh-CN"/>
        </w:rPr>
      </w:pPr>
      <w:bookmarkStart w:id="91" w:name="_Toc15735"/>
      <w:r>
        <w:rPr>
          <w:rFonts w:hint="eastAsia" w:ascii="仿宋_GB2312" w:hAnsi="仿宋_GB2312" w:eastAsia="仿宋_GB2312" w:cs="仿宋_GB2312"/>
          <w:color w:val="auto"/>
          <w:lang w:val="en-US" w:eastAsia="zh-CN"/>
        </w:rPr>
        <w:t>聚焦</w:t>
      </w:r>
      <w:r>
        <w:rPr>
          <w:rFonts w:hint="default" w:ascii="仿宋_GB2312" w:hAnsi="仿宋_GB2312" w:eastAsia="仿宋_GB2312" w:cs="仿宋_GB2312"/>
          <w:color w:val="auto"/>
          <w:lang w:val="en" w:eastAsia="zh-CN"/>
        </w:rPr>
        <w:t>“</w:t>
      </w:r>
      <w:r>
        <w:rPr>
          <w:rFonts w:hint="eastAsia" w:ascii="仿宋_GB2312" w:hAnsi="仿宋_GB2312" w:eastAsia="仿宋_GB2312" w:cs="仿宋_GB2312"/>
          <w:color w:val="auto"/>
          <w:lang w:val="en-US" w:eastAsia="zh-CN"/>
        </w:rPr>
        <w:t>特色资源转化、创新能力提升、产业链条延展</w:t>
      </w:r>
      <w:r>
        <w:rPr>
          <w:rFonts w:hint="default" w:ascii="仿宋_GB2312" w:hAnsi="仿宋_GB2312" w:eastAsia="仿宋_GB2312" w:cs="仿宋_GB2312"/>
          <w:color w:val="auto"/>
          <w:lang w:val="en" w:eastAsia="zh-CN"/>
        </w:rPr>
        <w:t>”</w:t>
      </w:r>
      <w:r>
        <w:rPr>
          <w:rFonts w:hint="eastAsia" w:ascii="仿宋_GB2312" w:hAnsi="仿宋_GB2312" w:eastAsia="仿宋_GB2312" w:cs="仿宋_GB2312"/>
          <w:color w:val="auto"/>
          <w:lang w:val="en-US" w:eastAsia="zh-CN"/>
        </w:rPr>
        <w:t>，培育发展高端医药中间体、化学原料药等化学合成药产业，构建现代中药、化学药、生物技术药、生物制剂协同发展的产业体系，</w:t>
      </w:r>
      <w:r>
        <w:rPr>
          <w:rFonts w:hint="eastAsia" w:ascii="仿宋_GB2312" w:hAnsi="仿宋_GB2312" w:eastAsia="仿宋_GB2312" w:cs="仿宋_GB2312"/>
          <w:color w:val="auto"/>
        </w:rPr>
        <w:t>到</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十五五</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末，建成具有酒泉特色的医药生产基地，生物医药产业实现产值6亿元。</w:t>
      </w:r>
    </w:p>
    <w:p>
      <w:pPr>
        <w:pStyle w:val="5"/>
        <w:keepNext/>
        <w:keepLines w:val="0"/>
        <w:pageBreakBefore w:val="0"/>
        <w:widowControl w:val="0"/>
        <w:kinsoku/>
        <w:wordWrap/>
        <w:overflowPunct/>
        <w:topLinePunct w:val="0"/>
        <w:bidi w:val="0"/>
        <w:spacing w:line="560" w:lineRule="exact"/>
        <w:ind w:left="0" w:leftChars="0" w:firstLine="642" w:firstLineChars="200"/>
        <w:textAlignment w:val="auto"/>
        <w:rPr>
          <w:rFonts w:hint="default" w:ascii="仿宋_GB2312" w:hAnsi="仿宋_GB2312" w:eastAsia="仿宋_GB2312" w:cs="仿宋_GB2312"/>
          <w:color w:val="auto"/>
        </w:rPr>
      </w:pPr>
      <w:bookmarkStart w:id="92" w:name="_Toc1265831453"/>
      <w:r>
        <w:rPr>
          <w:rFonts w:ascii="仿宋_GB2312" w:hAnsi="仿宋_GB2312" w:eastAsia="仿宋_GB2312" w:cs="仿宋_GB2312"/>
          <w:color w:val="auto"/>
        </w:rPr>
        <w:t>2.发展重点</w:t>
      </w:r>
      <w:bookmarkEnd w:id="91"/>
      <w:bookmarkEnd w:id="92"/>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rPr>
      </w:pPr>
      <w:r>
        <w:rPr>
          <w:rFonts w:hint="eastAsia" w:ascii="仿宋_GB2312" w:hAnsi="仿宋_GB2312" w:eastAsia="仿宋_GB2312" w:cs="仿宋_GB2312"/>
          <w:b/>
          <w:color w:val="auto"/>
          <w:szCs w:val="32"/>
        </w:rPr>
        <w:t>现代中药。</w:t>
      </w:r>
      <w:r>
        <w:rPr>
          <w:rFonts w:hint="eastAsia" w:ascii="仿宋_GB2312" w:hAnsi="仿宋_GB2312" w:eastAsia="仿宋_GB2312" w:cs="仿宋_GB2312"/>
          <w:color w:val="auto"/>
          <w:szCs w:val="32"/>
        </w:rPr>
        <w:t>以道地药材为核心，突破初级加工瓶颈，推动资源向高附加值产品转化，重点布局中药配方颗粒、功能食品、生物制品等精深加工产业，推动特色道地药材精深加工和品牌化规模化发展。加快发展药食同源产业，推动医药产业与旅游休闲、健康康养有机融合。</w:t>
      </w:r>
    </w:p>
    <w:p>
      <w:pPr>
        <w:keepLines w:val="0"/>
        <w:pageBreakBefore w:val="0"/>
        <w:widowControl w:val="0"/>
        <w:kinsoku/>
        <w:wordWrap/>
        <w:overflowPunct/>
        <w:topLinePunct w:val="0"/>
        <w:autoSpaceDE/>
        <w:autoSpaceDN/>
        <w:bidi w:val="0"/>
        <w:adjustRightInd/>
        <w:snapToGrid/>
        <w:spacing w:line="560" w:lineRule="exact"/>
        <w:ind w:left="0" w:leftChars="0" w:firstLine="643"/>
        <w:textAlignment w:val="auto"/>
        <w:rPr>
          <w:color w:val="auto"/>
        </w:rPr>
      </w:pPr>
      <w:r>
        <w:rPr>
          <w:rFonts w:hint="eastAsia" w:ascii="仿宋_GB2312" w:hAnsi="仿宋_GB2312" w:eastAsia="仿宋_GB2312" w:cs="仿宋_GB2312"/>
          <w:b/>
          <w:color w:val="auto"/>
          <w:szCs w:val="32"/>
        </w:rPr>
        <w:t>化学药。</w:t>
      </w:r>
      <w:r>
        <w:rPr>
          <w:rFonts w:hint="eastAsia" w:ascii="仿宋_GB2312" w:hAnsi="仿宋_GB2312" w:eastAsia="仿宋_GB2312" w:cs="仿宋_GB2312"/>
          <w:color w:val="auto"/>
          <w:szCs w:val="32"/>
          <w:lang w:val="en-US" w:eastAsia="zh-CN"/>
        </w:rPr>
        <w:t>坚持高端原料药和制剂并行突破，加快开发特色中间体及原料药，增加大宗医药中间体和新药专用中间体品种，以医药中间体集聚优势吸引原料药企业入驻发展，形成</w:t>
      </w:r>
      <w:r>
        <w:rPr>
          <w:rFonts w:hint="default" w:ascii="仿宋_GB2312" w:hAnsi="仿宋_GB2312" w:eastAsia="仿宋_GB2312" w:cs="仿宋_GB2312"/>
          <w:color w:val="auto"/>
          <w:szCs w:val="32"/>
          <w:lang w:val="en" w:eastAsia="zh-CN"/>
        </w:rPr>
        <w:t>“</w:t>
      </w:r>
      <w:r>
        <w:rPr>
          <w:rFonts w:hint="eastAsia" w:ascii="仿宋_GB2312" w:hAnsi="仿宋_GB2312" w:eastAsia="仿宋_GB2312" w:cs="仿宋_GB2312"/>
          <w:color w:val="auto"/>
          <w:szCs w:val="32"/>
          <w:lang w:val="en-US" w:eastAsia="zh-CN"/>
        </w:rPr>
        <w:t>基础化工原料</w:t>
      </w:r>
      <w:r>
        <w:rPr>
          <w:rFonts w:hint="default" w:ascii="仿宋_GB2312" w:hAnsi="仿宋_GB2312" w:eastAsia="仿宋_GB2312" w:cs="仿宋_GB2312"/>
          <w:color w:val="auto"/>
          <w:szCs w:val="32"/>
          <w:lang w:val="en" w:eastAsia="zh-CN"/>
        </w:rPr>
        <w:t>—</w:t>
      </w:r>
      <w:r>
        <w:rPr>
          <w:rFonts w:hint="eastAsia" w:ascii="仿宋_GB2312" w:hAnsi="仿宋_GB2312" w:eastAsia="仿宋_GB2312" w:cs="仿宋_GB2312"/>
          <w:color w:val="auto"/>
          <w:szCs w:val="32"/>
          <w:lang w:val="en-US" w:eastAsia="zh-CN"/>
        </w:rPr>
        <w:t>医药中间体</w:t>
      </w:r>
      <w:r>
        <w:rPr>
          <w:rFonts w:hint="default" w:ascii="仿宋_GB2312" w:hAnsi="仿宋_GB2312" w:eastAsia="仿宋_GB2312" w:cs="仿宋_GB2312"/>
          <w:color w:val="auto"/>
          <w:szCs w:val="32"/>
          <w:lang w:val="en" w:eastAsia="zh-CN"/>
        </w:rPr>
        <w:t>—</w:t>
      </w:r>
      <w:r>
        <w:rPr>
          <w:rFonts w:hint="eastAsia" w:ascii="仿宋_GB2312" w:hAnsi="仿宋_GB2312" w:eastAsia="仿宋_GB2312" w:cs="仿宋_GB2312"/>
          <w:color w:val="auto"/>
          <w:szCs w:val="32"/>
          <w:lang w:val="en-US" w:eastAsia="zh-CN"/>
        </w:rPr>
        <w:t>化学原料药及制剂</w:t>
      </w:r>
      <w:r>
        <w:rPr>
          <w:rFonts w:hint="default" w:ascii="仿宋_GB2312" w:hAnsi="仿宋_GB2312" w:eastAsia="仿宋_GB2312" w:cs="仿宋_GB2312"/>
          <w:color w:val="auto"/>
          <w:szCs w:val="32"/>
          <w:lang w:val="en" w:eastAsia="zh-CN"/>
        </w:rPr>
        <w:t>”</w:t>
      </w:r>
      <w:r>
        <w:rPr>
          <w:rFonts w:hint="eastAsia" w:ascii="仿宋_GB2312" w:hAnsi="仿宋_GB2312" w:eastAsia="仿宋_GB2312" w:cs="仿宋_GB2312"/>
          <w:color w:val="auto"/>
          <w:szCs w:val="32"/>
          <w:lang w:val="en-US" w:eastAsia="zh-CN"/>
        </w:rPr>
        <w:t>产业链。</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snapToGrid w:val="0"/>
          <w:color w:val="auto"/>
          <w:kern w:val="0"/>
          <w:szCs w:val="32"/>
        </w:rPr>
      </w:pPr>
      <w:r>
        <w:rPr>
          <w:rFonts w:hint="eastAsia" w:ascii="仿宋_GB2312" w:hAnsi="仿宋_GB2312" w:eastAsia="仿宋_GB2312" w:cs="仿宋_GB2312"/>
          <w:b/>
          <w:color w:val="auto"/>
          <w:szCs w:val="32"/>
        </w:rPr>
        <w:t>生物制剂。</w:t>
      </w:r>
      <w:r>
        <w:rPr>
          <w:rFonts w:hint="eastAsia" w:ascii="仿宋_GB2312" w:hAnsi="仿宋_GB2312" w:eastAsia="仿宋_GB2312" w:cs="仿宋_GB2312"/>
          <w:color w:val="auto"/>
          <w:szCs w:val="32"/>
        </w:rPr>
        <w:t>重点发展生物制剂、药用辅料及包装材料制造，大力引进疫苗、抗体药物、诊断制品等生产研发企业，推动生物技术药、生物制剂本地生产。</w:t>
      </w:r>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93" w:name="_Toc11905"/>
      <w:bookmarkStart w:id="94" w:name="_Toc1021330019"/>
      <w:bookmarkStart w:id="95" w:name="_Toc1269068622"/>
      <w:r>
        <w:rPr>
          <w:rFonts w:ascii="仿宋_GB2312" w:hAnsi="仿宋_GB2312" w:eastAsia="仿宋_GB2312" w:cs="仿宋_GB2312"/>
          <w:color w:val="auto"/>
        </w:rPr>
        <w:t>（三）农产品精深加工</w:t>
      </w:r>
      <w:bookmarkEnd w:id="93"/>
      <w:bookmarkEnd w:id="94"/>
      <w:bookmarkEnd w:id="95"/>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96" w:name="_Toc2115703081"/>
      <w:bookmarkStart w:id="97" w:name="_Toc13587"/>
      <w:r>
        <w:rPr>
          <w:rFonts w:ascii="仿宋_GB2312" w:hAnsi="仿宋_GB2312" w:eastAsia="仿宋_GB2312" w:cs="仿宋_GB2312"/>
          <w:color w:val="auto"/>
        </w:rPr>
        <w:t>1.发展目标</w:t>
      </w:r>
      <w:bookmarkEnd w:id="96"/>
      <w:bookmarkEnd w:id="97"/>
    </w:p>
    <w:p>
      <w:pPr>
        <w:keepLines w:val="0"/>
        <w:pageBreakBefore w:val="0"/>
        <w:kinsoku/>
        <w:wordWrap/>
        <w:overflowPunct/>
        <w:topLinePunct w:val="0"/>
        <w:bidi w:val="0"/>
        <w:spacing w:line="560" w:lineRule="exact"/>
        <w:ind w:firstLine="640"/>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kern w:val="2"/>
          <w:sz w:val="32"/>
          <w:szCs w:val="24"/>
          <w:lang w:val="en-US" w:eastAsia="zh-CN" w:bidi="ar-SA"/>
        </w:rPr>
        <w:t>聚焦</w:t>
      </w:r>
      <w:r>
        <w:rPr>
          <w:rFonts w:hint="default" w:ascii="仿宋_GB2312" w:hAnsi="仿宋_GB2312" w:eastAsia="仿宋_GB2312" w:cs="仿宋_GB2312"/>
          <w:color w:val="auto"/>
          <w:kern w:val="2"/>
          <w:sz w:val="32"/>
          <w:szCs w:val="24"/>
          <w:lang w:val="en" w:eastAsia="zh-CN" w:bidi="ar-SA"/>
        </w:rPr>
        <w:t>“</w:t>
      </w:r>
      <w:r>
        <w:rPr>
          <w:rFonts w:hint="eastAsia" w:ascii="仿宋_GB2312" w:hAnsi="仿宋_GB2312" w:eastAsia="仿宋_GB2312" w:cs="仿宋_GB2312"/>
          <w:color w:val="auto"/>
          <w:kern w:val="2"/>
          <w:sz w:val="32"/>
          <w:szCs w:val="24"/>
          <w:lang w:val="en-US" w:eastAsia="zh-CN" w:bidi="ar-SA"/>
        </w:rPr>
        <w:t>强链补链与高值化升级</w:t>
      </w:r>
      <w:r>
        <w:rPr>
          <w:rFonts w:hint="default" w:ascii="仿宋_GB2312" w:hAnsi="仿宋_GB2312" w:eastAsia="仿宋_GB2312" w:cs="仿宋_GB2312"/>
          <w:color w:val="auto"/>
          <w:kern w:val="2"/>
          <w:sz w:val="32"/>
          <w:szCs w:val="24"/>
          <w:lang w:val="en" w:eastAsia="zh-CN" w:bidi="ar-SA"/>
        </w:rPr>
        <w:t>”</w:t>
      </w:r>
      <w:r>
        <w:rPr>
          <w:rFonts w:hint="eastAsia" w:ascii="仿宋_GB2312" w:hAnsi="仿宋_GB2312" w:eastAsia="仿宋_GB2312" w:cs="仿宋_GB2312"/>
          <w:color w:val="auto"/>
          <w:kern w:val="2"/>
          <w:sz w:val="32"/>
          <w:szCs w:val="24"/>
          <w:lang w:val="en-US" w:eastAsia="zh-CN" w:bidi="ar-SA"/>
        </w:rPr>
        <w:t>，做好</w:t>
      </w:r>
      <w:r>
        <w:rPr>
          <w:rFonts w:hint="default" w:ascii="仿宋_GB2312" w:hAnsi="仿宋_GB2312" w:eastAsia="仿宋_GB2312" w:cs="仿宋_GB2312"/>
          <w:color w:val="auto"/>
          <w:kern w:val="2"/>
          <w:sz w:val="32"/>
          <w:szCs w:val="24"/>
          <w:lang w:val="en" w:eastAsia="zh-CN" w:bidi="ar-SA"/>
        </w:rPr>
        <w:t>“</w:t>
      </w:r>
      <w:r>
        <w:rPr>
          <w:rFonts w:hint="eastAsia" w:ascii="仿宋_GB2312" w:hAnsi="仿宋_GB2312" w:eastAsia="仿宋_GB2312" w:cs="仿宋_GB2312"/>
          <w:color w:val="auto"/>
          <w:kern w:val="2"/>
          <w:sz w:val="32"/>
          <w:szCs w:val="24"/>
          <w:lang w:val="en-US" w:eastAsia="zh-CN" w:bidi="ar-SA"/>
        </w:rPr>
        <w:t>农头工尾</w:t>
      </w:r>
      <w:r>
        <w:rPr>
          <w:rFonts w:hint="default" w:ascii="仿宋_GB2312" w:hAnsi="仿宋_GB2312" w:eastAsia="仿宋_GB2312" w:cs="仿宋_GB2312"/>
          <w:color w:val="auto"/>
          <w:kern w:val="2"/>
          <w:sz w:val="32"/>
          <w:szCs w:val="24"/>
          <w:lang w:val="en" w:eastAsia="zh-CN" w:bidi="ar-SA"/>
        </w:rPr>
        <w:t>”“</w:t>
      </w:r>
      <w:r>
        <w:rPr>
          <w:rFonts w:hint="eastAsia" w:ascii="仿宋_GB2312" w:hAnsi="仿宋_GB2312" w:eastAsia="仿宋_GB2312" w:cs="仿宋_GB2312"/>
          <w:color w:val="auto"/>
          <w:kern w:val="2"/>
          <w:sz w:val="32"/>
          <w:szCs w:val="24"/>
          <w:lang w:val="en-US" w:eastAsia="zh-CN" w:bidi="ar-SA"/>
        </w:rPr>
        <w:t>粮头食尾</w:t>
      </w:r>
      <w:r>
        <w:rPr>
          <w:rFonts w:hint="default" w:ascii="仿宋_GB2312" w:hAnsi="仿宋_GB2312" w:eastAsia="仿宋_GB2312" w:cs="仿宋_GB2312"/>
          <w:color w:val="auto"/>
          <w:kern w:val="2"/>
          <w:sz w:val="32"/>
          <w:szCs w:val="24"/>
          <w:lang w:val="en" w:eastAsia="zh-CN" w:bidi="ar-SA"/>
        </w:rPr>
        <w:t>”“</w:t>
      </w:r>
      <w:r>
        <w:rPr>
          <w:rFonts w:hint="eastAsia" w:ascii="仿宋_GB2312" w:hAnsi="仿宋_GB2312" w:eastAsia="仿宋_GB2312" w:cs="仿宋_GB2312"/>
          <w:color w:val="auto"/>
          <w:kern w:val="2"/>
          <w:sz w:val="32"/>
          <w:szCs w:val="24"/>
          <w:lang w:val="en-US" w:eastAsia="zh-CN" w:bidi="ar-SA"/>
        </w:rPr>
        <w:t>畜头肉尾</w:t>
      </w:r>
      <w:r>
        <w:rPr>
          <w:rFonts w:hint="default" w:ascii="仿宋_GB2312" w:hAnsi="仿宋_GB2312" w:eastAsia="仿宋_GB2312" w:cs="仿宋_GB2312"/>
          <w:color w:val="auto"/>
          <w:kern w:val="2"/>
          <w:sz w:val="32"/>
          <w:szCs w:val="24"/>
          <w:lang w:val="en" w:eastAsia="zh-CN" w:bidi="ar-SA"/>
        </w:rPr>
        <w:t>”</w:t>
      </w:r>
      <w:r>
        <w:rPr>
          <w:rFonts w:hint="eastAsia" w:ascii="仿宋_GB2312" w:hAnsi="仿宋_GB2312" w:eastAsia="仿宋_GB2312" w:cs="仿宋_GB2312"/>
          <w:color w:val="auto"/>
          <w:kern w:val="2"/>
          <w:sz w:val="32"/>
          <w:szCs w:val="24"/>
          <w:lang w:val="en-US" w:eastAsia="zh-CN" w:bidi="ar-SA"/>
        </w:rPr>
        <w:t>文章，重点深耕种子加工、蔬菜加工、畜禽肉类加工、粮油加工、特色林果加工等领域，推动产业链延伸与技术赋能，提升产品附加值与市场竞争力，推动产业加速从初级加工向中高端精深加工转型。</w:t>
      </w:r>
      <w:r>
        <w:rPr>
          <w:rFonts w:hint="eastAsia" w:ascii="仿宋_GB2312" w:hAnsi="仿宋_GB2312" w:eastAsia="仿宋_GB2312" w:cs="仿宋_GB2312"/>
          <w:color w:val="auto"/>
        </w:rPr>
        <w:t>到</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十五五</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末，建成西北重要的特色农产品精深加工示范区</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力争农产品精深加工产值超过30亿元。</w:t>
      </w:r>
    </w:p>
    <w:p>
      <w:pPr>
        <w:pStyle w:val="5"/>
        <w:keepNext/>
        <w:keepLines w:val="0"/>
        <w:pageBreakBefore w:val="0"/>
        <w:widowControl w:val="0"/>
        <w:kinsoku/>
        <w:wordWrap/>
        <w:overflowPunct/>
        <w:topLinePunct w:val="0"/>
        <w:bidi w:val="0"/>
        <w:spacing w:line="560" w:lineRule="exact"/>
        <w:ind w:left="0" w:leftChars="0" w:firstLine="642" w:firstLineChars="200"/>
        <w:textAlignment w:val="auto"/>
        <w:rPr>
          <w:rFonts w:hint="default" w:ascii="仿宋_GB2312" w:hAnsi="仿宋_GB2312" w:eastAsia="仿宋_GB2312" w:cs="仿宋_GB2312"/>
          <w:color w:val="auto"/>
        </w:rPr>
      </w:pPr>
      <w:bookmarkStart w:id="98" w:name="_Toc1598674220"/>
      <w:bookmarkStart w:id="99" w:name="_Toc9590"/>
      <w:r>
        <w:rPr>
          <w:rFonts w:ascii="仿宋_GB2312" w:hAnsi="仿宋_GB2312" w:eastAsia="仿宋_GB2312" w:cs="仿宋_GB2312"/>
          <w:color w:val="auto"/>
        </w:rPr>
        <w:t>2.发展重点</w:t>
      </w:r>
      <w:bookmarkEnd w:id="98"/>
      <w:bookmarkEnd w:id="99"/>
    </w:p>
    <w:p>
      <w:pPr>
        <w:keepNext w:val="0"/>
        <w:keepLines w:val="0"/>
        <w:pageBreakBefore w:val="0"/>
        <w:widowControl w:val="0"/>
        <w:kinsoku/>
        <w:wordWrap/>
        <w:overflowPunct/>
        <w:topLinePunct w:val="0"/>
        <w:autoSpaceDE/>
        <w:autoSpaceDN/>
        <w:bidi w:val="0"/>
        <w:adjustRightInd/>
        <w:snapToGrid w:val="0"/>
        <w:spacing w:line="580" w:lineRule="exact"/>
        <w:ind w:firstLine="643"/>
        <w:textAlignment w:val="auto"/>
        <w:rPr>
          <w:rFonts w:ascii="仿宋_GB2312" w:hAnsi="仿宋_GB2312" w:eastAsia="仿宋_GB2312" w:cs="仿宋_GB2312"/>
          <w:color w:val="auto"/>
        </w:rPr>
      </w:pPr>
      <w:r>
        <w:rPr>
          <w:rFonts w:hint="eastAsia" w:ascii="仿宋_GB2312" w:hAnsi="仿宋_GB2312" w:eastAsia="仿宋_GB2312" w:cs="仿宋_GB2312"/>
          <w:b/>
          <w:bCs/>
          <w:color w:val="auto"/>
        </w:rPr>
        <w:t>种子加工。</w:t>
      </w:r>
      <w:r>
        <w:rPr>
          <w:rFonts w:hint="eastAsia" w:ascii="仿宋_GB2312" w:hAnsi="仿宋_GB2312" w:eastAsia="仿宋_GB2312" w:cs="仿宋_GB2312"/>
          <w:color w:val="auto"/>
        </w:rPr>
        <w:t>聚焦特色农作物精准改良，提供</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定制化</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优质原料种子；升级种子检测、精选、包衣等加工生产线，发展</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品种定制—隔离繁种—精量加工—质量追溯</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一体化服务，构建现代种业全产业链。</w:t>
      </w:r>
    </w:p>
    <w:p>
      <w:pPr>
        <w:keepNext w:val="0"/>
        <w:keepLines w:val="0"/>
        <w:pageBreakBefore w:val="0"/>
        <w:widowControl w:val="0"/>
        <w:kinsoku/>
        <w:wordWrap/>
        <w:overflowPunct/>
        <w:topLinePunct w:val="0"/>
        <w:autoSpaceDE/>
        <w:autoSpaceDN/>
        <w:bidi w:val="0"/>
        <w:adjustRightInd/>
        <w:snapToGrid/>
        <w:spacing w:line="580" w:lineRule="exact"/>
        <w:ind w:firstLine="643"/>
        <w:textAlignment w:val="auto"/>
        <w:rPr>
          <w:rFonts w:hint="eastAsia" w:ascii="仿宋_GB2312" w:hAnsi="仿宋_GB2312" w:eastAsia="仿宋_GB2312" w:cs="仿宋_GB2312"/>
          <w:color w:val="auto"/>
        </w:rPr>
      </w:pPr>
      <w:r>
        <w:rPr>
          <w:rFonts w:hint="eastAsia" w:ascii="仿宋_GB2312" w:hAnsi="仿宋_GB2312" w:eastAsia="仿宋_GB2312" w:cs="仿宋_GB2312"/>
          <w:b/>
          <w:bCs/>
          <w:color w:val="auto"/>
        </w:rPr>
        <w:t>蔬菜加工</w:t>
      </w:r>
      <w:r>
        <w:rPr>
          <w:rFonts w:hint="eastAsia" w:ascii="仿宋_GB2312" w:hAnsi="仿宋_GB2312" w:eastAsia="仿宋_GB2312" w:cs="仿宋_GB2312"/>
          <w:color w:val="auto"/>
        </w:rPr>
        <w:t>。以番茄、洋葱、辣椒等为重点，发展脱水蔬菜包、低盐蔬菜酱、富硒辣椒酱等功能性产品；利用</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高原夏菜</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，开展速冻蔬菜、真空保鲜蔬菜加工，提高蔬菜商品化率；延伸发展即食型净菜加工，深度</w:t>
      </w:r>
      <w:r>
        <w:rPr>
          <w:rFonts w:hint="eastAsia" w:ascii="仿宋_GB2312" w:hAnsi="仿宋_GB2312" w:eastAsia="仿宋_GB2312" w:cs="仿宋_GB2312"/>
          <w:color w:val="auto"/>
          <w:lang w:val="en-US" w:eastAsia="zh-CN"/>
        </w:rPr>
        <w:t>开发</w:t>
      </w:r>
      <w:r>
        <w:rPr>
          <w:rFonts w:hint="eastAsia" w:ascii="仿宋_GB2312" w:hAnsi="仿宋_GB2312" w:eastAsia="仿宋_GB2312" w:cs="仿宋_GB2312"/>
          <w:color w:val="auto"/>
        </w:rPr>
        <w:t>高复原保真蔬菜类预制产品，提升产品附加价值。</w:t>
      </w:r>
    </w:p>
    <w:p>
      <w:pPr>
        <w:keepNext w:val="0"/>
        <w:keepLines w:val="0"/>
        <w:pageBreakBefore w:val="0"/>
        <w:widowControl w:val="0"/>
        <w:kinsoku/>
        <w:wordWrap/>
        <w:overflowPunct/>
        <w:topLinePunct w:val="0"/>
        <w:autoSpaceDE/>
        <w:autoSpaceDN/>
        <w:bidi w:val="0"/>
        <w:adjustRightInd/>
        <w:snapToGrid w:val="0"/>
        <w:spacing w:line="580" w:lineRule="exact"/>
        <w:ind w:left="0" w:leftChars="0" w:firstLine="642" w:firstLineChars="200"/>
        <w:textAlignment w:val="auto"/>
        <w:rPr>
          <w:rFonts w:hint="eastAsia" w:ascii="仿宋_GB2312" w:hAnsi="仿宋_GB2312" w:eastAsia="仿宋_GB2312" w:cs="仿宋_GB2312"/>
          <w:color w:val="auto"/>
        </w:rPr>
      </w:pPr>
      <w:r>
        <w:rPr>
          <w:rFonts w:hint="eastAsia" w:ascii="仿宋_GB2312" w:hAnsi="仿宋_GB2312" w:eastAsia="仿宋_GB2312" w:cs="仿宋_GB2312"/>
          <w:b/>
          <w:bCs/>
          <w:color w:val="auto"/>
        </w:rPr>
        <w:t>畜禽肉类加工</w:t>
      </w:r>
      <w:r>
        <w:rPr>
          <w:rFonts w:hint="eastAsia" w:ascii="仿宋_GB2312" w:hAnsi="仿宋_GB2312" w:eastAsia="仿宋_GB2312" w:cs="仿宋_GB2312"/>
          <w:color w:val="auto"/>
        </w:rPr>
        <w:t>。围绕牛羊</w:t>
      </w:r>
      <w:r>
        <w:rPr>
          <w:rFonts w:hint="eastAsia" w:ascii="仿宋_GB2312" w:hAnsi="仿宋_GB2312" w:eastAsia="仿宋_GB2312" w:cs="仿宋_GB2312"/>
          <w:color w:val="auto"/>
          <w:lang w:val="en-US" w:eastAsia="zh-CN"/>
        </w:rPr>
        <w:t>养殖及加工</w:t>
      </w:r>
      <w:r>
        <w:rPr>
          <w:rFonts w:hint="eastAsia" w:ascii="仿宋_GB2312" w:hAnsi="仿宋_GB2312" w:eastAsia="仿宋_GB2312" w:cs="仿宋_GB2312"/>
          <w:color w:val="auto"/>
        </w:rPr>
        <w:t>产业聚集区，推动畜产品向餐桌食品、休闲食品、预制食品等方向发展。支持畜禽屠宰加工企业提升装备水平，鼓励建设冷藏库、低温加工分割车间，扩大生产能力，提升冷鲜禽肉分级分选、冷链包装等自动化、专业化水平。</w:t>
      </w:r>
    </w:p>
    <w:p>
      <w:pPr>
        <w:keepNext w:val="0"/>
        <w:keepLines w:val="0"/>
        <w:pageBreakBefore w:val="0"/>
        <w:widowControl w:val="0"/>
        <w:kinsoku/>
        <w:wordWrap/>
        <w:overflowPunct/>
        <w:topLinePunct w:val="0"/>
        <w:autoSpaceDE/>
        <w:autoSpaceDN/>
        <w:bidi w:val="0"/>
        <w:adjustRightInd/>
        <w:snapToGrid w:val="0"/>
        <w:spacing w:line="580" w:lineRule="exact"/>
        <w:ind w:left="0" w:leftChars="0" w:firstLine="642" w:firstLineChars="200"/>
        <w:textAlignment w:val="auto"/>
        <w:rPr>
          <w:rFonts w:hint="eastAsia" w:ascii="仿宋_GB2312" w:hAnsi="仿宋_GB2312" w:eastAsia="仿宋_GB2312" w:cs="仿宋_GB2312"/>
          <w:color w:val="auto"/>
        </w:rPr>
      </w:pPr>
      <w:r>
        <w:rPr>
          <w:rFonts w:hint="eastAsia" w:ascii="仿宋_GB2312" w:hAnsi="仿宋_GB2312" w:eastAsia="仿宋_GB2312" w:cs="仿宋_GB2312"/>
          <w:b/>
          <w:bCs/>
          <w:color w:val="auto"/>
        </w:rPr>
        <w:t>粮油加工</w:t>
      </w:r>
      <w:r>
        <w:rPr>
          <w:rFonts w:hint="eastAsia" w:ascii="仿宋_GB2312" w:hAnsi="仿宋_GB2312" w:eastAsia="仿宋_GB2312" w:cs="仿宋_GB2312"/>
          <w:color w:val="auto"/>
        </w:rPr>
        <w:t>。依托小麦深加工，扩大高筋粉、低筋粉、营养强化面粉等专用粉产能，拓展发展富硒面粉、膳食纤维面粉等功能性产品。依托玉米深加工，发展玉米淀粉制可降解包装材料。开发冷榨技术生产亚麻籽油，配套开发亚麻籽膳食补充剂。</w:t>
      </w:r>
    </w:p>
    <w:tbl>
      <w:tblPr>
        <w:tblStyle w:val="21"/>
        <w:tblpPr w:leftFromText="180" w:rightFromText="180" w:vertAnchor="text" w:horzAnchor="page" w:tblpXSpec="center" w:tblpY="3780"/>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8800" w:type="dxa"/>
            <w:vAlign w:val="center"/>
          </w:tcPr>
          <w:p>
            <w:pPr>
              <w:keepLines w:val="0"/>
              <w:pageBreakBefore w:val="0"/>
              <w:kinsoku/>
              <w:wordWrap/>
              <w:overflowPunct/>
              <w:topLinePunct w:val="0"/>
              <w:bidi w:val="0"/>
              <w:spacing w:line="560" w:lineRule="exact"/>
              <w:ind w:firstLine="0" w:firstLineChars="0"/>
              <w:jc w:val="center"/>
              <w:textAlignment w:val="auto"/>
              <w:rPr>
                <w:rFonts w:ascii="仿宋_GB2312" w:hAnsi="仿宋_GB2312" w:eastAsia="仿宋_GB2312" w:cs="仿宋_GB2312"/>
                <w:color w:val="auto"/>
                <w:sz w:val="28"/>
                <w:szCs w:val="28"/>
              </w:rPr>
            </w:pPr>
            <w:r>
              <w:rPr>
                <w:rFonts w:hint="eastAsia" w:ascii="黑体" w:hAnsi="黑体" w:eastAsia="黑体" w:cs="黑体"/>
                <w:color w:val="auto"/>
                <w:sz w:val="24"/>
              </w:rPr>
              <w:t>专栏</w:t>
            </w:r>
            <w:r>
              <w:rPr>
                <w:rFonts w:hint="eastAsia" w:ascii="黑体" w:hAnsi="黑体" w:eastAsia="黑体" w:cs="黑体"/>
                <w:color w:val="auto"/>
                <w:sz w:val="24"/>
                <w:lang w:val="en-US" w:eastAsia="zh-CN"/>
              </w:rPr>
              <w:t>8</w:t>
            </w:r>
            <w:r>
              <w:rPr>
                <w:rFonts w:ascii="黑体" w:hAnsi="黑体" w:eastAsia="黑体" w:cs="黑体"/>
                <w:color w:val="auto"/>
                <w:sz w:val="24"/>
                <w:lang w:val="en"/>
              </w:rPr>
              <w:t xml:space="preserve"> </w:t>
            </w:r>
            <w:r>
              <w:rPr>
                <w:rFonts w:hint="eastAsia" w:ascii="黑体" w:hAnsi="黑体" w:eastAsia="黑体" w:cs="黑体"/>
                <w:color w:val="auto"/>
                <w:sz w:val="24"/>
              </w:rPr>
              <w:t xml:space="preserve"> 农产品精深加工产业重点项目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00" w:type="dxa"/>
          </w:tcPr>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lang w:bidi="ar-SA"/>
              </w:rPr>
            </w:pPr>
            <w:r>
              <w:rPr>
                <w:rFonts w:hint="eastAsia" w:ascii="仿宋_GB2312" w:hAnsi="仿宋_GB2312" w:eastAsia="仿宋_GB2312" w:cs="仿宋_GB2312"/>
                <w:snapToGrid w:val="0"/>
                <w:color w:val="auto"/>
                <w:lang w:bidi="ar-SA"/>
              </w:rPr>
              <w:t>1.年产20000吨食用甜椒产品产业项目；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lang w:bidi="ar-SA"/>
              </w:rPr>
            </w:pPr>
            <w:r>
              <w:rPr>
                <w:rFonts w:hint="eastAsia" w:ascii="仿宋_GB2312" w:hAnsi="仿宋_GB2312" w:eastAsia="仿宋_GB2312" w:cs="仿宋_GB2312"/>
                <w:snapToGrid w:val="0"/>
                <w:color w:val="auto"/>
                <w:lang w:bidi="ar-SA"/>
              </w:rPr>
              <w:t>2.</w:t>
            </w:r>
            <w:r>
              <w:rPr>
                <w:rFonts w:ascii="仿宋_GB2312" w:hAnsi="仿宋_GB2312" w:eastAsia="仿宋_GB2312" w:cs="仿宋_GB2312"/>
                <w:snapToGrid w:val="0"/>
                <w:color w:val="auto"/>
                <w:lang w:bidi="ar-SA"/>
              </w:rPr>
              <w:t>疆域乳制品深加工产业园建设项目</w:t>
            </w:r>
            <w:r>
              <w:rPr>
                <w:rFonts w:hint="eastAsia" w:ascii="仿宋_GB2312" w:hAnsi="仿宋_GB2312" w:eastAsia="仿宋_GB2312" w:cs="仿宋_GB2312"/>
                <w:snapToGrid w:val="0"/>
                <w:color w:val="auto"/>
                <w:lang w:bidi="ar-SA"/>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lang w:bidi="ar-SA"/>
              </w:rPr>
            </w:pPr>
            <w:r>
              <w:rPr>
                <w:rFonts w:hint="eastAsia" w:ascii="仿宋_GB2312" w:hAnsi="仿宋_GB2312" w:eastAsia="仿宋_GB2312" w:cs="仿宋_GB2312"/>
                <w:snapToGrid w:val="0"/>
                <w:color w:val="auto"/>
                <w:lang w:bidi="ar-SA"/>
              </w:rPr>
              <w:t>3.</w:t>
            </w:r>
            <w:r>
              <w:rPr>
                <w:rFonts w:ascii="仿宋_GB2312" w:hAnsi="仿宋_GB2312" w:eastAsia="仿宋_GB2312" w:cs="仿宋_GB2312"/>
                <w:snapToGrid w:val="0"/>
                <w:color w:val="auto"/>
                <w:lang w:bidi="ar-SA"/>
              </w:rPr>
              <w:t>泽丰农业科技有限公司年加工1000吨酸枣仁建设项目</w:t>
            </w:r>
            <w:r>
              <w:rPr>
                <w:rFonts w:hint="eastAsia" w:ascii="仿宋_GB2312" w:hAnsi="仿宋_GB2312" w:eastAsia="仿宋_GB2312" w:cs="仿宋_GB2312"/>
                <w:snapToGrid w:val="0"/>
                <w:color w:val="auto"/>
                <w:lang w:bidi="ar-SA"/>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lang w:bidi="ar-SA"/>
              </w:rPr>
            </w:pPr>
            <w:r>
              <w:rPr>
                <w:rFonts w:hint="eastAsia" w:ascii="仿宋_GB2312" w:hAnsi="仿宋_GB2312" w:eastAsia="仿宋_GB2312" w:cs="仿宋_GB2312"/>
                <w:snapToGrid w:val="0"/>
                <w:color w:val="auto"/>
                <w:lang w:bidi="ar-SA"/>
              </w:rPr>
              <w:t>4.</w:t>
            </w:r>
            <w:r>
              <w:rPr>
                <w:rFonts w:ascii="仿宋_GB2312" w:hAnsi="仿宋_GB2312" w:eastAsia="仿宋_GB2312" w:cs="仿宋_GB2312"/>
                <w:snapToGrid w:val="0"/>
                <w:color w:val="auto"/>
                <w:lang w:bidi="ar-SA"/>
              </w:rPr>
              <w:t>特色有机洋葱精深加工建设项目</w:t>
            </w:r>
            <w:r>
              <w:rPr>
                <w:rFonts w:hint="eastAsia" w:ascii="仿宋_GB2312" w:hAnsi="仿宋_GB2312" w:eastAsia="仿宋_GB2312" w:cs="仿宋_GB2312"/>
                <w:snapToGrid w:val="0"/>
                <w:color w:val="auto"/>
                <w:lang w:bidi="ar-SA"/>
              </w:rPr>
              <w:t>；</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lang w:bidi="ar-SA"/>
              </w:rPr>
            </w:pPr>
            <w:r>
              <w:rPr>
                <w:rFonts w:hint="eastAsia" w:ascii="仿宋_GB2312" w:hAnsi="仿宋_GB2312" w:eastAsia="仿宋_GB2312" w:cs="仿宋_GB2312"/>
                <w:snapToGrid w:val="0"/>
                <w:color w:val="auto"/>
                <w:lang w:bidi="ar-SA"/>
              </w:rPr>
              <w:t>5.祁连牧场牛羊屠宰及精深加工（冷链物流）建设项目；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sz w:val="28"/>
                <w:szCs w:val="28"/>
                <w:lang w:bidi="ar-SA"/>
              </w:rPr>
            </w:pPr>
            <w:r>
              <w:rPr>
                <w:rFonts w:hint="eastAsia" w:ascii="仿宋_GB2312" w:hAnsi="仿宋_GB2312" w:eastAsia="仿宋_GB2312" w:cs="仿宋_GB2312"/>
                <w:snapToGrid w:val="0"/>
                <w:color w:val="auto"/>
                <w:lang w:bidi="ar-SA"/>
              </w:rPr>
              <w:t>6.桦通（敦果源）特色农产品精加工项目。</w:t>
            </w:r>
          </w:p>
        </w:tc>
      </w:tr>
    </w:tbl>
    <w:p>
      <w:pPr>
        <w:keepNext w:val="0"/>
        <w:keepLines w:val="0"/>
        <w:pageBreakBefore w:val="0"/>
        <w:widowControl w:val="0"/>
        <w:kinsoku/>
        <w:wordWrap/>
        <w:overflowPunct/>
        <w:topLinePunct w:val="0"/>
        <w:autoSpaceDE/>
        <w:autoSpaceDN/>
        <w:bidi w:val="0"/>
        <w:adjustRightInd/>
        <w:snapToGrid w:val="0"/>
        <w:spacing w:line="580" w:lineRule="exact"/>
        <w:ind w:firstLine="643"/>
        <w:textAlignment w:val="auto"/>
        <w:rPr>
          <w:color w:val="auto"/>
        </w:rPr>
      </w:pPr>
      <w:r>
        <w:rPr>
          <w:rFonts w:hint="eastAsia" w:ascii="仿宋_GB2312" w:hAnsi="仿宋_GB2312" w:eastAsia="仿宋_GB2312" w:cs="仿宋_GB2312"/>
          <w:b/>
          <w:bCs/>
          <w:color w:val="auto"/>
          <w:lang w:val="en-US" w:eastAsia="zh-CN"/>
        </w:rPr>
        <w:t>特色</w:t>
      </w:r>
      <w:r>
        <w:rPr>
          <w:rFonts w:hint="eastAsia" w:ascii="仿宋_GB2312" w:hAnsi="仿宋_GB2312" w:eastAsia="仿宋_GB2312" w:cs="仿宋_GB2312"/>
          <w:b/>
          <w:bCs/>
          <w:color w:val="auto"/>
        </w:rPr>
        <w:t>林果加工</w:t>
      </w:r>
      <w:r>
        <w:rPr>
          <w:rFonts w:hint="eastAsia" w:ascii="仿宋_GB2312" w:hAnsi="仿宋_GB2312" w:eastAsia="仿宋_GB2312" w:cs="仿宋_GB2312"/>
          <w:color w:val="auto"/>
        </w:rPr>
        <w:t>。发展精深加工产业链</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以李广杏、蜜瓜</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枸杞、红枣等核心原料，</w:t>
      </w:r>
      <w:r>
        <w:rPr>
          <w:rFonts w:hint="eastAsia" w:ascii="仿宋_GB2312" w:hAnsi="仿宋_GB2312" w:eastAsia="仿宋_GB2312" w:cs="仿宋_GB2312"/>
          <w:color w:val="auto"/>
          <w:lang w:val="en-US" w:eastAsia="zh-CN"/>
        </w:rPr>
        <w:t>发展</w:t>
      </w:r>
      <w:r>
        <w:rPr>
          <w:rFonts w:hint="eastAsia" w:ascii="仿宋_GB2312" w:hAnsi="仿宋_GB2312" w:eastAsia="仿宋_GB2312" w:cs="仿宋_GB2312"/>
          <w:color w:val="auto"/>
        </w:rPr>
        <w:t>高端即饮果汁及功能性饮品</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突破枸杞等特色果品的营养功能成分靶向制备与稳态化技术，开发保健食品、药品等高附加值产品</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扩大真空锁鲜、冻干等技术应用规模</w:t>
      </w:r>
      <w:r>
        <w:rPr>
          <w:rFonts w:hint="eastAsia" w:ascii="仿宋_GB2312" w:hAnsi="仿宋_GB2312" w:eastAsia="仿宋_GB2312" w:cs="仿宋_GB2312"/>
          <w:color w:val="auto"/>
          <w:lang w:eastAsia="zh-CN"/>
        </w:rPr>
        <w:t>，</w:t>
      </w:r>
      <w:r>
        <w:rPr>
          <w:rFonts w:hint="eastAsia" w:ascii="仿宋_GB2312" w:hAnsi="仿宋_GB2312" w:eastAsia="仿宋_GB2312" w:cs="仿宋_GB2312"/>
          <w:color w:val="auto"/>
        </w:rPr>
        <w:t>推动特色林果保鲜储藏与生产加工上规模上水平，提高产品附加值。</w:t>
      </w:r>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100" w:name="_Toc21622"/>
      <w:bookmarkStart w:id="101" w:name="_Toc619042583"/>
      <w:r>
        <w:rPr>
          <w:rFonts w:ascii="仿宋_GB2312" w:hAnsi="仿宋_GB2312" w:eastAsia="仿宋_GB2312" w:cs="仿宋_GB2312"/>
          <w:color w:val="auto"/>
        </w:rPr>
        <w:t>（四）绿色建材产</w:t>
      </w:r>
      <w:bookmarkEnd w:id="100"/>
      <w:r>
        <w:rPr>
          <w:rFonts w:ascii="仿宋_GB2312" w:hAnsi="仿宋_GB2312" w:eastAsia="仿宋_GB2312" w:cs="仿宋_GB2312"/>
          <w:color w:val="auto"/>
        </w:rPr>
        <w:t>业</w:t>
      </w:r>
      <w:bookmarkEnd w:id="101"/>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102" w:name="_Toc25008"/>
      <w:bookmarkStart w:id="103" w:name="_Toc283676359"/>
      <w:r>
        <w:rPr>
          <w:rFonts w:ascii="仿宋_GB2312" w:hAnsi="仿宋_GB2312" w:eastAsia="仿宋_GB2312" w:cs="仿宋_GB2312"/>
          <w:color w:val="auto"/>
        </w:rPr>
        <w:t>1.发展目标</w:t>
      </w:r>
      <w:bookmarkEnd w:id="102"/>
      <w:bookmarkEnd w:id="103"/>
    </w:p>
    <w:p>
      <w:pPr>
        <w:keepLines w:val="0"/>
        <w:pageBreakBefore w:val="0"/>
        <w:kinsoku/>
        <w:wordWrap/>
        <w:overflowPunct/>
        <w:topLinePunct w:val="0"/>
        <w:bidi w:val="0"/>
        <w:spacing w:line="560" w:lineRule="exact"/>
        <w:ind w:firstLine="640"/>
        <w:textAlignment w:val="auto"/>
        <w:rPr>
          <w:color w:val="auto"/>
        </w:rPr>
      </w:pPr>
      <w:bookmarkStart w:id="104" w:name="_Toc23361"/>
      <w:r>
        <w:rPr>
          <w:rFonts w:hint="eastAsia" w:ascii="仿宋_GB2312" w:hAnsi="仿宋_GB2312" w:eastAsia="仿宋_GB2312" w:cs="仿宋_GB2312"/>
          <w:color w:val="auto"/>
        </w:rPr>
        <w:t>坚持</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绿色化、集约化、高端化</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发展方向，严格执行国家标准，聚焦新型墙体材料、保温建材领域，构建产能优化、工艺清洁、固废高效利用的新型绿色建材产业制造体系，到</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十五五</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末，力争建材产业实现产值30亿元以上。</w:t>
      </w:r>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szCs w:val="32"/>
        </w:rPr>
      </w:pPr>
      <w:bookmarkStart w:id="105" w:name="_Toc469530795"/>
      <w:r>
        <w:rPr>
          <w:rFonts w:ascii="仿宋_GB2312" w:hAnsi="仿宋_GB2312" w:eastAsia="仿宋_GB2312" w:cs="仿宋_GB2312"/>
          <w:color w:val="auto"/>
        </w:rPr>
        <w:t>2.发展重点</w:t>
      </w:r>
      <w:bookmarkEnd w:id="104"/>
      <w:bookmarkEnd w:id="105"/>
    </w:p>
    <w:p>
      <w:pPr>
        <w:keepLines w:val="0"/>
        <w:pageBreakBefore w:val="0"/>
        <w:kinsoku/>
        <w:wordWrap/>
        <w:overflowPunct/>
        <w:topLinePunct w:val="0"/>
        <w:bidi w:val="0"/>
        <w:spacing w:line="560" w:lineRule="exact"/>
        <w:ind w:firstLine="643"/>
        <w:jc w:val="left"/>
        <w:textAlignment w:val="auto"/>
        <w:rPr>
          <w:rFonts w:ascii="仿宋_GB2312" w:hAnsi="仿宋_GB2312" w:eastAsia="仿宋_GB2312" w:cs="仿宋_GB2312"/>
          <w:color w:val="auto"/>
          <w:szCs w:val="32"/>
        </w:rPr>
      </w:pPr>
      <w:r>
        <w:rPr>
          <w:rFonts w:hint="eastAsia" w:ascii="仿宋_GB2312" w:hAnsi="仿宋_GB2312" w:eastAsia="仿宋_GB2312" w:cs="仿宋_GB2312"/>
          <w:b/>
          <w:color w:val="auto"/>
          <w:szCs w:val="32"/>
        </w:rPr>
        <w:t>水泥</w:t>
      </w:r>
      <w:r>
        <w:rPr>
          <w:rFonts w:hint="eastAsia" w:ascii="仿宋_GB2312" w:hAnsi="仿宋_GB2312" w:eastAsia="仿宋_GB2312" w:cs="仿宋_GB2312"/>
          <w:color w:val="auto"/>
          <w:szCs w:val="32"/>
        </w:rPr>
        <w:t>。重点推动高标号水泥、纯硅酸盐熟料生产及应用，构建新型低钙水泥熟料体系，发展特种水泥、新型固碳胶凝材料等新型低碳水泥。</w:t>
      </w:r>
    </w:p>
    <w:p>
      <w:pPr>
        <w:keepLines w:val="0"/>
        <w:pageBreakBefore w:val="0"/>
        <w:kinsoku/>
        <w:wordWrap/>
        <w:overflowPunct/>
        <w:topLinePunct w:val="0"/>
        <w:bidi w:val="0"/>
        <w:spacing w:line="560" w:lineRule="exact"/>
        <w:ind w:firstLine="643"/>
        <w:jc w:val="left"/>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szCs w:val="32"/>
        </w:rPr>
        <w:t>石材。</w:t>
      </w:r>
      <w:r>
        <w:rPr>
          <w:rFonts w:hint="eastAsia" w:ascii="仿宋_GB2312" w:hAnsi="仿宋_GB2312" w:eastAsia="仿宋_GB2312" w:cs="仿宋_GB2312"/>
          <w:color w:val="auto"/>
          <w:szCs w:val="32"/>
        </w:rPr>
        <w:t>重点发展花岗石、大理石、蛇纹石、石英岩等特色石材产品，加快发展薄型化、规格化石材产品等高附加值产品。</w:t>
      </w:r>
    </w:p>
    <w:p>
      <w:pPr>
        <w:keepLines w:val="0"/>
        <w:pageBreakBefore w:val="0"/>
        <w:kinsoku/>
        <w:wordWrap/>
        <w:overflowPunct/>
        <w:topLinePunct w:val="0"/>
        <w:bidi w:val="0"/>
        <w:spacing w:line="560" w:lineRule="exact"/>
        <w:ind w:firstLine="643"/>
        <w:jc w:val="left"/>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szCs w:val="32"/>
        </w:rPr>
        <w:t>混凝土及制品</w:t>
      </w:r>
      <w:r>
        <w:rPr>
          <w:rFonts w:hint="eastAsia" w:ascii="仿宋_GB2312" w:hAnsi="仿宋_GB2312" w:eastAsia="仿宋_GB2312" w:cs="仿宋_GB2312"/>
          <w:color w:val="auto"/>
          <w:szCs w:val="32"/>
        </w:rPr>
        <w:t>。重点发展超高性能混凝土、大口径混凝土供排水管、城市地下管廊、混凝土管桩、高性能混凝土等混凝土制品。</w:t>
      </w:r>
    </w:p>
    <w:p>
      <w:pPr>
        <w:keepLines w:val="0"/>
        <w:pageBreakBefore w:val="0"/>
        <w:kinsoku/>
        <w:wordWrap/>
        <w:overflowPunct/>
        <w:topLinePunct w:val="0"/>
        <w:bidi w:val="0"/>
        <w:spacing w:line="560" w:lineRule="exact"/>
        <w:ind w:firstLine="643"/>
        <w:jc w:val="left"/>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szCs w:val="32"/>
        </w:rPr>
        <w:t>新型装配式建筑</w:t>
      </w:r>
      <w:r>
        <w:rPr>
          <w:rFonts w:hint="eastAsia" w:ascii="仿宋_GB2312" w:hAnsi="仿宋_GB2312" w:eastAsia="仿宋_GB2312" w:cs="仿宋_GB2312"/>
          <w:color w:val="auto"/>
          <w:szCs w:val="32"/>
        </w:rPr>
        <w:t>。重点发展装配式建筑部件、节能门窗、轻质墙体砌材、隔热保温、装饰装修和防水卷材等。</w:t>
      </w:r>
    </w:p>
    <w:p>
      <w:pPr>
        <w:keepLines w:val="0"/>
        <w:pageBreakBefore w:val="0"/>
        <w:kinsoku/>
        <w:wordWrap/>
        <w:overflowPunct/>
        <w:topLinePunct w:val="0"/>
        <w:bidi w:val="0"/>
        <w:spacing w:line="560" w:lineRule="exact"/>
        <w:ind w:firstLine="643"/>
        <w:jc w:val="left"/>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szCs w:val="32"/>
        </w:rPr>
        <w:t>新型绿色建材</w:t>
      </w:r>
      <w:r>
        <w:rPr>
          <w:rFonts w:hint="eastAsia" w:ascii="仿宋_GB2312" w:hAnsi="仿宋_GB2312" w:eastAsia="仿宋_GB2312" w:cs="仿宋_GB2312"/>
          <w:color w:val="auto"/>
          <w:szCs w:val="32"/>
        </w:rPr>
        <w:t>。依托全市大宗工业固废资源，以粉煤灰、尾矿等为原料生产新型墙体材料，做强特种岩棉等保温建材，培育发展矿物纤维、节能复合材料等高端产品。</w:t>
      </w:r>
      <w:bookmarkStart w:id="106" w:name="_Toc10007"/>
    </w:p>
    <w:p>
      <w:pPr>
        <w:keepLines w:val="0"/>
        <w:pageBreakBefore w:val="0"/>
        <w:kinsoku/>
        <w:wordWrap/>
        <w:overflowPunct/>
        <w:topLinePunct w:val="0"/>
        <w:bidi w:val="0"/>
        <w:spacing w:line="560" w:lineRule="exact"/>
        <w:ind w:firstLine="640"/>
        <w:textAlignment w:val="auto"/>
        <w:rPr>
          <w:rFonts w:ascii="仿宋_GB2312" w:hAnsi="仿宋_GB2312" w:eastAsia="仿宋_GB2312" w:cs="仿宋_GB2312"/>
          <w:color w:val="auto"/>
          <w:szCs w:val="32"/>
        </w:rPr>
      </w:pPr>
      <w:r>
        <w:rPr>
          <w:rFonts w:hint="eastAsia" w:ascii="仿宋_GB2312" w:hAnsi="仿宋_GB2312" w:eastAsia="仿宋_GB2312" w:cs="仿宋_GB2312"/>
          <w:color w:val="auto"/>
          <w:szCs w:val="32"/>
        </w:rPr>
        <w:br w:type="page"/>
      </w:r>
    </w:p>
    <w:p>
      <w:pPr>
        <w:pStyle w:val="4"/>
        <w:keepLines w:val="0"/>
        <w:pageBreakBefore w:val="0"/>
        <w:widowControl w:val="0"/>
        <w:numPr>
          <w:ilvl w:val="0"/>
          <w:numId w:val="1"/>
        </w:numPr>
        <w:kinsoku/>
        <w:wordWrap/>
        <w:overflowPunct/>
        <w:topLinePunct w:val="0"/>
        <w:autoSpaceDE/>
        <w:autoSpaceDN/>
        <w:bidi w:val="0"/>
        <w:adjustRightInd/>
        <w:snapToGrid/>
        <w:spacing w:before="0" w:beforeLines="0" w:after="0" w:afterLines="0" w:line="560" w:lineRule="exact"/>
        <w:ind w:left="0" w:leftChars="0" w:firstLine="642" w:firstLineChars="200"/>
        <w:textAlignment w:val="auto"/>
        <w:rPr>
          <w:rFonts w:hint="eastAsia" w:ascii="楷体_GB2312" w:hAnsi="楷体_GB2312" w:eastAsia="楷体_GB2312" w:cs="楷体_GB2312"/>
          <w:b/>
          <w:bCs w:val="0"/>
          <w:color w:val="auto"/>
          <w:lang w:val="en-US" w:eastAsia="zh-CN"/>
        </w:rPr>
      </w:pPr>
      <w:bookmarkStart w:id="107" w:name="_Toc296328886_WPSOffice_Level2"/>
      <w:bookmarkStart w:id="108" w:name="_Toc2048076182"/>
      <w:bookmarkStart w:id="109" w:name="_Toc384496380"/>
      <w:bookmarkStart w:id="110" w:name="_Toc31491"/>
      <w:bookmarkStart w:id="111" w:name="_Toc597862610"/>
      <w:r>
        <w:rPr>
          <w:rFonts w:hint="eastAsia" w:ascii="楷体_GB2312" w:hAnsi="楷体_GB2312" w:eastAsia="楷体_GB2312" w:cs="楷体_GB2312"/>
          <w:b/>
          <w:bCs w:val="0"/>
          <w:color w:val="auto"/>
          <w:lang w:val="en-US" w:eastAsia="zh-CN"/>
        </w:rPr>
        <w:t>强化</w:t>
      </w:r>
      <w:r>
        <w:rPr>
          <w:rFonts w:hint="default" w:ascii="楷体_GB2312" w:hAnsi="楷体_GB2312" w:eastAsia="楷体_GB2312" w:cs="楷体_GB2312"/>
          <w:b/>
          <w:bCs w:val="0"/>
          <w:color w:val="auto"/>
          <w:lang w:val="en" w:eastAsia="zh-CN"/>
        </w:rPr>
        <w:t>数字赋能与服务配套</w:t>
      </w:r>
      <w:r>
        <w:rPr>
          <w:rFonts w:hint="eastAsia" w:ascii="楷体_GB2312" w:hAnsi="楷体_GB2312" w:eastAsia="楷体_GB2312" w:cs="楷体_GB2312"/>
          <w:b/>
          <w:bCs w:val="0"/>
          <w:color w:val="auto"/>
          <w:lang w:val="en-US" w:eastAsia="zh-CN"/>
        </w:rPr>
        <w:t>，提升产业发展能级</w:t>
      </w:r>
      <w:bookmarkEnd w:id="107"/>
      <w:bookmarkEnd w:id="108"/>
      <w:bookmarkEnd w:id="109"/>
      <w:bookmarkEnd w:id="110"/>
      <w:bookmarkEnd w:id="111"/>
    </w:p>
    <w:p>
      <w:pPr>
        <w:keepLines w:val="0"/>
        <w:pageBreakBefore w:val="0"/>
        <w:kinsoku/>
        <w:wordWrap/>
        <w:overflowPunct/>
        <w:topLinePunct w:val="0"/>
        <w:bidi w:val="0"/>
        <w:spacing w:line="560" w:lineRule="exact"/>
        <w:ind w:firstLine="620"/>
        <w:textAlignment w:val="auto"/>
        <w:rPr>
          <w:rFonts w:hint="eastAsia" w:ascii="仿宋_GB2312" w:hAnsi="宋体" w:eastAsia="仿宋_GB2312" w:cs="仿宋_GB2312"/>
          <w:color w:val="auto"/>
          <w:kern w:val="0"/>
          <w:sz w:val="31"/>
          <w:szCs w:val="31"/>
          <w:lang w:val="en-US" w:eastAsia="zh-CN" w:bidi="ar"/>
        </w:rPr>
      </w:pPr>
      <w:r>
        <w:rPr>
          <w:rFonts w:hint="eastAsia" w:ascii="仿宋_GB2312" w:hAnsi="宋体" w:eastAsia="仿宋_GB2312" w:cs="仿宋_GB2312"/>
          <w:color w:val="auto"/>
          <w:kern w:val="0"/>
          <w:sz w:val="31"/>
          <w:szCs w:val="31"/>
          <w:lang w:val="en-US" w:eastAsia="zh-CN" w:bidi="ar"/>
        </w:rPr>
        <w:t>聚焦数字技术发展趋势，加快生产性服务业新生态和应用场景落地，增强数字产业和生产性服务业支撑壮大实体经济作用，赋能实体经济高质量发展</w:t>
      </w:r>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112" w:name="_Toc894472645"/>
      <w:r>
        <w:rPr>
          <w:rFonts w:hint="eastAsia" w:ascii="仿宋_GB2312" w:hAnsi="仿宋_GB2312" w:eastAsia="仿宋_GB2312" w:cs="仿宋_GB2312"/>
          <w:color w:val="auto"/>
        </w:rPr>
        <w:t>（</w:t>
      </w:r>
      <w:r>
        <w:rPr>
          <w:rFonts w:hint="eastAsia" w:ascii="仿宋_GB2312" w:hAnsi="仿宋_GB2312" w:eastAsia="仿宋_GB2312" w:cs="仿宋_GB2312"/>
          <w:color w:val="auto"/>
          <w:lang w:eastAsia="zh-CN"/>
        </w:rPr>
        <w:t>一</w:t>
      </w:r>
      <w:r>
        <w:rPr>
          <w:rFonts w:hint="eastAsia" w:ascii="仿宋_GB2312" w:hAnsi="仿宋_GB2312" w:eastAsia="仿宋_GB2312" w:cs="仿宋_GB2312"/>
          <w:color w:val="auto"/>
        </w:rPr>
        <w:t>）数字产业</w:t>
      </w:r>
      <w:bookmarkEnd w:id="112"/>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113" w:name="_Toc848205941"/>
      <w:r>
        <w:rPr>
          <w:rFonts w:ascii="仿宋_GB2312" w:hAnsi="仿宋_GB2312" w:eastAsia="仿宋_GB2312" w:cs="仿宋_GB2312"/>
          <w:color w:val="auto"/>
        </w:rPr>
        <w:t>1.发展目标</w:t>
      </w:r>
      <w:bookmarkEnd w:id="113"/>
    </w:p>
    <w:p>
      <w:pPr>
        <w:keepLines w:val="0"/>
        <w:pageBreakBefore w:val="0"/>
        <w:kinsoku/>
        <w:wordWrap/>
        <w:overflowPunct/>
        <w:topLinePunct w:val="0"/>
        <w:bidi w:val="0"/>
        <w:spacing w:line="560" w:lineRule="exact"/>
        <w:ind w:firstLine="620"/>
        <w:textAlignment w:val="auto"/>
        <w:rPr>
          <w:rFonts w:ascii="仿宋_GB2312" w:hAnsi="宋体" w:eastAsia="仿宋_GB2312" w:cs="仿宋_GB2312"/>
          <w:color w:val="auto"/>
          <w:kern w:val="0"/>
          <w:sz w:val="31"/>
          <w:szCs w:val="31"/>
          <w:lang w:bidi="ar"/>
        </w:rPr>
      </w:pPr>
      <w:r>
        <w:rPr>
          <w:rFonts w:hint="eastAsia" w:ascii="仿宋_GB2312" w:hAnsi="宋体" w:eastAsia="仿宋_GB2312" w:cs="仿宋_GB2312"/>
          <w:color w:val="auto"/>
          <w:kern w:val="0"/>
          <w:sz w:val="31"/>
          <w:szCs w:val="31"/>
          <w:lang w:bidi="ar"/>
        </w:rPr>
        <w:t>到</w:t>
      </w:r>
      <w:r>
        <w:rPr>
          <w:rFonts w:hint="default" w:ascii="仿宋_GB2312" w:hAnsi="宋体" w:eastAsia="仿宋_GB2312" w:cs="仿宋_GB2312"/>
          <w:color w:val="auto"/>
          <w:kern w:val="0"/>
          <w:sz w:val="31"/>
          <w:szCs w:val="31"/>
          <w:lang w:val="en" w:bidi="ar"/>
        </w:rPr>
        <w:t>“</w:t>
      </w:r>
      <w:r>
        <w:rPr>
          <w:rFonts w:hint="eastAsia" w:ascii="仿宋_GB2312" w:hAnsi="宋体" w:eastAsia="仿宋_GB2312" w:cs="仿宋_GB2312"/>
          <w:color w:val="auto"/>
          <w:kern w:val="0"/>
          <w:sz w:val="31"/>
          <w:szCs w:val="31"/>
          <w:lang w:bidi="ar"/>
        </w:rPr>
        <w:t>十五五</w:t>
      </w:r>
      <w:r>
        <w:rPr>
          <w:rFonts w:hint="default" w:ascii="仿宋_GB2312" w:hAnsi="宋体" w:eastAsia="仿宋_GB2312" w:cs="仿宋_GB2312"/>
          <w:color w:val="auto"/>
          <w:kern w:val="0"/>
          <w:sz w:val="31"/>
          <w:szCs w:val="31"/>
          <w:lang w:val="en" w:bidi="ar"/>
        </w:rPr>
        <w:t>”</w:t>
      </w:r>
      <w:r>
        <w:rPr>
          <w:rFonts w:hint="eastAsia" w:ascii="仿宋_GB2312" w:hAnsi="宋体" w:eastAsia="仿宋_GB2312" w:cs="仿宋_GB2312"/>
          <w:color w:val="auto"/>
          <w:kern w:val="0"/>
          <w:sz w:val="31"/>
          <w:szCs w:val="31"/>
          <w:lang w:bidi="ar"/>
        </w:rPr>
        <w:t>末，全市以5G、5G-A、万兆光网为主的通信网络覆盖广度、深度和质量持续提升，工业互联网标识解析二级节点运营能力大幅提升，规上工业企业数字化转型覆盖率达到95%以上，软件和信息技术服务业营业收入年均增速</w:t>
      </w:r>
      <w:r>
        <w:rPr>
          <w:rFonts w:hint="eastAsia" w:ascii="仿宋_GB2312" w:hAnsi="宋体" w:eastAsia="仿宋_GB2312" w:cs="仿宋_GB2312"/>
          <w:color w:val="auto"/>
          <w:kern w:val="0"/>
          <w:sz w:val="31"/>
          <w:szCs w:val="31"/>
          <w:lang w:val="en-US" w:eastAsia="zh-CN" w:bidi="ar"/>
        </w:rPr>
        <w:t>8</w:t>
      </w:r>
      <w:r>
        <w:rPr>
          <w:rFonts w:hint="eastAsia" w:ascii="仿宋_GB2312" w:hAnsi="宋体" w:eastAsia="仿宋_GB2312" w:cs="仿宋_GB2312"/>
          <w:color w:val="auto"/>
          <w:kern w:val="0"/>
          <w:sz w:val="31"/>
          <w:szCs w:val="31"/>
          <w:lang w:bidi="ar"/>
        </w:rPr>
        <w:t>%以上，打造形成国家丝绸之路经济带绿色算力枢纽。</w:t>
      </w:r>
    </w:p>
    <w:p>
      <w:pPr>
        <w:pStyle w:val="5"/>
        <w:keepNext/>
        <w:keepLines w:val="0"/>
        <w:pageBreakBefore w:val="0"/>
        <w:widowControl w:val="0"/>
        <w:kinsoku/>
        <w:wordWrap/>
        <w:overflowPunct/>
        <w:topLinePunct w:val="0"/>
        <w:bidi w:val="0"/>
        <w:spacing w:line="560" w:lineRule="exact"/>
        <w:ind w:firstLine="643"/>
        <w:textAlignment w:val="auto"/>
        <w:rPr>
          <w:rFonts w:hint="default" w:ascii="仿宋_GB2312" w:hAnsi="仿宋_GB2312" w:eastAsia="仿宋_GB2312" w:cs="仿宋_GB2312"/>
          <w:color w:val="auto"/>
        </w:rPr>
      </w:pPr>
      <w:bookmarkStart w:id="114" w:name="_Toc1483394100"/>
      <w:r>
        <w:rPr>
          <w:rFonts w:ascii="仿宋_GB2312" w:hAnsi="仿宋_GB2312" w:eastAsia="仿宋_GB2312" w:cs="仿宋_GB2312"/>
          <w:color w:val="auto"/>
        </w:rPr>
        <w:t>2.发展重点</w:t>
      </w:r>
      <w:bookmarkEnd w:id="114"/>
    </w:p>
    <w:p>
      <w:pPr>
        <w:pStyle w:val="7"/>
        <w:keepNext w:val="0"/>
        <w:keepLines w:val="0"/>
        <w:pageBreakBefore w:val="0"/>
        <w:widowControl w:val="0"/>
        <w:kinsoku/>
        <w:wordWrap/>
        <w:overflowPunct/>
        <w:topLinePunct w:val="0"/>
        <w:autoSpaceDE/>
        <w:autoSpaceDN/>
        <w:bidi w:val="0"/>
        <w:adjustRightInd/>
        <w:snapToGrid/>
        <w:spacing w:line="600" w:lineRule="exact"/>
        <w:ind w:firstLine="622"/>
        <w:textAlignment w:val="auto"/>
        <w:rPr>
          <w:color w:val="auto"/>
        </w:rPr>
      </w:pPr>
      <w:r>
        <w:rPr>
          <w:rFonts w:hint="eastAsia" w:ascii="仿宋_GB2312" w:hAnsi="宋体" w:eastAsia="仿宋_GB2312" w:cs="仿宋_GB2312"/>
          <w:b/>
          <w:bCs/>
          <w:color w:val="auto"/>
          <w:kern w:val="0"/>
          <w:sz w:val="31"/>
          <w:szCs w:val="31"/>
          <w:lang w:bidi="ar"/>
        </w:rPr>
        <w:t>构建算电产业协同体系。</w:t>
      </w:r>
      <w:r>
        <w:rPr>
          <w:rFonts w:hint="eastAsia" w:ascii="仿宋_GB2312" w:hAnsi="宋体" w:eastAsia="仿宋_GB2312" w:cs="仿宋_GB2312"/>
          <w:color w:val="auto"/>
          <w:kern w:val="0"/>
          <w:sz w:val="31"/>
          <w:szCs w:val="31"/>
          <w:lang w:bidi="ar"/>
        </w:rPr>
        <w:t>依托绿电和算力基础设施，主动对接国家</w:t>
      </w:r>
      <w:r>
        <w:rPr>
          <w:rFonts w:hint="default" w:ascii="仿宋_GB2312" w:hAnsi="宋体" w:eastAsia="仿宋_GB2312" w:cs="仿宋_GB2312"/>
          <w:color w:val="auto"/>
          <w:kern w:val="0"/>
          <w:sz w:val="31"/>
          <w:szCs w:val="31"/>
          <w:lang w:val="en" w:bidi="ar"/>
        </w:rPr>
        <w:t>“</w:t>
      </w:r>
      <w:r>
        <w:rPr>
          <w:rFonts w:hint="eastAsia" w:ascii="仿宋_GB2312" w:hAnsi="宋体" w:eastAsia="仿宋_GB2312" w:cs="仿宋_GB2312"/>
          <w:color w:val="auto"/>
          <w:kern w:val="0"/>
          <w:sz w:val="31"/>
          <w:szCs w:val="31"/>
          <w:lang w:bidi="ar"/>
        </w:rPr>
        <w:t>东数西算</w:t>
      </w:r>
      <w:r>
        <w:rPr>
          <w:rFonts w:hint="default" w:ascii="仿宋_GB2312" w:hAnsi="宋体" w:eastAsia="仿宋_GB2312" w:cs="仿宋_GB2312"/>
          <w:color w:val="auto"/>
          <w:kern w:val="0"/>
          <w:sz w:val="31"/>
          <w:szCs w:val="31"/>
          <w:lang w:val="en" w:bidi="ar"/>
        </w:rPr>
        <w:t>”</w:t>
      </w:r>
      <w:r>
        <w:rPr>
          <w:rFonts w:hint="eastAsia" w:ascii="仿宋_GB2312" w:hAnsi="宋体" w:eastAsia="仿宋_GB2312" w:cs="仿宋_GB2312"/>
          <w:color w:val="auto"/>
          <w:kern w:val="0"/>
          <w:sz w:val="31"/>
          <w:szCs w:val="31"/>
          <w:lang w:bidi="ar"/>
        </w:rPr>
        <w:t>战略布局，积极融入全国一体化算力网络国家枢纽节点建设。扩容提升酒泉云计算大数据中心运维能力，积极争取国家级行业算力中心落地，围绕算力需求招引AI算法、大数据服务企业，推动绿色电力向绿色算力转变，培育</w:t>
      </w:r>
      <w:r>
        <w:rPr>
          <w:rFonts w:hint="default" w:ascii="仿宋_GB2312" w:hAnsi="宋体" w:eastAsia="仿宋_GB2312" w:cs="仿宋_GB2312"/>
          <w:color w:val="auto"/>
          <w:kern w:val="0"/>
          <w:sz w:val="31"/>
          <w:szCs w:val="31"/>
          <w:lang w:val="en" w:bidi="ar"/>
        </w:rPr>
        <w:t>“</w:t>
      </w:r>
      <w:r>
        <w:rPr>
          <w:rFonts w:hint="eastAsia" w:ascii="仿宋_GB2312" w:hAnsi="宋体" w:eastAsia="仿宋_GB2312" w:cs="仿宋_GB2312"/>
          <w:color w:val="auto"/>
          <w:kern w:val="0"/>
          <w:sz w:val="31"/>
          <w:szCs w:val="31"/>
          <w:lang w:bidi="ar"/>
        </w:rPr>
        <w:t>绿电算力+新能源运维</w:t>
      </w:r>
      <w:r>
        <w:rPr>
          <w:rFonts w:hint="default" w:ascii="仿宋_GB2312" w:hAnsi="宋体" w:eastAsia="仿宋_GB2312" w:cs="仿宋_GB2312"/>
          <w:color w:val="auto"/>
          <w:kern w:val="0"/>
          <w:sz w:val="31"/>
          <w:szCs w:val="31"/>
          <w:lang w:val="en" w:bidi="ar"/>
        </w:rPr>
        <w:t>”</w:t>
      </w:r>
      <w:r>
        <w:rPr>
          <w:rFonts w:hint="eastAsia" w:ascii="仿宋_GB2312" w:hAnsi="宋体" w:eastAsia="仿宋_GB2312" w:cs="仿宋_GB2312"/>
          <w:color w:val="auto"/>
          <w:kern w:val="0"/>
          <w:sz w:val="31"/>
          <w:szCs w:val="31"/>
          <w:lang w:bidi="ar"/>
        </w:rPr>
        <w:t>等新业态，推动绿色算力成为酒泉重要新质生产力。</w:t>
      </w:r>
    </w:p>
    <w:p>
      <w:pPr>
        <w:keepNext w:val="0"/>
        <w:keepLines w:val="0"/>
        <w:pageBreakBefore w:val="0"/>
        <w:widowControl w:val="0"/>
        <w:kinsoku/>
        <w:wordWrap/>
        <w:overflowPunct/>
        <w:topLinePunct w:val="0"/>
        <w:autoSpaceDE/>
        <w:autoSpaceDN/>
        <w:bidi w:val="0"/>
        <w:adjustRightInd/>
        <w:snapToGrid/>
        <w:spacing w:line="600" w:lineRule="exact"/>
        <w:ind w:firstLine="622"/>
        <w:textAlignment w:val="auto"/>
        <w:rPr>
          <w:rFonts w:ascii="仿宋_GB2312" w:hAnsi="宋体" w:eastAsia="仿宋_GB2312" w:cs="仿宋_GB2312"/>
          <w:color w:val="auto"/>
          <w:kern w:val="0"/>
          <w:sz w:val="31"/>
          <w:szCs w:val="31"/>
          <w:lang w:bidi="ar"/>
        </w:rPr>
      </w:pPr>
      <w:r>
        <w:rPr>
          <w:rFonts w:hint="eastAsia" w:ascii="仿宋_GB2312" w:hAnsi="宋体" w:eastAsia="仿宋_GB2312" w:cs="仿宋_GB2312"/>
          <w:b/>
          <w:bCs/>
          <w:color w:val="auto"/>
          <w:kern w:val="0"/>
          <w:sz w:val="31"/>
          <w:szCs w:val="31"/>
          <w:lang w:bidi="ar"/>
        </w:rPr>
        <w:t>提升数字技术应用服务能力。</w:t>
      </w:r>
      <w:r>
        <w:rPr>
          <w:rFonts w:hint="eastAsia" w:ascii="仿宋_GB2312" w:hAnsi="宋体" w:eastAsia="仿宋_GB2312" w:cs="仿宋_GB2312"/>
          <w:color w:val="auto"/>
          <w:kern w:val="0"/>
          <w:sz w:val="31"/>
          <w:szCs w:val="31"/>
          <w:lang w:bidi="ar"/>
        </w:rPr>
        <w:t>加快工业互联网和标识解析平台推广应用，积极发展数据服务、云计算服务、网络安全、数据安全等服务业态，壮大信息传输、软件和信息技术服务业，提升数字技术开发应用、系统集成、运维管理全链条服务能力。</w:t>
      </w:r>
    </w:p>
    <w:p>
      <w:pPr>
        <w:keepNext w:val="0"/>
        <w:keepLines w:val="0"/>
        <w:pageBreakBefore w:val="0"/>
        <w:widowControl w:val="0"/>
        <w:kinsoku/>
        <w:wordWrap/>
        <w:overflowPunct/>
        <w:topLinePunct w:val="0"/>
        <w:autoSpaceDE/>
        <w:autoSpaceDN/>
        <w:bidi w:val="0"/>
        <w:adjustRightInd/>
        <w:snapToGrid/>
        <w:spacing w:line="600" w:lineRule="exact"/>
        <w:ind w:firstLine="622"/>
        <w:textAlignment w:val="auto"/>
        <w:rPr>
          <w:rFonts w:hint="eastAsia" w:ascii="仿宋_GB2312" w:hAnsi="宋体" w:eastAsia="仿宋_GB2312" w:cs="仿宋_GB2312"/>
          <w:color w:val="auto"/>
          <w:kern w:val="0"/>
          <w:sz w:val="31"/>
          <w:szCs w:val="31"/>
          <w:lang w:bidi="ar"/>
        </w:rPr>
      </w:pPr>
      <w:r>
        <w:rPr>
          <w:rFonts w:hint="eastAsia" w:ascii="仿宋_GB2312" w:hAnsi="宋体" w:eastAsia="仿宋_GB2312" w:cs="仿宋_GB2312"/>
          <w:b/>
          <w:bCs/>
          <w:color w:val="auto"/>
          <w:kern w:val="0"/>
          <w:sz w:val="31"/>
          <w:szCs w:val="31"/>
          <w:lang w:bidi="ar"/>
        </w:rPr>
        <w:t>持续深化工业数字化转型。</w:t>
      </w:r>
      <w:r>
        <w:rPr>
          <w:rFonts w:hint="eastAsia" w:ascii="仿宋_GB2312" w:hAnsi="宋体" w:eastAsia="仿宋_GB2312" w:cs="仿宋_GB2312"/>
          <w:color w:val="auto"/>
          <w:kern w:val="0"/>
          <w:sz w:val="31"/>
          <w:szCs w:val="31"/>
          <w:lang w:bidi="ar"/>
        </w:rPr>
        <w:t>加快推动传统产业数字化转型和智能化改造，全面提升产业技术含量、附加值和竞争力，推动制造业</w:t>
      </w:r>
      <w:r>
        <w:rPr>
          <w:rFonts w:hint="default" w:ascii="仿宋_GB2312" w:hAnsi="宋体" w:eastAsia="仿宋_GB2312" w:cs="仿宋_GB2312"/>
          <w:color w:val="auto"/>
          <w:kern w:val="0"/>
          <w:sz w:val="31"/>
          <w:szCs w:val="31"/>
          <w:lang w:val="en" w:bidi="ar"/>
        </w:rPr>
        <w:t>“</w:t>
      </w:r>
      <w:r>
        <w:rPr>
          <w:rFonts w:hint="eastAsia" w:ascii="仿宋_GB2312" w:hAnsi="宋体" w:eastAsia="仿宋_GB2312" w:cs="仿宋_GB2312"/>
          <w:color w:val="auto"/>
          <w:kern w:val="0"/>
          <w:sz w:val="31"/>
          <w:szCs w:val="31"/>
          <w:lang w:bidi="ar"/>
        </w:rPr>
        <w:t>智改数转网联</w:t>
      </w:r>
      <w:r>
        <w:rPr>
          <w:rFonts w:hint="default" w:ascii="仿宋_GB2312" w:hAnsi="宋体" w:eastAsia="仿宋_GB2312" w:cs="仿宋_GB2312"/>
          <w:color w:val="auto"/>
          <w:kern w:val="0"/>
          <w:sz w:val="31"/>
          <w:szCs w:val="31"/>
          <w:lang w:val="en" w:bidi="ar"/>
        </w:rPr>
        <w:t>”“</w:t>
      </w:r>
      <w:r>
        <w:rPr>
          <w:rFonts w:hint="eastAsia" w:ascii="仿宋_GB2312" w:hAnsi="宋体" w:eastAsia="仿宋_GB2312" w:cs="仿宋_GB2312"/>
          <w:color w:val="auto"/>
          <w:kern w:val="0"/>
          <w:sz w:val="31"/>
          <w:szCs w:val="31"/>
          <w:lang w:bidi="ar"/>
        </w:rPr>
        <w:t>上云用数赋智</w:t>
      </w:r>
      <w:r>
        <w:rPr>
          <w:rFonts w:hint="default" w:ascii="仿宋_GB2312" w:hAnsi="宋体" w:eastAsia="仿宋_GB2312" w:cs="仿宋_GB2312"/>
          <w:color w:val="auto"/>
          <w:kern w:val="0"/>
          <w:sz w:val="31"/>
          <w:szCs w:val="31"/>
          <w:lang w:val="en" w:bidi="ar"/>
        </w:rPr>
        <w:t>”</w:t>
      </w:r>
      <w:r>
        <w:rPr>
          <w:rFonts w:hint="eastAsia" w:ascii="仿宋_GB2312" w:hAnsi="宋体" w:eastAsia="仿宋_GB2312" w:cs="仿宋_GB2312"/>
          <w:color w:val="auto"/>
          <w:kern w:val="0"/>
          <w:sz w:val="31"/>
          <w:szCs w:val="31"/>
          <w:lang w:bidi="ar"/>
        </w:rPr>
        <w:t>，并向价值链中高端迈进。加强政策引领、</w:t>
      </w:r>
      <w:r>
        <w:rPr>
          <w:rFonts w:hint="default" w:ascii="仿宋_GB2312" w:hAnsi="宋体" w:eastAsia="仿宋_GB2312" w:cs="仿宋_GB2312"/>
          <w:color w:val="auto"/>
          <w:kern w:val="0"/>
          <w:sz w:val="31"/>
          <w:szCs w:val="31"/>
          <w:lang w:val="en" w:bidi="ar"/>
        </w:rPr>
        <w:t>“</w:t>
      </w:r>
      <w:r>
        <w:rPr>
          <w:rFonts w:hint="eastAsia" w:ascii="仿宋_GB2312" w:hAnsi="宋体" w:eastAsia="仿宋_GB2312" w:cs="仿宋_GB2312"/>
          <w:color w:val="auto"/>
          <w:kern w:val="0"/>
          <w:sz w:val="31"/>
          <w:szCs w:val="31"/>
          <w:lang w:bidi="ar"/>
        </w:rPr>
        <w:t>链主</w:t>
      </w:r>
      <w:r>
        <w:rPr>
          <w:rFonts w:hint="default" w:ascii="仿宋_GB2312" w:hAnsi="宋体" w:eastAsia="仿宋_GB2312" w:cs="仿宋_GB2312"/>
          <w:color w:val="auto"/>
          <w:kern w:val="0"/>
          <w:sz w:val="31"/>
          <w:szCs w:val="31"/>
          <w:lang w:val="en" w:bidi="ar"/>
        </w:rPr>
        <w:t>”</w:t>
      </w:r>
      <w:r>
        <w:rPr>
          <w:rFonts w:hint="eastAsia" w:ascii="仿宋_GB2312" w:hAnsi="宋体" w:eastAsia="仿宋_GB2312" w:cs="仿宋_GB2312"/>
          <w:color w:val="auto"/>
          <w:kern w:val="0"/>
          <w:sz w:val="31"/>
          <w:szCs w:val="31"/>
          <w:lang w:bidi="ar"/>
        </w:rPr>
        <w:t>带动、平台赋能、场景示范，创建智能工厂和5G全连接工厂，打造智能制造优秀应用场景。</w:t>
      </w:r>
    </w:p>
    <w:tbl>
      <w:tblPr>
        <w:tblStyle w:val="20"/>
        <w:tblpPr w:leftFromText="180" w:rightFromText="180" w:vertAnchor="text" w:horzAnchor="page" w:tblpX="1772" w:tblpY="384"/>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9040" w:type="dxa"/>
            <w:vAlign w:val="center"/>
          </w:tcPr>
          <w:p>
            <w:pPr>
              <w:keepLines w:val="0"/>
              <w:pageBreakBefore w:val="0"/>
              <w:kinsoku/>
              <w:wordWrap/>
              <w:overflowPunct/>
              <w:topLinePunct w:val="0"/>
              <w:bidi w:val="0"/>
              <w:spacing w:line="560" w:lineRule="exact"/>
              <w:ind w:left="0" w:leftChars="0" w:firstLine="0" w:firstLineChars="0"/>
              <w:jc w:val="center"/>
              <w:textAlignment w:val="auto"/>
              <w:rPr>
                <w:rFonts w:ascii="仿宋_GB2312" w:hAnsi="仿宋_GB2312" w:eastAsia="仿宋_GB2312" w:cs="仿宋_GB2312"/>
                <w:snapToGrid w:val="0"/>
                <w:color w:val="auto"/>
                <w:kern w:val="0"/>
                <w:sz w:val="28"/>
                <w:szCs w:val="28"/>
              </w:rPr>
            </w:pPr>
            <w:r>
              <w:rPr>
                <w:rFonts w:hint="eastAsia" w:ascii="黑体" w:hAnsi="黑体" w:eastAsia="黑体" w:cs="黑体"/>
                <w:color w:val="auto"/>
                <w:sz w:val="24"/>
              </w:rPr>
              <w:t>专栏</w:t>
            </w:r>
            <w:r>
              <w:rPr>
                <w:rFonts w:hint="eastAsia" w:ascii="黑体" w:hAnsi="黑体" w:eastAsia="黑体" w:cs="黑体"/>
                <w:color w:val="auto"/>
                <w:sz w:val="24"/>
                <w:lang w:val="en-US" w:eastAsia="zh-CN"/>
              </w:rPr>
              <w:t>9</w:t>
            </w:r>
            <w:r>
              <w:rPr>
                <w:rFonts w:ascii="黑体" w:hAnsi="黑体" w:eastAsia="黑体" w:cs="黑体"/>
                <w:color w:val="auto"/>
                <w:sz w:val="24"/>
                <w:lang w:val="en"/>
              </w:rPr>
              <w:t xml:space="preserve"> </w:t>
            </w:r>
            <w:r>
              <w:rPr>
                <w:rFonts w:hint="eastAsia" w:ascii="黑体" w:hAnsi="黑体" w:eastAsia="黑体" w:cs="黑体"/>
                <w:color w:val="auto"/>
                <w:sz w:val="24"/>
              </w:rPr>
              <w:t xml:space="preserve"> 数字产业培育项目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7" w:hRule="atLeast"/>
          <w:jc w:val="center"/>
        </w:trPr>
        <w:tc>
          <w:tcPr>
            <w:tcW w:w="9040" w:type="dxa"/>
          </w:tcPr>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rPr>
              <w:t>1.憨猴数智科技绿色智算及云数据中心设备购置项目二期；</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lang w:val="en-US" w:eastAsia="zh-CN"/>
              </w:rPr>
              <w:t>2</w:t>
            </w:r>
            <w:r>
              <w:rPr>
                <w:rFonts w:hint="eastAsia" w:ascii="仿宋_GB2312" w:hAnsi="仿宋_GB2312" w:eastAsia="仿宋_GB2312" w:cs="仿宋_GB2312"/>
                <w:snapToGrid w:val="0"/>
                <w:color w:val="auto"/>
              </w:rPr>
              <w:t>.4G/5G网普及和万兆光网试点项目；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lang w:val="en-US" w:eastAsia="zh-CN"/>
              </w:rPr>
              <w:t>3</w:t>
            </w:r>
            <w:r>
              <w:rPr>
                <w:rFonts w:hint="eastAsia" w:ascii="仿宋_GB2312" w:hAnsi="仿宋_GB2312" w:eastAsia="仿宋_GB2312" w:cs="仿宋_GB2312"/>
                <w:snapToGrid w:val="0"/>
                <w:color w:val="auto"/>
              </w:rPr>
              <w:t>.云计算大数据中心节能降碳改造项目；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ascii="仿宋_GB2312" w:hAnsi="仿宋_GB2312" w:eastAsia="仿宋_GB2312" w:cs="仿宋_GB2312"/>
                <w:snapToGrid w:val="0"/>
                <w:color w:val="auto"/>
              </w:rPr>
            </w:pPr>
            <w:r>
              <w:rPr>
                <w:rFonts w:hint="eastAsia" w:ascii="仿宋_GB2312" w:hAnsi="仿宋_GB2312" w:eastAsia="仿宋_GB2312" w:cs="仿宋_GB2312"/>
                <w:snapToGrid w:val="0"/>
                <w:color w:val="auto"/>
                <w:lang w:val="en-US" w:eastAsia="zh-CN"/>
              </w:rPr>
              <w:t>4</w:t>
            </w:r>
            <w:r>
              <w:rPr>
                <w:rFonts w:hint="eastAsia" w:ascii="仿宋_GB2312" w:hAnsi="仿宋_GB2312" w:eastAsia="仿宋_GB2312" w:cs="仿宋_GB2312"/>
                <w:snapToGrid w:val="0"/>
                <w:color w:val="auto"/>
              </w:rPr>
              <w:t>.数投公司人工智能大模型中心项目；</w:t>
            </w:r>
          </w:p>
          <w:p>
            <w:pPr>
              <w:pStyle w:val="18"/>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ind w:firstLine="480"/>
              <w:jc w:val="both"/>
              <w:textAlignment w:val="auto"/>
              <w:rPr>
                <w:rFonts w:hint="eastAsia" w:ascii="仿宋_GB2312" w:hAnsi="仿宋_GB2312" w:eastAsia="仿宋_GB2312" w:cs="仿宋_GB2312"/>
                <w:snapToGrid w:val="0"/>
                <w:color w:val="auto"/>
                <w:sz w:val="28"/>
                <w:szCs w:val="28"/>
                <w:lang w:val="en-US" w:eastAsia="zh-CN"/>
              </w:rPr>
            </w:pPr>
            <w:r>
              <w:rPr>
                <w:rFonts w:hint="eastAsia" w:ascii="仿宋_GB2312" w:hAnsi="仿宋_GB2312" w:eastAsia="仿宋_GB2312" w:cs="仿宋_GB2312"/>
                <w:snapToGrid w:val="0"/>
                <w:color w:val="auto"/>
                <w:lang w:val="en-US" w:eastAsia="zh-CN"/>
              </w:rPr>
              <w:t>5</w:t>
            </w:r>
            <w:r>
              <w:rPr>
                <w:rFonts w:hint="eastAsia" w:ascii="仿宋_GB2312" w:hAnsi="仿宋_GB2312" w:eastAsia="仿宋_GB2312" w:cs="仿宋_GB2312"/>
                <w:snapToGrid w:val="0"/>
                <w:color w:val="auto"/>
              </w:rPr>
              <w:t>.智算中心基础设施配套建设项目</w:t>
            </w:r>
            <w:r>
              <w:rPr>
                <w:rFonts w:hint="eastAsia" w:ascii="仿宋_GB2312" w:hAnsi="仿宋_GB2312" w:eastAsia="仿宋_GB2312" w:cs="仿宋_GB2312"/>
                <w:snapToGrid w:val="0"/>
                <w:color w:val="auto"/>
                <w:lang w:eastAsia="zh-CN"/>
              </w:rPr>
              <w:t>。</w:t>
            </w:r>
          </w:p>
        </w:tc>
      </w:tr>
    </w:tbl>
    <w:p>
      <w:pPr>
        <w:pStyle w:val="5"/>
        <w:keepNext/>
        <w:keepLines w:val="0"/>
        <w:pageBreakBefore w:val="0"/>
        <w:widowControl w:val="0"/>
        <w:kinsoku/>
        <w:wordWrap/>
        <w:overflowPunct/>
        <w:topLinePunct w:val="0"/>
        <w:autoSpaceDE/>
        <w:autoSpaceDN/>
        <w:bidi w:val="0"/>
        <w:adjustRightInd/>
        <w:snapToGrid/>
        <w:spacing w:before="0" w:after="0" w:line="560" w:lineRule="exact"/>
        <w:ind w:left="0" w:leftChars="0" w:firstLine="642" w:firstLineChars="200"/>
        <w:textAlignment w:val="auto"/>
        <w:rPr>
          <w:rFonts w:hint="eastAsia" w:ascii="Times New Roman" w:hAnsi="Times New Roman" w:eastAsia="仿宋" w:cs="Times New Roman"/>
          <w:b/>
          <w:bCs/>
          <w:color w:val="auto"/>
          <w:lang w:val="en-US" w:eastAsia="zh-CN"/>
        </w:rPr>
      </w:pPr>
      <w:bookmarkStart w:id="115" w:name="_Toc14470"/>
      <w:bookmarkStart w:id="116" w:name="_Toc429146884"/>
      <w:bookmarkStart w:id="117" w:name="_Toc984138288"/>
      <w:bookmarkStart w:id="118" w:name="_Toc1798147388"/>
      <w:r>
        <w:rPr>
          <w:rFonts w:hint="eastAsia" w:ascii="Times New Roman" w:hAnsi="Times New Roman" w:eastAsia="仿宋" w:cs="Times New Roman"/>
          <w:b/>
          <w:bCs/>
          <w:color w:val="auto"/>
          <w:lang w:val="en-US" w:eastAsia="zh-CN"/>
        </w:rPr>
        <w:t>（二）生产性服务业</w:t>
      </w:r>
      <w:bookmarkEnd w:id="115"/>
      <w:bookmarkEnd w:id="116"/>
      <w:bookmarkEnd w:id="117"/>
      <w:bookmarkEnd w:id="118"/>
    </w:p>
    <w:p>
      <w:pPr>
        <w:pStyle w:val="5"/>
        <w:keepNext/>
        <w:keepLines/>
        <w:pageBreakBefore w:val="0"/>
        <w:widowControl w:val="0"/>
        <w:kinsoku/>
        <w:wordWrap/>
        <w:overflowPunct/>
        <w:topLinePunct w:val="0"/>
        <w:autoSpaceDE/>
        <w:autoSpaceDN/>
        <w:bidi w:val="0"/>
        <w:adjustRightInd/>
        <w:snapToGrid/>
        <w:spacing w:before="0" w:after="0" w:line="574" w:lineRule="exact"/>
        <w:ind w:left="0" w:leftChars="0" w:firstLine="643"/>
        <w:textAlignment w:val="auto"/>
        <w:rPr>
          <w:rFonts w:hint="eastAsia" w:ascii="仿宋_GB2312" w:hAnsi="仿宋_GB2312" w:eastAsia="仿宋_GB2312" w:cs="仿宋_GB2312"/>
          <w:color w:val="auto"/>
          <w:lang w:val="en-US" w:eastAsia="zh-CN"/>
        </w:rPr>
      </w:pPr>
      <w:bookmarkStart w:id="119" w:name="_Toc541023474"/>
      <w:bookmarkStart w:id="120" w:name="_Toc2123462054"/>
      <w:bookmarkStart w:id="121" w:name="_Toc14677"/>
      <w:bookmarkStart w:id="122" w:name="_Toc39084019"/>
      <w:r>
        <w:rPr>
          <w:rFonts w:hint="eastAsia" w:ascii="仿宋_GB2312" w:hAnsi="仿宋_GB2312" w:eastAsia="仿宋_GB2312" w:cs="仿宋_GB2312"/>
          <w:color w:val="auto"/>
          <w:lang w:val="en-US" w:eastAsia="zh-CN"/>
        </w:rPr>
        <w:t>1.发展目标</w:t>
      </w:r>
      <w:bookmarkEnd w:id="119"/>
      <w:bookmarkEnd w:id="120"/>
      <w:bookmarkEnd w:id="121"/>
      <w:bookmarkEnd w:id="122"/>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到</w:t>
      </w:r>
      <w:r>
        <w:rPr>
          <w:rFonts w:hint="default" w:ascii="仿宋_GB2312" w:hAnsi="仿宋_GB2312" w:eastAsia="仿宋_GB2312" w:cs="仿宋_GB2312"/>
          <w:color w:val="auto"/>
          <w:kern w:val="0"/>
          <w:sz w:val="32"/>
          <w:szCs w:val="32"/>
          <w:lang w:val="en" w:eastAsia="zh-CN" w:bidi="ar-SA"/>
        </w:rPr>
        <w:t>“</w:t>
      </w:r>
      <w:r>
        <w:rPr>
          <w:rFonts w:hint="eastAsia" w:ascii="仿宋_GB2312" w:hAnsi="仿宋_GB2312" w:eastAsia="仿宋_GB2312" w:cs="仿宋_GB2312"/>
          <w:color w:val="auto"/>
          <w:kern w:val="0"/>
          <w:sz w:val="32"/>
          <w:szCs w:val="32"/>
          <w:lang w:val="en-US" w:eastAsia="zh-CN" w:bidi="ar-SA"/>
        </w:rPr>
        <w:t>十五五</w:t>
      </w:r>
      <w:r>
        <w:rPr>
          <w:rFonts w:hint="default" w:ascii="仿宋_GB2312" w:hAnsi="仿宋_GB2312" w:eastAsia="仿宋_GB2312" w:cs="仿宋_GB2312"/>
          <w:color w:val="auto"/>
          <w:kern w:val="0"/>
          <w:sz w:val="32"/>
          <w:szCs w:val="32"/>
          <w:lang w:val="en" w:eastAsia="zh-CN" w:bidi="ar-SA"/>
        </w:rPr>
        <w:t>”</w:t>
      </w:r>
      <w:r>
        <w:rPr>
          <w:rFonts w:hint="eastAsia" w:ascii="仿宋_GB2312" w:hAnsi="仿宋_GB2312" w:eastAsia="仿宋_GB2312" w:cs="仿宋_GB2312"/>
          <w:color w:val="auto"/>
          <w:kern w:val="0"/>
          <w:sz w:val="32"/>
          <w:szCs w:val="32"/>
          <w:lang w:val="en-US" w:eastAsia="zh-CN" w:bidi="ar-SA"/>
        </w:rPr>
        <w:t>末，基本</w:t>
      </w:r>
      <w:r>
        <w:rPr>
          <w:rFonts w:hint="eastAsia" w:ascii="仿宋_GB2312" w:hAnsi="仿宋_GB2312" w:eastAsia="仿宋_GB2312" w:cs="仿宋_GB2312"/>
          <w:b w:val="0"/>
          <w:bCs w:val="0"/>
          <w:color w:val="auto"/>
          <w:kern w:val="0"/>
          <w:sz w:val="32"/>
          <w:szCs w:val="32"/>
          <w:lang w:val="en-US" w:eastAsia="zh-CN" w:bidi="ar-SA"/>
        </w:rPr>
        <w:t>形成</w:t>
      </w:r>
      <w:r>
        <w:rPr>
          <w:rFonts w:hint="default" w:ascii="仿宋_GB2312" w:hAnsi="仿宋_GB2312" w:eastAsia="仿宋_GB2312" w:cs="仿宋_GB2312"/>
          <w:color w:val="auto"/>
          <w:kern w:val="0"/>
          <w:sz w:val="32"/>
          <w:szCs w:val="32"/>
          <w:lang w:val="en" w:eastAsia="zh-CN" w:bidi="ar-SA"/>
        </w:rPr>
        <w:t>“</w:t>
      </w:r>
      <w:r>
        <w:rPr>
          <w:rFonts w:hint="eastAsia" w:ascii="仿宋_GB2312" w:hAnsi="仿宋_GB2312" w:eastAsia="仿宋_GB2312" w:cs="仿宋_GB2312"/>
          <w:color w:val="auto"/>
          <w:kern w:val="0"/>
          <w:sz w:val="32"/>
          <w:szCs w:val="32"/>
          <w:lang w:val="en-US" w:eastAsia="zh-CN" w:bidi="ar-SA"/>
        </w:rPr>
        <w:t>覆盖全产业链</w:t>
      </w:r>
      <w:r>
        <w:rPr>
          <w:rFonts w:hint="eastAsia" w:ascii="仿宋_GB2312" w:hAnsi="仿宋_GB2312" w:eastAsia="仿宋_GB2312" w:cs="仿宋_GB2312"/>
          <w:b w:val="0"/>
          <w:bCs w:val="0"/>
          <w:color w:val="auto"/>
          <w:kern w:val="0"/>
          <w:sz w:val="32"/>
          <w:szCs w:val="32"/>
          <w:lang w:val="en-US" w:eastAsia="zh-CN" w:bidi="ar-SA"/>
        </w:rPr>
        <w:t>、</w:t>
      </w:r>
      <w:r>
        <w:rPr>
          <w:rFonts w:hint="eastAsia" w:ascii="仿宋_GB2312" w:hAnsi="仿宋_GB2312" w:eastAsia="仿宋_GB2312" w:cs="仿宋_GB2312"/>
          <w:color w:val="auto"/>
          <w:kern w:val="0"/>
          <w:sz w:val="32"/>
          <w:szCs w:val="32"/>
          <w:lang w:val="en-US" w:eastAsia="zh-CN" w:bidi="ar-SA"/>
        </w:rPr>
        <w:t>协同高效、</w:t>
      </w:r>
      <w:r>
        <w:rPr>
          <w:rFonts w:hint="eastAsia" w:ascii="仿宋_GB2312" w:hAnsi="仿宋_GB2312" w:eastAsia="仿宋_GB2312" w:cs="仿宋_GB2312"/>
          <w:b w:val="0"/>
          <w:bCs w:val="0"/>
          <w:color w:val="auto"/>
          <w:kern w:val="0"/>
          <w:sz w:val="32"/>
          <w:szCs w:val="32"/>
          <w:lang w:val="en-US" w:eastAsia="zh-CN" w:bidi="ar-SA"/>
        </w:rPr>
        <w:t>支撑有力</w:t>
      </w:r>
      <w:r>
        <w:rPr>
          <w:rFonts w:hint="default" w:ascii="仿宋_GB2312" w:hAnsi="仿宋_GB2312" w:eastAsia="仿宋_GB2312" w:cs="仿宋_GB2312"/>
          <w:color w:val="auto"/>
          <w:kern w:val="0"/>
          <w:sz w:val="32"/>
          <w:szCs w:val="32"/>
          <w:lang w:val="en" w:eastAsia="zh-CN" w:bidi="ar-SA"/>
        </w:rPr>
        <w:t>”</w:t>
      </w:r>
      <w:r>
        <w:rPr>
          <w:rFonts w:hint="eastAsia" w:ascii="仿宋_GB2312" w:hAnsi="仿宋_GB2312" w:eastAsia="仿宋_GB2312" w:cs="仿宋_GB2312"/>
          <w:color w:val="auto"/>
          <w:kern w:val="0"/>
          <w:sz w:val="32"/>
          <w:szCs w:val="32"/>
          <w:lang w:val="en-US" w:eastAsia="zh-CN" w:bidi="ar-SA"/>
        </w:rPr>
        <w:t>的生产性服务体系，实现生产性服务业向专业化和价值链高端延伸，打造西部新能源产业服务高地和河西走廊生产性服务业枢纽。</w:t>
      </w:r>
    </w:p>
    <w:p>
      <w:pPr>
        <w:pStyle w:val="5"/>
        <w:keepNext/>
        <w:keepLines/>
        <w:pageBreakBefore w:val="0"/>
        <w:widowControl w:val="0"/>
        <w:kinsoku/>
        <w:wordWrap/>
        <w:overflowPunct/>
        <w:topLinePunct w:val="0"/>
        <w:autoSpaceDE/>
        <w:autoSpaceDN/>
        <w:bidi w:val="0"/>
        <w:adjustRightInd/>
        <w:snapToGrid/>
        <w:spacing w:before="0" w:after="0" w:line="574" w:lineRule="exact"/>
        <w:ind w:left="0" w:leftChars="0" w:firstLine="643"/>
        <w:textAlignment w:val="auto"/>
        <w:rPr>
          <w:rFonts w:hint="eastAsia" w:ascii="仿宋_GB2312" w:hAnsi="仿宋_GB2312" w:eastAsia="仿宋_GB2312" w:cs="仿宋_GB2312"/>
          <w:color w:val="auto"/>
          <w:lang w:val="en-US" w:eastAsia="zh-CN"/>
        </w:rPr>
      </w:pPr>
      <w:bookmarkStart w:id="123" w:name="_Toc1813"/>
      <w:bookmarkStart w:id="124" w:name="_Toc7731"/>
      <w:bookmarkStart w:id="125" w:name="_Toc1492567195"/>
      <w:bookmarkStart w:id="126" w:name="_Toc2051747322"/>
      <w:bookmarkStart w:id="127" w:name="_Toc1528738901"/>
      <w:bookmarkStart w:id="128" w:name="_Toc22541"/>
      <w:r>
        <w:rPr>
          <w:rFonts w:hint="eastAsia" w:ascii="仿宋_GB2312" w:hAnsi="仿宋_GB2312" w:eastAsia="仿宋_GB2312" w:cs="仿宋_GB2312"/>
          <w:color w:val="auto"/>
          <w:lang w:val="en-US" w:eastAsia="zh-CN"/>
        </w:rPr>
        <w:t>2.发展重点</w:t>
      </w:r>
      <w:bookmarkEnd w:id="123"/>
      <w:bookmarkEnd w:id="124"/>
      <w:bookmarkEnd w:id="125"/>
      <w:bookmarkEnd w:id="126"/>
      <w:bookmarkEnd w:id="127"/>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lang w:val="en-US" w:eastAsia="zh-CN"/>
        </w:rPr>
        <w:t>立足新能源及装备制造、现代化工等产业基础与国家陆港型物流枢纽区位优势，坚持应用牵引、创新驱动、融合发展，紧扣</w:t>
      </w:r>
      <w:r>
        <w:rPr>
          <w:rFonts w:hint="default" w:ascii="仿宋_GB2312" w:hAnsi="仿宋_GB2312" w:eastAsia="仿宋_GB2312" w:cs="仿宋_GB2312"/>
          <w:color w:val="auto"/>
          <w:lang w:val="en" w:eastAsia="zh-CN"/>
        </w:rPr>
        <w:t>“</w:t>
      </w:r>
      <w:r>
        <w:rPr>
          <w:rFonts w:hint="eastAsia" w:ascii="仿宋_GB2312" w:hAnsi="仿宋_GB2312" w:eastAsia="仿宋_GB2312" w:cs="仿宋_GB2312"/>
          <w:color w:val="auto"/>
          <w:lang w:val="en-US" w:eastAsia="zh-CN"/>
        </w:rPr>
        <w:t>服务先进制造业、赋能产业链升级、支撑区域经济高质量发展</w:t>
      </w:r>
      <w:r>
        <w:rPr>
          <w:rFonts w:hint="default" w:ascii="仿宋_GB2312" w:hAnsi="仿宋_GB2312" w:eastAsia="仿宋_GB2312" w:cs="仿宋_GB2312"/>
          <w:color w:val="auto"/>
          <w:lang w:val="en" w:eastAsia="zh-CN"/>
        </w:rPr>
        <w:t>”</w:t>
      </w:r>
      <w:r>
        <w:rPr>
          <w:rFonts w:hint="eastAsia" w:ascii="仿宋_GB2312" w:hAnsi="仿宋_GB2312" w:eastAsia="仿宋_GB2312" w:cs="仿宋_GB2312"/>
          <w:color w:val="auto"/>
          <w:lang w:val="en-US" w:eastAsia="zh-CN"/>
        </w:rPr>
        <w:t>主线，以</w:t>
      </w:r>
      <w:r>
        <w:rPr>
          <w:rFonts w:hint="default" w:ascii="仿宋_GB2312" w:hAnsi="仿宋_GB2312" w:eastAsia="仿宋_GB2312" w:cs="仿宋_GB2312"/>
          <w:color w:val="auto"/>
          <w:lang w:val="en" w:eastAsia="zh-CN"/>
        </w:rPr>
        <w:t>“</w:t>
      </w:r>
      <w:r>
        <w:rPr>
          <w:rFonts w:hint="eastAsia" w:ascii="仿宋_GB2312" w:hAnsi="仿宋_GB2312" w:eastAsia="仿宋_GB2312" w:cs="仿宋_GB2312"/>
          <w:color w:val="auto"/>
          <w:lang w:val="en-US" w:eastAsia="zh-CN"/>
        </w:rPr>
        <w:t>融合化、数字化、专业化、绿色化</w:t>
      </w:r>
      <w:r>
        <w:rPr>
          <w:rFonts w:hint="default" w:ascii="仿宋_GB2312" w:hAnsi="仿宋_GB2312" w:eastAsia="仿宋_GB2312" w:cs="仿宋_GB2312"/>
          <w:color w:val="auto"/>
          <w:lang w:val="en" w:eastAsia="zh-CN"/>
        </w:rPr>
        <w:t>”</w:t>
      </w:r>
      <w:r>
        <w:rPr>
          <w:rFonts w:hint="eastAsia" w:ascii="仿宋_GB2312" w:hAnsi="仿宋_GB2312" w:eastAsia="仿宋_GB2312" w:cs="仿宋_GB2312"/>
          <w:color w:val="auto"/>
          <w:lang w:val="en-US" w:eastAsia="zh-CN"/>
        </w:rPr>
        <w:t>为方向，加快服务业企业培育，推进服务业扩能提质，推动生产服务业与先进制造业深度融合。</w:t>
      </w:r>
      <w:bookmarkEnd w:id="128"/>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pPr>
              <w:pStyle w:val="9"/>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eastAsia" w:hAnsi="仿宋_GB2312" w:cs="仿宋_GB2312"/>
                <w:color w:val="auto"/>
                <w:vertAlign w:val="baseline"/>
                <w:lang w:eastAsia="zh-CN"/>
              </w:rPr>
            </w:pPr>
            <w:r>
              <w:rPr>
                <w:rFonts w:hint="eastAsia" w:ascii="黑体" w:hAnsi="黑体" w:eastAsia="黑体" w:cs="黑体"/>
                <w:color w:val="auto"/>
                <w:sz w:val="24"/>
                <w:szCs w:val="24"/>
                <w:vertAlign w:val="baseline"/>
                <w:lang w:eastAsia="zh-CN"/>
              </w:rPr>
              <w:t>专栏</w:t>
            </w:r>
            <w:r>
              <w:rPr>
                <w:rFonts w:hint="eastAsia" w:ascii="黑体" w:eastAsia="黑体" w:cs="黑体"/>
                <w:color w:val="auto"/>
                <w:sz w:val="24"/>
                <w:szCs w:val="24"/>
                <w:vertAlign w:val="baseline"/>
                <w:lang w:val="en-US" w:eastAsia="zh-CN"/>
              </w:rPr>
              <w:t>10</w:t>
            </w:r>
            <w:r>
              <w:rPr>
                <w:rFonts w:hint="eastAsia" w:ascii="黑体" w:hAnsi="黑体" w:eastAsia="黑体" w:cs="黑体"/>
                <w:color w:val="auto"/>
                <w:sz w:val="24"/>
                <w:szCs w:val="24"/>
                <w:vertAlign w:val="baseline"/>
                <w:lang w:eastAsia="zh-CN"/>
              </w:rPr>
              <w:t>：</w:t>
            </w:r>
            <w:r>
              <w:rPr>
                <w:rFonts w:hint="eastAsia" w:ascii="黑体" w:eastAsia="黑体" w:cs="黑体"/>
                <w:color w:val="auto"/>
                <w:sz w:val="24"/>
                <w:szCs w:val="24"/>
                <w:vertAlign w:val="baseline"/>
                <w:lang w:eastAsia="zh-CN"/>
              </w:rPr>
              <w:t>生产性服务业发展重点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noWrap w:val="0"/>
            <w:vAlign w:val="top"/>
          </w:tcPr>
          <w:p>
            <w:pPr>
              <w:keepNext w:val="0"/>
              <w:keepLines w:val="0"/>
              <w:pageBreakBefore w:val="0"/>
              <w:widowControl w:val="0"/>
              <w:kinsoku/>
              <w:wordWrap/>
              <w:overflowPunct/>
              <w:topLinePunct w:val="0"/>
              <w:autoSpaceDE/>
              <w:autoSpaceDN/>
              <w:bidi w:val="0"/>
              <w:adjustRightInd/>
              <w:snapToGrid/>
              <w:spacing w:line="360" w:lineRule="exact"/>
              <w:ind w:left="0" w:leftChars="0" w:firstLine="640"/>
              <w:textAlignment w:val="auto"/>
              <w:rPr>
                <w:rFonts w:hint="eastAsia" w:ascii="仿宋_GB2312" w:hAnsi="仿宋_GB2312" w:eastAsia="仿宋_GB2312" w:cs="仿宋_GB2312"/>
                <w:color w:val="auto"/>
                <w:kern w:val="0"/>
                <w:sz w:val="22"/>
                <w:szCs w:val="22"/>
                <w:lang w:val="en-US" w:eastAsia="zh-CN" w:bidi="ar-SA"/>
              </w:rPr>
            </w:pPr>
            <w:r>
              <w:rPr>
                <w:rFonts w:hint="eastAsia" w:ascii="仿宋_GB2312" w:hAnsi="仿宋_GB2312" w:eastAsia="仿宋_GB2312" w:cs="仿宋_GB2312"/>
                <w:b/>
                <w:bCs/>
                <w:color w:val="auto"/>
                <w:sz w:val="22"/>
                <w:szCs w:val="22"/>
                <w:lang w:eastAsia="zh-CN"/>
              </w:rPr>
              <w:t>科技转化服务：</w:t>
            </w:r>
            <w:r>
              <w:rPr>
                <w:rFonts w:hint="eastAsia" w:ascii="仿宋_GB2312" w:hAnsi="仿宋_GB2312" w:eastAsia="仿宋_GB2312" w:cs="仿宋_GB2312"/>
                <w:color w:val="auto"/>
                <w:sz w:val="22"/>
                <w:szCs w:val="22"/>
              </w:rPr>
              <w:t>建设科技成果转化线上平台，提供技术交易、专利导航、中试熟化等服务</w:t>
            </w: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kern w:val="0"/>
                <w:sz w:val="22"/>
                <w:szCs w:val="22"/>
                <w:lang w:val="en-US" w:eastAsia="zh-CN" w:bidi="ar-SA"/>
              </w:rPr>
              <w:t>发展面向优势领域的智能设计、绿色设计、协同设计和产品设计服务。鼓励企业加大研发投入，建设工业设计中心和创新平台，发展数字化工业研发设计、智能制造整体方案设计，提升产品附加值和产业核心竞争力。</w:t>
            </w:r>
          </w:p>
          <w:p>
            <w:pPr>
              <w:keepNext w:val="0"/>
              <w:keepLines w:val="0"/>
              <w:pageBreakBefore w:val="0"/>
              <w:widowControl w:val="0"/>
              <w:suppressLineNumbers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2"/>
                <w:szCs w:val="22"/>
              </w:rPr>
            </w:pPr>
            <w:r>
              <w:rPr>
                <w:rFonts w:hint="eastAsia" w:ascii="仿宋_GB2312" w:hAnsi="仿宋_GB2312" w:eastAsia="仿宋_GB2312" w:cs="仿宋_GB2312"/>
                <w:b/>
                <w:bCs/>
                <w:color w:val="auto"/>
                <w:kern w:val="0"/>
                <w:sz w:val="22"/>
                <w:szCs w:val="22"/>
              </w:rPr>
              <w:t>智慧物流服务</w:t>
            </w:r>
            <w:r>
              <w:rPr>
                <w:rFonts w:hint="eastAsia" w:ascii="仿宋_GB2312" w:hAnsi="仿宋_GB2312" w:eastAsia="仿宋_GB2312" w:cs="仿宋_GB2312"/>
                <w:b/>
                <w:bCs/>
                <w:color w:val="auto"/>
                <w:kern w:val="0"/>
                <w:sz w:val="22"/>
                <w:szCs w:val="22"/>
                <w:lang w:eastAsia="zh-CN"/>
              </w:rPr>
              <w:t>：</w:t>
            </w:r>
            <w:r>
              <w:rPr>
                <w:rFonts w:hint="eastAsia" w:ascii="仿宋_GB2312" w:hAnsi="仿宋_GB2312" w:eastAsia="仿宋_GB2312" w:cs="仿宋_GB2312"/>
                <w:color w:val="auto"/>
                <w:sz w:val="22"/>
                <w:szCs w:val="22"/>
                <w:lang w:val="en-US" w:eastAsia="zh-CN"/>
              </w:rPr>
              <w:t>高水平建设酒泉陆港型国家物流枢纽，</w:t>
            </w:r>
            <w:r>
              <w:rPr>
                <w:rFonts w:hint="eastAsia" w:ascii="仿宋_GB2312" w:hAnsi="仿宋_GB2312" w:eastAsia="仿宋_GB2312" w:cs="仿宋_GB2312"/>
                <w:color w:val="auto"/>
                <w:sz w:val="22"/>
                <w:szCs w:val="22"/>
              </w:rPr>
              <w:t>加快完善多式联运网络，建设智能化调度中心升级物流枢纽功能，提升公铁空一体化运力智能匹配水平</w:t>
            </w: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rPr>
              <w:t>围绕煤炭、矿产、重型装备等，发展多品类仓储、综合物流服务，拓展中亚专列、中欧班列等国际物流通道，提升国际货运竞争力。</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641"/>
              <w:textAlignment w:val="auto"/>
              <w:rPr>
                <w:rFonts w:hint="eastAsia" w:ascii="仿宋_GB2312" w:hAnsi="仿宋_GB2312" w:eastAsia="仿宋_GB2312" w:cs="仿宋_GB2312"/>
                <w:color w:val="auto"/>
                <w:kern w:val="2"/>
                <w:sz w:val="22"/>
                <w:szCs w:val="22"/>
                <w:lang w:val="en-US" w:eastAsia="zh-CN" w:bidi="ar-SA"/>
              </w:rPr>
            </w:pPr>
            <w:r>
              <w:rPr>
                <w:rFonts w:hint="eastAsia" w:ascii="仿宋_GB2312" w:hAnsi="仿宋_GB2312" w:eastAsia="仿宋_GB2312" w:cs="仿宋_GB2312"/>
                <w:b/>
                <w:bCs/>
                <w:color w:val="auto"/>
                <w:sz w:val="22"/>
                <w:szCs w:val="22"/>
              </w:rPr>
              <w:t>检验检测服务</w:t>
            </w:r>
            <w:r>
              <w:rPr>
                <w:rFonts w:hint="eastAsia" w:ascii="仿宋_GB2312" w:hAnsi="仿宋_GB2312" w:eastAsia="仿宋_GB2312" w:cs="仿宋_GB2312"/>
                <w:b/>
                <w:bCs/>
                <w:color w:val="auto"/>
                <w:sz w:val="22"/>
                <w:szCs w:val="22"/>
                <w:lang w:eastAsia="zh-CN"/>
              </w:rPr>
              <w:t>：</w:t>
            </w:r>
            <w:r>
              <w:rPr>
                <w:rFonts w:hint="eastAsia" w:ascii="仿宋_GB2312" w:hAnsi="仿宋_GB2312" w:eastAsia="仿宋_GB2312" w:cs="仿宋_GB2312"/>
                <w:color w:val="auto"/>
                <w:sz w:val="22"/>
                <w:szCs w:val="22"/>
              </w:rPr>
              <w:t>依托现有产业聚集，建设西北新能源材料检测基地，发展新能源装备检验检测服务；面向现代化工产业，</w:t>
            </w:r>
            <w:r>
              <w:rPr>
                <w:rFonts w:hint="eastAsia" w:ascii="仿宋_GB2312" w:hAnsi="仿宋_GB2312" w:eastAsia="仿宋_GB2312" w:cs="仿宋_GB2312"/>
                <w:color w:val="auto"/>
                <w:kern w:val="2"/>
                <w:sz w:val="22"/>
                <w:szCs w:val="22"/>
                <w:lang w:val="en-US" w:eastAsia="zh-CN" w:bidi="ar-SA"/>
              </w:rPr>
              <w:t>发展化工工艺安全评估、在线安全检验监测等服务；依托种机、种业产业基础，建设种子基因检测实验室，发展农产品溯源与质量认证、质检服务。</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641"/>
              <w:textAlignment w:val="auto"/>
              <w:rPr>
                <w:rFonts w:hint="eastAsia" w:ascii="仿宋_GB2312" w:hAnsi="仿宋_GB2312" w:eastAsia="仿宋_GB2312" w:cs="仿宋_GB2312"/>
                <w:color w:val="auto"/>
                <w:kern w:val="2"/>
                <w:sz w:val="22"/>
                <w:szCs w:val="22"/>
                <w:lang w:val="en-US" w:eastAsia="zh-CN" w:bidi="ar-SA"/>
              </w:rPr>
            </w:pPr>
            <w:r>
              <w:rPr>
                <w:rFonts w:hint="eastAsia" w:ascii="仿宋_GB2312" w:hAnsi="仿宋_GB2312" w:eastAsia="仿宋_GB2312" w:cs="仿宋_GB2312"/>
                <w:b/>
                <w:bCs/>
                <w:color w:val="auto"/>
                <w:kern w:val="2"/>
                <w:sz w:val="22"/>
                <w:szCs w:val="22"/>
                <w:lang w:val="en-US" w:eastAsia="zh-CN" w:bidi="ar-SA"/>
              </w:rPr>
              <w:t>信息技术服务</w:t>
            </w:r>
            <w:r>
              <w:rPr>
                <w:rFonts w:hint="eastAsia" w:ascii="仿宋_GB2312" w:hAnsi="仿宋_GB2312" w:eastAsia="仿宋_GB2312" w:cs="仿宋_GB2312"/>
                <w:color w:val="auto"/>
                <w:kern w:val="2"/>
                <w:sz w:val="22"/>
                <w:szCs w:val="22"/>
                <w:lang w:val="en-US" w:eastAsia="zh-CN" w:bidi="ar-SA"/>
              </w:rPr>
              <w:t>：培育发展工业软件和工业数字化、智能化服务，加快工业互联网和标识解析平台推广应用，推动制造业‘智改数转网联’‘上云用数赋智’；培育系统集成与信息安全服务商，提升工业控制系统安全、网络安全、数据安全水平，构建信息技术与制造业深度融合的现代服务体系。</w:t>
            </w:r>
          </w:p>
          <w:p>
            <w:pPr>
              <w:pStyle w:val="9"/>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b/>
                <w:bCs/>
                <w:color w:val="auto"/>
                <w:sz w:val="22"/>
                <w:szCs w:val="22"/>
              </w:rPr>
            </w:pPr>
            <w:r>
              <w:rPr>
                <w:rFonts w:hint="eastAsia" w:ascii="仿宋_GB2312" w:hAnsi="仿宋_GB2312" w:eastAsia="仿宋_GB2312" w:cs="仿宋_GB2312"/>
                <w:b/>
                <w:bCs/>
                <w:color w:val="auto"/>
                <w:sz w:val="22"/>
                <w:szCs w:val="22"/>
              </w:rPr>
              <w:t>低空经济服务</w:t>
            </w:r>
            <w:r>
              <w:rPr>
                <w:rFonts w:hint="eastAsia" w:hAnsi="仿宋_GB2312" w:cs="仿宋_GB2312"/>
                <w:b/>
                <w:bCs/>
                <w:color w:val="auto"/>
                <w:sz w:val="22"/>
                <w:szCs w:val="22"/>
                <w:lang w:eastAsia="zh-CN"/>
              </w:rPr>
              <w:t>：</w:t>
            </w:r>
            <w:r>
              <w:rPr>
                <w:rFonts w:hint="eastAsia" w:ascii="仿宋_GB2312" w:hAnsi="仿宋_GB2312" w:eastAsia="仿宋_GB2312" w:cs="仿宋_GB2312"/>
                <w:color w:val="auto"/>
                <w:sz w:val="22"/>
                <w:szCs w:val="22"/>
              </w:rPr>
              <w:t>面向能源设施、矿山等工业场景</w:t>
            </w: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rPr>
              <w:t>发展物流无人机与巡检服务</w:t>
            </w: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rPr>
              <w:t>开展矿区无人机地质勘测、安全巡查等专业服务</w:t>
            </w: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rPr>
              <w:t>依托敦煌国际空港，提升工业应急物资储备和无人机物资投送能力，形成面向西北市场的低空经济应用服务市场。</w:t>
            </w:r>
          </w:p>
        </w:tc>
      </w:tr>
    </w:tbl>
    <w:p>
      <w:pPr>
        <w:rPr>
          <w:rFonts w:ascii="Times New Roman" w:hAnsi="Times New Roman" w:eastAsia="黑体"/>
          <w:b w:val="0"/>
          <w:bCs w:val="0"/>
          <w:color w:val="auto"/>
          <w:sz w:val="36"/>
          <w:szCs w:val="36"/>
        </w:rPr>
      </w:pPr>
      <w:r>
        <w:rPr>
          <w:rFonts w:ascii="Times New Roman" w:hAnsi="Times New Roman" w:eastAsia="黑体"/>
          <w:b w:val="0"/>
          <w:bCs w:val="0"/>
          <w:color w:val="auto"/>
          <w:sz w:val="36"/>
          <w:szCs w:val="36"/>
        </w:rPr>
        <w:br w:type="page"/>
      </w:r>
    </w:p>
    <w:p>
      <w:pPr>
        <w:pStyle w:val="3"/>
        <w:keepLines w:val="0"/>
        <w:pageBreakBefore w:val="0"/>
        <w:kinsoku/>
        <w:wordWrap/>
        <w:overflowPunct/>
        <w:topLinePunct w:val="0"/>
        <w:bidi w:val="0"/>
        <w:spacing w:before="0" w:beforeAutospacing="0" w:after="0" w:afterAutospacing="0" w:line="560" w:lineRule="exact"/>
        <w:ind w:firstLine="0" w:firstLineChars="0"/>
        <w:jc w:val="center"/>
        <w:textAlignment w:val="auto"/>
        <w:rPr>
          <w:rFonts w:hint="default" w:ascii="Times New Roman" w:hAnsi="Times New Roman" w:eastAsia="黑体"/>
          <w:b w:val="0"/>
          <w:bCs w:val="0"/>
          <w:color w:val="auto"/>
          <w:sz w:val="36"/>
          <w:szCs w:val="36"/>
        </w:rPr>
      </w:pPr>
      <w:bookmarkStart w:id="129" w:name="_Toc983179517"/>
      <w:r>
        <w:rPr>
          <w:rFonts w:ascii="Times New Roman" w:hAnsi="Times New Roman" w:eastAsia="黑体"/>
          <w:b w:val="0"/>
          <w:bCs w:val="0"/>
          <w:color w:val="auto"/>
          <w:sz w:val="36"/>
          <w:szCs w:val="36"/>
        </w:rPr>
        <w:t>第五章 发展策略</w:t>
      </w:r>
      <w:bookmarkEnd w:id="106"/>
      <w:bookmarkEnd w:id="129"/>
    </w:p>
    <w:p>
      <w:pPr>
        <w:keepLines w:val="0"/>
        <w:pageBreakBefore w:val="0"/>
        <w:kinsoku/>
        <w:wordWrap/>
        <w:overflowPunct/>
        <w:topLinePunct w:val="0"/>
        <w:bidi w:val="0"/>
        <w:spacing w:line="560" w:lineRule="exact"/>
        <w:ind w:firstLine="640"/>
        <w:textAlignment w:val="auto"/>
        <w:rPr>
          <w:color w:val="auto"/>
        </w:rPr>
      </w:pPr>
    </w:p>
    <w:p>
      <w:pPr>
        <w:pStyle w:val="19"/>
        <w:keepLines w:val="0"/>
        <w:pageBreakBefore w:val="0"/>
        <w:kinsoku/>
        <w:wordWrap/>
        <w:overflowPunct/>
        <w:topLinePunct w:val="0"/>
        <w:bidi w:val="0"/>
        <w:snapToGrid w:val="0"/>
        <w:spacing w:line="560" w:lineRule="exact"/>
        <w:ind w:firstLine="640" w:firstLineChars="200"/>
        <w:textAlignment w:val="auto"/>
        <w:rPr>
          <w:rFonts w:ascii="楷体_GB2312" w:hAnsi="楷体_GB2312" w:eastAsia="仿宋_GB2312" w:cs="楷体_GB2312"/>
          <w:b/>
          <w:color w:val="auto"/>
        </w:rPr>
      </w:pPr>
      <w:r>
        <w:rPr>
          <w:rFonts w:hint="eastAsia" w:ascii="仿宋_GB2312" w:eastAsia="仿宋_GB2312" w:cs="仿宋_GB2312"/>
          <w:color w:val="auto"/>
          <w:szCs w:val="32"/>
          <w:lang w:bidi="ar"/>
        </w:rPr>
        <w:t>锚定</w:t>
      </w:r>
      <w:r>
        <w:rPr>
          <w:rFonts w:hint="default" w:ascii="仿宋_GB2312" w:eastAsia="仿宋_GB2312" w:cs="仿宋_GB2312"/>
          <w:color w:val="auto"/>
          <w:szCs w:val="32"/>
          <w:lang w:val="en" w:bidi="ar"/>
        </w:rPr>
        <w:t>“</w:t>
      </w:r>
      <w:r>
        <w:rPr>
          <w:rFonts w:hint="eastAsia" w:ascii="仿宋_GB2312" w:eastAsia="仿宋_GB2312" w:cs="仿宋_GB2312"/>
          <w:color w:val="auto"/>
          <w:szCs w:val="32"/>
          <w:lang w:val="en-US" w:eastAsia="zh-CN" w:bidi="ar"/>
        </w:rPr>
        <w:t>1324</w:t>
      </w:r>
      <w:r>
        <w:rPr>
          <w:rFonts w:hint="default" w:ascii="仿宋_GB2312" w:eastAsia="仿宋_GB2312" w:cs="仿宋_GB2312"/>
          <w:color w:val="auto"/>
          <w:szCs w:val="32"/>
          <w:lang w:val="en" w:bidi="ar"/>
        </w:rPr>
        <w:t>”</w:t>
      </w:r>
      <w:r>
        <w:rPr>
          <w:rFonts w:hint="eastAsia" w:ascii="仿宋_GB2312" w:eastAsia="仿宋_GB2312" w:cs="仿宋_GB2312"/>
          <w:color w:val="auto"/>
          <w:szCs w:val="32"/>
          <w:lang w:bidi="ar"/>
        </w:rPr>
        <w:t>现代化产业体系，坚持智能化、绿色化、融合化方向，紧扣</w:t>
      </w:r>
      <w:r>
        <w:rPr>
          <w:rFonts w:hint="default" w:ascii="仿宋_GB2312" w:eastAsia="仿宋_GB2312" w:cs="仿宋_GB2312"/>
          <w:color w:val="auto"/>
          <w:szCs w:val="32"/>
          <w:lang w:val="en" w:bidi="ar"/>
        </w:rPr>
        <w:t>“</w:t>
      </w:r>
      <w:r>
        <w:rPr>
          <w:rFonts w:hint="eastAsia" w:ascii="仿宋_GB2312" w:eastAsia="仿宋_GB2312" w:cs="仿宋_GB2312"/>
          <w:color w:val="auto"/>
          <w:szCs w:val="32"/>
          <w:lang w:bidi="ar"/>
        </w:rPr>
        <w:t>放大优势、拓存创增</w:t>
      </w:r>
      <w:r>
        <w:rPr>
          <w:rFonts w:hint="default" w:ascii="仿宋_GB2312" w:eastAsia="仿宋_GB2312" w:cs="仿宋_GB2312"/>
          <w:color w:val="auto"/>
          <w:szCs w:val="32"/>
          <w:lang w:val="en" w:bidi="ar"/>
        </w:rPr>
        <w:t>”</w:t>
      </w:r>
      <w:r>
        <w:rPr>
          <w:rFonts w:hint="eastAsia" w:ascii="仿宋_GB2312" w:eastAsia="仿宋_GB2312" w:cs="仿宋_GB2312"/>
          <w:color w:val="auto"/>
          <w:szCs w:val="32"/>
          <w:lang w:bidi="ar"/>
        </w:rPr>
        <w:t>工作思路，深耕</w:t>
      </w:r>
      <w:r>
        <w:rPr>
          <w:rFonts w:hint="default" w:ascii="仿宋_GB2312" w:eastAsia="仿宋_GB2312" w:cs="仿宋_GB2312"/>
          <w:color w:val="auto"/>
          <w:szCs w:val="32"/>
          <w:lang w:val="en" w:bidi="ar"/>
        </w:rPr>
        <w:t>“</w:t>
      </w:r>
      <w:r>
        <w:rPr>
          <w:rFonts w:hint="eastAsia" w:ascii="仿宋_GB2312" w:eastAsia="仿宋_GB2312" w:cs="仿宋_GB2312"/>
          <w:color w:val="auto"/>
          <w:szCs w:val="32"/>
          <w:lang w:bidi="ar"/>
        </w:rPr>
        <w:t>五量文章</w:t>
      </w:r>
      <w:r>
        <w:rPr>
          <w:rFonts w:hint="default" w:ascii="仿宋_GB2312" w:eastAsia="仿宋_GB2312" w:cs="仿宋_GB2312"/>
          <w:color w:val="auto"/>
          <w:szCs w:val="32"/>
          <w:lang w:val="en" w:bidi="ar"/>
        </w:rPr>
        <w:t>”</w:t>
      </w:r>
      <w:r>
        <w:rPr>
          <w:rFonts w:hint="eastAsia" w:ascii="仿宋_GB2312" w:eastAsia="仿宋_GB2312" w:cs="仿宋_GB2312"/>
          <w:color w:val="auto"/>
          <w:szCs w:val="32"/>
          <w:lang w:bidi="ar"/>
        </w:rPr>
        <w:t>，聚力实施</w:t>
      </w:r>
      <w:r>
        <w:rPr>
          <w:rFonts w:hint="eastAsia" w:ascii="仿宋_GB2312" w:eastAsia="仿宋_GB2312" w:cs="仿宋_GB2312"/>
          <w:color w:val="auto"/>
          <w:szCs w:val="32"/>
          <w:lang w:eastAsia="zh-CN" w:bidi="ar"/>
        </w:rPr>
        <w:t>九</w:t>
      </w:r>
      <w:r>
        <w:rPr>
          <w:rFonts w:hint="eastAsia" w:ascii="仿宋_GB2312" w:eastAsia="仿宋_GB2312" w:cs="仿宋_GB2312"/>
          <w:color w:val="auto"/>
          <w:szCs w:val="32"/>
          <w:lang w:bidi="ar"/>
        </w:rPr>
        <w:t>大重点工程，夯实工业支柱支撑作用，为建设区域中心城市奠定坚实产业基础</w:t>
      </w:r>
      <w:r>
        <w:rPr>
          <w:rFonts w:hint="eastAsia" w:ascii="仿宋_GB2312" w:eastAsia="仿宋_GB2312" w:cs="仿宋_GB2312"/>
          <w:color w:val="auto"/>
          <w:szCs w:val="32"/>
        </w:rPr>
        <w:t>。</w:t>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130" w:name="_Toc32244"/>
      <w:bookmarkStart w:id="131" w:name="_Toc14099032"/>
      <w:bookmarkStart w:id="132" w:name="_Toc1573536382"/>
      <w:bookmarkStart w:id="133" w:name="_Toc724159665_WPSOffice_Level2"/>
      <w:bookmarkStart w:id="134" w:name="_Toc1130867642"/>
      <w:r>
        <w:rPr>
          <w:rFonts w:hint="eastAsia" w:ascii="楷体_GB2312" w:hAnsi="楷体_GB2312" w:eastAsia="楷体_GB2312" w:cs="楷体_GB2312"/>
          <w:color w:val="auto"/>
        </w:rPr>
        <w:t>一、筑基强链育集群</w:t>
      </w:r>
      <w:r>
        <w:rPr>
          <w:rFonts w:ascii="楷体_GB2312" w:hAnsi="楷体_GB2312" w:eastAsia="楷体_GB2312" w:cs="楷体_GB2312"/>
          <w:color w:val="auto"/>
        </w:rPr>
        <w:t>工程</w:t>
      </w:r>
      <w:bookmarkEnd w:id="130"/>
      <w:bookmarkEnd w:id="131"/>
      <w:bookmarkEnd w:id="132"/>
      <w:bookmarkEnd w:id="133"/>
      <w:bookmarkEnd w:id="134"/>
    </w:p>
    <w:p>
      <w:pPr>
        <w:pStyle w:val="9"/>
        <w:keepLines w:val="0"/>
        <w:pageBreakBefore w:val="0"/>
        <w:kinsoku/>
        <w:wordWrap/>
        <w:overflowPunct/>
        <w:topLinePunct w:val="0"/>
        <w:bidi w:val="0"/>
        <w:spacing w:line="560" w:lineRule="exact"/>
        <w:ind w:firstLine="643"/>
        <w:textAlignment w:val="auto"/>
        <w:rPr>
          <w:rFonts w:hAnsi="仿宋_GB2312" w:cs="仿宋_GB2312"/>
          <w:b/>
          <w:bCs/>
          <w:color w:val="auto"/>
          <w:shd w:val="clear" w:color="auto" w:fill="FFFFFF"/>
        </w:rPr>
      </w:pPr>
      <w:bookmarkStart w:id="135" w:name="_Toc23076"/>
      <w:r>
        <w:rPr>
          <w:rFonts w:hint="eastAsia" w:hAnsi="仿宋_GB2312" w:cs="仿宋_GB2312"/>
          <w:b/>
          <w:bCs/>
          <w:color w:val="auto"/>
          <w:shd w:val="clear" w:color="auto" w:fill="FFFFFF"/>
        </w:rPr>
        <w:t>强化规上企业培育。</w:t>
      </w:r>
      <w:r>
        <w:rPr>
          <w:rFonts w:hint="eastAsia" w:hAnsi="仿宋_GB2312" w:cs="仿宋_GB2312"/>
          <w:color w:val="auto"/>
          <w:shd w:val="clear" w:color="auto" w:fill="FFFFFF"/>
        </w:rPr>
        <w:t>健全规上工业企业动态培育库，落实市级领导包抓、部门协同推进机制，精准破解企业用地、融资、用工等发展难题。全程跟踪新建项目建设投产、入规纳统全过程，常态化开展统计财税业务培训，规范企业申报流程和数据填报，持续提升企业升规入库成功率，稳步壮大工业经济体量。</w:t>
      </w:r>
    </w:p>
    <w:p>
      <w:pPr>
        <w:pStyle w:val="9"/>
        <w:keepLines w:val="0"/>
        <w:pageBreakBefore w:val="0"/>
        <w:kinsoku/>
        <w:wordWrap/>
        <w:overflowPunct/>
        <w:topLinePunct w:val="0"/>
        <w:bidi w:val="0"/>
        <w:spacing w:line="560" w:lineRule="exact"/>
        <w:ind w:firstLine="643"/>
        <w:textAlignment w:val="auto"/>
        <w:rPr>
          <w:rFonts w:hAnsi="仿宋_GB2312" w:cs="仿宋_GB2312"/>
          <w:b/>
          <w:bCs/>
          <w:color w:val="auto"/>
          <w:shd w:val="clear" w:color="auto" w:fill="FFFFFF"/>
        </w:rPr>
      </w:pPr>
      <w:r>
        <w:rPr>
          <w:rFonts w:hint="eastAsia" w:hAnsi="仿宋_GB2312" w:cs="仿宋_GB2312"/>
          <w:b/>
          <w:bCs/>
          <w:color w:val="auto"/>
          <w:shd w:val="clear" w:color="auto" w:fill="FFFFFF"/>
        </w:rPr>
        <w:t>提升产业链供应链现代化水平。</w:t>
      </w:r>
      <w:r>
        <w:rPr>
          <w:rFonts w:hint="eastAsia" w:hAnsi="仿宋_GB2312" w:cs="仿宋_GB2312"/>
          <w:color w:val="auto"/>
          <w:shd w:val="clear" w:color="auto" w:fill="FFFFFF"/>
        </w:rPr>
        <w:t>深化酒嘉一体化发展，联动张掖、哈密等毗邻城市开展产业协同，摸排产业链缺链断链环节，精准编制补链招商目录。依托链长制靶向引进龙头企业和优质项目，培育本土链主企业，稳固核心产能与产业链关键环节。统筹市域产业协同，联动县域特色产业提质升级，全面提升产业链供应链稳定性和现代化水平。</w:t>
      </w:r>
    </w:p>
    <w:p>
      <w:pPr>
        <w:pStyle w:val="9"/>
        <w:keepLines w:val="0"/>
        <w:pageBreakBefore w:val="0"/>
        <w:kinsoku/>
        <w:wordWrap/>
        <w:overflowPunct/>
        <w:topLinePunct w:val="0"/>
        <w:bidi w:val="0"/>
        <w:spacing w:line="560" w:lineRule="exact"/>
        <w:ind w:firstLine="643"/>
        <w:textAlignment w:val="auto"/>
        <w:rPr>
          <w:rFonts w:hAnsi="仿宋_GB2312" w:cs="仿宋_GB2312"/>
          <w:color w:val="auto"/>
          <w:shd w:val="clear" w:color="auto" w:fill="FFFFFF"/>
        </w:rPr>
      </w:pPr>
      <w:r>
        <w:rPr>
          <w:rFonts w:hint="eastAsia" w:hAnsi="仿宋_GB2312" w:cs="仿宋_GB2312"/>
          <w:b/>
          <w:bCs/>
          <w:color w:val="auto"/>
          <w:shd w:val="clear" w:color="auto" w:fill="FFFFFF"/>
        </w:rPr>
        <w:t>打造</w:t>
      </w:r>
      <w:r>
        <w:rPr>
          <w:rFonts w:hint="default" w:hAnsi="仿宋_GB2312" w:cs="仿宋_GB2312"/>
          <w:b/>
          <w:bCs/>
          <w:color w:val="auto"/>
          <w:shd w:val="clear" w:color="auto" w:fill="FFFFFF"/>
          <w:lang w:val="en"/>
        </w:rPr>
        <w:t>“</w:t>
      </w:r>
      <w:r>
        <w:rPr>
          <w:rFonts w:hint="eastAsia" w:hAnsi="仿宋_GB2312" w:cs="仿宋_GB2312"/>
          <w:b/>
          <w:bCs/>
          <w:color w:val="auto"/>
          <w:shd w:val="clear" w:color="auto" w:fill="FFFFFF"/>
        </w:rPr>
        <w:t>千百亿级</w:t>
      </w:r>
      <w:r>
        <w:rPr>
          <w:rFonts w:hint="default" w:hAnsi="仿宋_GB2312" w:cs="仿宋_GB2312"/>
          <w:b/>
          <w:bCs/>
          <w:color w:val="auto"/>
          <w:shd w:val="clear" w:color="auto" w:fill="FFFFFF"/>
          <w:lang w:val="en"/>
        </w:rPr>
        <w:t>”</w:t>
      </w:r>
      <w:r>
        <w:rPr>
          <w:rFonts w:hint="eastAsia" w:hAnsi="仿宋_GB2312" w:cs="仿宋_GB2312"/>
          <w:b/>
          <w:bCs/>
          <w:color w:val="auto"/>
          <w:shd w:val="clear" w:color="auto" w:fill="FFFFFF"/>
        </w:rPr>
        <w:t>产业集群梯队。</w:t>
      </w:r>
      <w:r>
        <w:rPr>
          <w:rFonts w:hint="eastAsia" w:hAnsi="仿宋_GB2312" w:cs="仿宋_GB2312"/>
          <w:color w:val="auto"/>
          <w:shd w:val="clear" w:color="auto" w:fill="FFFFFF"/>
        </w:rPr>
        <w:t>对标国际国内先进水平，聚焦优势主导产业，培育高能级产业集群。推进新能源及新能源装备制造集群扩能升级、强基增效，全力打造超千亿级产业集群。聚焦硅氟新材料、绿氢化工、矿产品精深加工等重点领域，提质壮大化工、新材料、矿产加工等百亿级产业集群，构建梯度清晰、优势互补的</w:t>
      </w:r>
      <w:r>
        <w:rPr>
          <w:rFonts w:hint="default" w:hAnsi="仿宋_GB2312" w:cs="仿宋_GB2312"/>
          <w:color w:val="auto"/>
          <w:shd w:val="clear" w:color="auto" w:fill="FFFFFF"/>
          <w:lang w:val="en"/>
        </w:rPr>
        <w:t>“</w:t>
      </w:r>
      <w:r>
        <w:rPr>
          <w:rFonts w:hint="eastAsia" w:hAnsi="仿宋_GB2312" w:cs="仿宋_GB2312"/>
          <w:color w:val="auto"/>
          <w:shd w:val="clear" w:color="auto" w:fill="FFFFFF"/>
        </w:rPr>
        <w:t>千百亿级</w:t>
      </w:r>
      <w:r>
        <w:rPr>
          <w:rFonts w:hint="default" w:hAnsi="仿宋_GB2312" w:cs="仿宋_GB2312"/>
          <w:color w:val="auto"/>
          <w:shd w:val="clear" w:color="auto" w:fill="FFFFFF"/>
          <w:lang w:val="en"/>
        </w:rPr>
        <w:t>”</w:t>
      </w:r>
      <w:r>
        <w:rPr>
          <w:rFonts w:hint="eastAsia" w:hAnsi="仿宋_GB2312" w:cs="仿宋_GB2312"/>
          <w:color w:val="auto"/>
          <w:shd w:val="clear" w:color="auto" w:fill="FFFFFF"/>
        </w:rPr>
        <w:t>产业集群发展梯队。</w:t>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136" w:name="_Toc313702069"/>
      <w:bookmarkStart w:id="137" w:name="_Toc185608034"/>
      <w:bookmarkStart w:id="138" w:name="_Toc1216193213"/>
      <w:bookmarkStart w:id="139" w:name="_Toc1675913309_WPSOffice_Level2"/>
      <w:r>
        <w:rPr>
          <w:rFonts w:hint="eastAsia" w:ascii="楷体_GB2312" w:hAnsi="楷体_GB2312" w:eastAsia="楷体_GB2312" w:cs="楷体_GB2312"/>
          <w:color w:val="auto"/>
        </w:rPr>
        <w:t>二</w:t>
      </w:r>
      <w:r>
        <w:rPr>
          <w:rFonts w:ascii="楷体_GB2312" w:hAnsi="楷体_GB2312" w:eastAsia="楷体_GB2312" w:cs="楷体_GB2312"/>
          <w:color w:val="auto"/>
        </w:rPr>
        <w:t>、</w:t>
      </w:r>
      <w:r>
        <w:rPr>
          <w:rFonts w:hint="eastAsia" w:ascii="楷体_GB2312" w:hAnsi="楷体_GB2312" w:eastAsia="楷体_GB2312" w:cs="楷体_GB2312"/>
          <w:color w:val="auto"/>
        </w:rPr>
        <w:t>狠抓项目扩体量工程</w:t>
      </w:r>
      <w:bookmarkEnd w:id="136"/>
      <w:bookmarkEnd w:id="137"/>
      <w:bookmarkEnd w:id="138"/>
      <w:bookmarkEnd w:id="139"/>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color w:val="auto"/>
          <w:szCs w:val="32"/>
        </w:rPr>
      </w:pPr>
      <w:r>
        <w:rPr>
          <w:rFonts w:hint="eastAsia" w:ascii="仿宋_GB2312" w:hAnsi="仿宋_GB2312" w:eastAsia="仿宋_GB2312" w:cs="仿宋_GB2312"/>
          <w:b/>
          <w:bCs/>
          <w:color w:val="auto"/>
          <w:szCs w:val="32"/>
        </w:rPr>
        <w:t>强化项目谋划储备。</w:t>
      </w:r>
      <w:r>
        <w:rPr>
          <w:rFonts w:hint="eastAsia" w:ascii="仿宋_GB2312" w:hAnsi="仿宋_GB2312" w:eastAsia="仿宋_GB2312" w:cs="仿宋_GB2312"/>
          <w:color w:val="auto"/>
          <w:szCs w:val="32"/>
          <w:shd w:val="clear" w:color="auto" w:fill="FFFFFF"/>
        </w:rPr>
        <w:t>聚焦国家战略、行业趋势和本地资源，引导现有企业技改升级、扩大产能。深化与科研院所、专业机构合作，围绕全市</w:t>
      </w:r>
      <w:r>
        <w:rPr>
          <w:rFonts w:hint="default" w:ascii="仿宋_GB2312" w:hAnsi="仿宋_GB2312" w:eastAsia="仿宋_GB2312" w:cs="仿宋_GB2312"/>
          <w:color w:val="auto"/>
          <w:szCs w:val="32"/>
          <w:shd w:val="clear" w:color="auto" w:fill="FFFFFF"/>
          <w:lang w:val="en"/>
        </w:rPr>
        <w:t>“1324”</w:t>
      </w:r>
      <w:r>
        <w:rPr>
          <w:rFonts w:hint="eastAsia" w:ascii="仿宋_GB2312" w:hAnsi="仿宋_GB2312" w:eastAsia="仿宋_GB2312" w:cs="仿宋_GB2312"/>
          <w:color w:val="auto"/>
          <w:szCs w:val="32"/>
          <w:shd w:val="clear" w:color="auto" w:fill="FFFFFF"/>
        </w:rPr>
        <w:t>产业体系，精准谋划延链补链强链项目。健全项目动态储备库，构建策划、储备、开工、竣工良性循环梯队，实行分级分类管理，保障产业投资持续稳定增长</w:t>
      </w:r>
      <w:r>
        <w:rPr>
          <w:rFonts w:hint="eastAsia" w:ascii="仿宋_GB2312" w:hAnsi="仿宋_GB2312" w:eastAsia="仿宋_GB2312" w:cs="仿宋_GB2312"/>
          <w:b/>
          <w:bCs/>
          <w:color w:val="auto"/>
          <w:szCs w:val="32"/>
        </w:rPr>
        <w:t>。</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color w:val="auto"/>
          <w:szCs w:val="32"/>
        </w:rPr>
      </w:pPr>
      <w:r>
        <w:rPr>
          <w:rFonts w:hint="eastAsia" w:ascii="仿宋_GB2312" w:hAnsi="仿宋_GB2312" w:eastAsia="仿宋_GB2312" w:cs="仿宋_GB2312"/>
          <w:b/>
          <w:bCs/>
          <w:color w:val="auto"/>
          <w:szCs w:val="32"/>
        </w:rPr>
        <w:t>强化项目招引落地。</w:t>
      </w:r>
      <w:r>
        <w:rPr>
          <w:rFonts w:hint="eastAsia" w:ascii="仿宋_GB2312" w:hAnsi="仿宋_GB2312" w:eastAsia="仿宋_GB2312" w:cs="仿宋_GB2312"/>
          <w:color w:val="auto"/>
          <w:szCs w:val="32"/>
          <w:shd w:val="clear" w:color="auto" w:fill="FFFFFF"/>
        </w:rPr>
        <w:t>聚焦产业链短板弱项，坚持引资、引智、引技并举，构建大中小、内外资项目协同招商格局。健全与央国企常态化对接合作机制，深化务实项目合作。紧盯京津冀、长三角、珠三角等重点区域，通过共建产业园、发展飞地经济，推动产业组团承接、集群式发展</w:t>
      </w:r>
      <w:r>
        <w:rPr>
          <w:rFonts w:hint="eastAsia" w:ascii="仿宋_GB2312" w:hAnsi="仿宋_GB2312" w:eastAsia="仿宋_GB2312" w:cs="仿宋_GB2312"/>
          <w:b/>
          <w:bCs/>
          <w:color w:val="auto"/>
          <w:szCs w:val="32"/>
        </w:rPr>
        <w:t>。</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lang w:bidi="ar"/>
        </w:rPr>
      </w:pPr>
      <w:r>
        <w:rPr>
          <w:rFonts w:hint="eastAsia" w:ascii="仿宋_GB2312" w:hAnsi="仿宋_GB2312" w:eastAsia="仿宋_GB2312" w:cs="仿宋_GB2312"/>
          <w:b/>
          <w:bCs/>
          <w:color w:val="auto"/>
          <w:szCs w:val="32"/>
        </w:rPr>
        <w:t>强化项目协调服务。</w:t>
      </w:r>
      <w:r>
        <w:rPr>
          <w:rFonts w:hint="eastAsia" w:ascii="仿宋_GB2312" w:hAnsi="仿宋_GB2312" w:eastAsia="仿宋_GB2312" w:cs="仿宋_GB2312"/>
          <w:color w:val="auto"/>
          <w:szCs w:val="32"/>
          <w:shd w:val="clear" w:color="auto" w:fill="FFFFFF"/>
        </w:rPr>
        <w:t>完善亿元以上重大项目协调服务机制，按照</w:t>
      </w:r>
      <w:r>
        <w:rPr>
          <w:rFonts w:hint="default" w:ascii="仿宋_GB2312" w:hAnsi="仿宋_GB2312" w:eastAsia="仿宋_GB2312" w:cs="仿宋_GB2312"/>
          <w:color w:val="auto"/>
          <w:szCs w:val="32"/>
          <w:shd w:val="clear" w:color="auto" w:fill="FFFFFF"/>
          <w:lang w:val="en"/>
        </w:rPr>
        <w:t>“</w:t>
      </w:r>
      <w:r>
        <w:rPr>
          <w:rFonts w:hint="eastAsia" w:ascii="仿宋_GB2312" w:hAnsi="仿宋_GB2312" w:eastAsia="仿宋_GB2312" w:cs="仿宋_GB2312"/>
          <w:color w:val="auto"/>
          <w:szCs w:val="32"/>
          <w:shd w:val="clear" w:color="auto" w:fill="FFFFFF"/>
        </w:rPr>
        <w:t>跟踪项目抓签约、签约项目抓落地、落地项目抓开工、开工项目抓投产、投产项目抓达产、达产项目抓扩能</w:t>
      </w:r>
      <w:r>
        <w:rPr>
          <w:rFonts w:hint="default" w:ascii="仿宋_GB2312" w:hAnsi="仿宋_GB2312" w:eastAsia="仿宋_GB2312" w:cs="仿宋_GB2312"/>
          <w:color w:val="auto"/>
          <w:szCs w:val="32"/>
          <w:shd w:val="clear" w:color="auto" w:fill="FFFFFF"/>
          <w:lang w:val="en"/>
        </w:rPr>
        <w:t>”</w:t>
      </w:r>
      <w:r>
        <w:rPr>
          <w:rFonts w:hint="eastAsia" w:ascii="仿宋_GB2312" w:hAnsi="仿宋_GB2312" w:eastAsia="仿宋_GB2312" w:cs="仿宋_GB2312"/>
          <w:color w:val="auto"/>
          <w:szCs w:val="32"/>
          <w:shd w:val="clear" w:color="auto" w:fill="FFFFFF"/>
        </w:rPr>
        <w:t>的原则，建立常态化</w:t>
      </w:r>
      <w:r>
        <w:rPr>
          <w:rFonts w:hint="default" w:ascii="仿宋_GB2312" w:hAnsi="仿宋_GB2312" w:eastAsia="仿宋_GB2312" w:cs="仿宋_GB2312"/>
          <w:color w:val="auto"/>
          <w:szCs w:val="32"/>
          <w:shd w:val="clear" w:color="auto" w:fill="FFFFFF"/>
          <w:lang w:val="en"/>
        </w:rPr>
        <w:t>“</w:t>
      </w:r>
      <w:r>
        <w:rPr>
          <w:rFonts w:hint="eastAsia" w:ascii="仿宋_GB2312" w:hAnsi="仿宋_GB2312" w:eastAsia="仿宋_GB2312" w:cs="仿宋_GB2312"/>
          <w:color w:val="auto"/>
          <w:szCs w:val="32"/>
          <w:shd w:val="clear" w:color="auto" w:fill="FFFFFF"/>
        </w:rPr>
        <w:t>市级领导专班＋问题会诊专班＋项目服务专班</w:t>
      </w:r>
      <w:r>
        <w:rPr>
          <w:rFonts w:hint="default" w:ascii="仿宋_GB2312" w:hAnsi="仿宋_GB2312" w:eastAsia="仿宋_GB2312" w:cs="仿宋_GB2312"/>
          <w:color w:val="auto"/>
          <w:szCs w:val="32"/>
          <w:shd w:val="clear" w:color="auto" w:fill="FFFFFF"/>
          <w:lang w:val="en"/>
        </w:rPr>
        <w:t>”</w:t>
      </w:r>
      <w:r>
        <w:rPr>
          <w:rFonts w:hint="eastAsia" w:ascii="仿宋_GB2312" w:hAnsi="仿宋_GB2312" w:eastAsia="仿宋_GB2312" w:cs="仿宋_GB2312"/>
          <w:color w:val="auto"/>
          <w:szCs w:val="32"/>
          <w:shd w:val="clear" w:color="auto" w:fill="FFFFFF"/>
        </w:rPr>
        <w:t>的统筹联动工作机制，为项目前期、建设、投运提供全周期、全要素服务保障。</w:t>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140" w:name="_Toc13569872_WPSOffice_Level2"/>
      <w:bookmarkStart w:id="141" w:name="_Toc1343550812"/>
      <w:bookmarkStart w:id="142" w:name="_Toc1891092155"/>
      <w:bookmarkStart w:id="143" w:name="_Toc1811360052"/>
      <w:r>
        <w:rPr>
          <w:rFonts w:hint="eastAsia" w:ascii="楷体_GB2312" w:hAnsi="楷体_GB2312" w:eastAsia="楷体_GB2312" w:cs="楷体_GB2312"/>
          <w:color w:val="auto"/>
        </w:rPr>
        <w:t>三、激发活力促</w:t>
      </w:r>
      <w:r>
        <w:rPr>
          <w:rFonts w:ascii="楷体_GB2312" w:hAnsi="楷体_GB2312" w:eastAsia="楷体_GB2312" w:cs="楷体_GB2312"/>
          <w:color w:val="auto"/>
        </w:rPr>
        <w:t>创新工程</w:t>
      </w:r>
      <w:bookmarkEnd w:id="135"/>
      <w:bookmarkEnd w:id="140"/>
      <w:bookmarkEnd w:id="141"/>
      <w:bookmarkEnd w:id="142"/>
      <w:bookmarkEnd w:id="143"/>
    </w:p>
    <w:p>
      <w:pPr>
        <w:pStyle w:val="9"/>
        <w:keepLines w:val="0"/>
        <w:pageBreakBefore w:val="0"/>
        <w:kinsoku/>
        <w:wordWrap/>
        <w:overflowPunct/>
        <w:topLinePunct w:val="0"/>
        <w:bidi w:val="0"/>
        <w:spacing w:line="560" w:lineRule="exact"/>
        <w:ind w:firstLine="643"/>
        <w:textAlignment w:val="auto"/>
        <w:rPr>
          <w:rFonts w:hAnsi="仿宋_GB2312" w:cs="仿宋_GB2312"/>
          <w:b/>
          <w:bCs/>
          <w:color w:val="auto"/>
        </w:rPr>
      </w:pPr>
      <w:r>
        <w:rPr>
          <w:rFonts w:hint="eastAsia" w:hAnsi="仿宋_GB2312" w:cs="仿宋_GB2312"/>
          <w:b/>
          <w:bCs/>
          <w:color w:val="auto"/>
        </w:rPr>
        <w:t>激发企业创新活力。</w:t>
      </w:r>
      <w:r>
        <w:rPr>
          <w:rFonts w:hint="eastAsia" w:hAnsi="仿宋_GB2312" w:cs="仿宋_GB2312"/>
          <w:color w:val="auto"/>
        </w:rPr>
        <w:t>健全科技型中小企业、高新技术企业培育库，实施创新企业倍增计划，完善全链条创业孵化体系。全面落实研发费用加计扣除、首台套装备激励等惠企政策，引导企业加大研发投入。深化产学研协同合作，支持企业组建各类创新平台，全面提升企业自主研发能力和人才培育水平。</w:t>
      </w:r>
    </w:p>
    <w:p>
      <w:pPr>
        <w:pStyle w:val="9"/>
        <w:keepLines w:val="0"/>
        <w:pageBreakBefore w:val="0"/>
        <w:kinsoku/>
        <w:wordWrap/>
        <w:overflowPunct/>
        <w:topLinePunct w:val="0"/>
        <w:bidi w:val="0"/>
        <w:spacing w:line="560" w:lineRule="exact"/>
        <w:ind w:firstLine="643"/>
        <w:textAlignment w:val="auto"/>
        <w:rPr>
          <w:rFonts w:hAnsi="仿宋_GB2312" w:cs="仿宋_GB2312"/>
          <w:b/>
          <w:bCs/>
          <w:color w:val="auto"/>
        </w:rPr>
      </w:pPr>
      <w:r>
        <w:rPr>
          <w:rFonts w:hint="eastAsia" w:hAnsi="仿宋_GB2312" w:cs="仿宋_GB2312"/>
          <w:b/>
          <w:bCs/>
          <w:color w:val="auto"/>
        </w:rPr>
        <w:t>建设高水平产业科技创新平台。</w:t>
      </w:r>
      <w:r>
        <w:rPr>
          <w:rFonts w:hint="eastAsia" w:hAnsi="仿宋_GB2312" w:cs="仿宋_GB2312"/>
          <w:color w:val="auto"/>
        </w:rPr>
        <w:t>聚焦新能源装备、新材料、精细化工等优势产业，培育高能级科技创新平台，推动酒泉经开区争创国家级高新区。围绕航空航天、核技术应用、储能氢能等前沿领域，布局中试及成果验证平台，加速科技成果推广应用。建立科技成果供需清单，构建以市场需求为导向、企业为主体的靶向攻关、高效转化机制。</w:t>
      </w:r>
    </w:p>
    <w:p>
      <w:pPr>
        <w:pStyle w:val="9"/>
        <w:keepLines w:val="0"/>
        <w:pageBreakBefore w:val="0"/>
        <w:kinsoku/>
        <w:wordWrap/>
        <w:overflowPunct/>
        <w:topLinePunct w:val="0"/>
        <w:bidi w:val="0"/>
        <w:spacing w:line="560" w:lineRule="exact"/>
        <w:ind w:firstLine="643"/>
        <w:textAlignment w:val="auto"/>
        <w:rPr>
          <w:rFonts w:ascii="Times New Roman" w:hAnsi="Times New Roman" w:eastAsia="仿宋" w:cs="Times New Roman"/>
          <w:color w:val="auto"/>
        </w:rPr>
      </w:pPr>
      <w:r>
        <w:rPr>
          <w:rFonts w:hint="eastAsia" w:hAnsi="仿宋_GB2312" w:cs="仿宋_GB2312"/>
          <w:b/>
          <w:bCs/>
          <w:color w:val="auto"/>
        </w:rPr>
        <w:t>推动创新链与产业链深度融合。</w:t>
      </w:r>
      <w:r>
        <w:rPr>
          <w:rFonts w:hint="eastAsia" w:hAnsi="仿宋_GB2312" w:cs="仿宋_GB2312"/>
          <w:color w:val="auto"/>
        </w:rPr>
        <w:t>紧扣双碳发展目标，聚焦长时储能、绿电耦合等关键技术攻关，推进核技术应用等前沿技术研发转化。围绕产业链精准布局创新链，推行揭榜挂帅、赛马机制，破解核心技术瓶颈。聚焦成果产业化落地，实施重点研发项目，畅通转化渠道，推动技术与应用场景深度融合，最大化释放科技赋能产业效能</w:t>
      </w:r>
      <w:r>
        <w:rPr>
          <w:rFonts w:hint="eastAsia" w:hAnsi="仿宋_GB2312" w:cs="仿宋_GB2312"/>
          <w:b/>
          <w:bCs/>
          <w:color w:val="auto"/>
        </w:rPr>
        <w:t>。</w:t>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144" w:name="_Toc21227"/>
      <w:bookmarkStart w:id="145" w:name="_Toc432004428"/>
      <w:bookmarkStart w:id="146" w:name="_Toc1545243030"/>
      <w:bookmarkStart w:id="147" w:name="_Toc960123513"/>
      <w:bookmarkStart w:id="148" w:name="_Toc1094158851_WPSOffice_Level2"/>
      <w:r>
        <w:rPr>
          <w:rFonts w:hint="eastAsia" w:ascii="楷体_GB2312" w:hAnsi="楷体_GB2312" w:eastAsia="楷体_GB2312" w:cs="楷体_GB2312"/>
          <w:color w:val="auto"/>
        </w:rPr>
        <w:t>四</w:t>
      </w:r>
      <w:r>
        <w:rPr>
          <w:rFonts w:ascii="楷体_GB2312" w:hAnsi="楷体_GB2312" w:eastAsia="楷体_GB2312" w:cs="楷体_GB2312"/>
          <w:color w:val="auto"/>
        </w:rPr>
        <w:t>、数智赋能</w:t>
      </w:r>
      <w:bookmarkEnd w:id="144"/>
      <w:r>
        <w:rPr>
          <w:rFonts w:hint="eastAsia" w:ascii="楷体_GB2312" w:hAnsi="楷体_GB2312" w:eastAsia="楷体_GB2312" w:cs="楷体_GB2312"/>
          <w:color w:val="auto"/>
        </w:rPr>
        <w:t>助转型工程</w:t>
      </w:r>
      <w:bookmarkEnd w:id="145"/>
      <w:bookmarkEnd w:id="146"/>
      <w:bookmarkEnd w:id="147"/>
      <w:bookmarkEnd w:id="148"/>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color w:val="auto"/>
          <w:szCs w:val="32"/>
        </w:rPr>
      </w:pPr>
      <w:r>
        <w:rPr>
          <w:rFonts w:hint="eastAsia" w:ascii="仿宋_GB2312" w:hAnsi="仿宋_GB2312" w:eastAsia="仿宋_GB2312" w:cs="仿宋_GB2312"/>
          <w:b/>
          <w:bCs/>
          <w:color w:val="auto"/>
          <w:szCs w:val="32"/>
        </w:rPr>
        <w:t>夯实数智赋能基础。</w:t>
      </w:r>
      <w:r>
        <w:rPr>
          <w:rFonts w:hint="eastAsia" w:ascii="仿宋_GB2312" w:hAnsi="仿宋_GB2312" w:eastAsia="仿宋_GB2312" w:cs="仿宋_GB2312"/>
          <w:color w:val="auto"/>
          <w:szCs w:val="32"/>
        </w:rPr>
        <w:t>加快5G、5G-A、万兆光网等新型基础设施建设，争取并实施电信普遍服务和万兆光网试点项目。深化绿电与算力产业融合，引进头部算力企业，承接</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东数西算</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业务。搭建跨行业工业互联网平台，推广标识解析二级节点应用，引导企业设备、业务、管理全面上云，打造一批数字化、智能化应用标杆。</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color w:val="auto"/>
          <w:szCs w:val="32"/>
        </w:rPr>
      </w:pPr>
      <w:r>
        <w:rPr>
          <w:rFonts w:hint="eastAsia" w:ascii="仿宋_GB2312" w:hAnsi="仿宋_GB2312" w:eastAsia="仿宋_GB2312" w:cs="仿宋_GB2312"/>
          <w:b/>
          <w:bCs/>
          <w:color w:val="auto"/>
          <w:szCs w:val="32"/>
        </w:rPr>
        <w:t>推进制造业</w:t>
      </w:r>
      <w:r>
        <w:rPr>
          <w:rFonts w:hint="default" w:ascii="仿宋_GB2312" w:hAnsi="仿宋_GB2312" w:eastAsia="仿宋_GB2312" w:cs="仿宋_GB2312"/>
          <w:b/>
          <w:bCs/>
          <w:color w:val="auto"/>
          <w:szCs w:val="32"/>
          <w:lang w:val="en"/>
        </w:rPr>
        <w:t>“</w:t>
      </w:r>
      <w:r>
        <w:rPr>
          <w:rFonts w:hint="eastAsia" w:ascii="仿宋_GB2312" w:hAnsi="仿宋_GB2312" w:eastAsia="仿宋_GB2312" w:cs="仿宋_GB2312"/>
          <w:b/>
          <w:bCs/>
          <w:color w:val="auto"/>
          <w:szCs w:val="32"/>
        </w:rPr>
        <w:t>智改数转网联</w:t>
      </w:r>
      <w:r>
        <w:rPr>
          <w:rFonts w:hint="default" w:ascii="仿宋_GB2312" w:hAnsi="仿宋_GB2312" w:eastAsia="仿宋_GB2312" w:cs="仿宋_GB2312"/>
          <w:b/>
          <w:bCs/>
          <w:color w:val="auto"/>
          <w:szCs w:val="32"/>
          <w:lang w:val="en"/>
        </w:rPr>
        <w:t>”</w:t>
      </w:r>
      <w:r>
        <w:rPr>
          <w:rFonts w:hint="eastAsia" w:ascii="仿宋_GB2312" w:hAnsi="仿宋_GB2312" w:eastAsia="仿宋_GB2312" w:cs="仿宋_GB2312"/>
          <w:b/>
          <w:bCs/>
          <w:color w:val="auto"/>
          <w:szCs w:val="32"/>
        </w:rPr>
        <w:t>。</w:t>
      </w:r>
      <w:r>
        <w:rPr>
          <w:rFonts w:hint="eastAsia" w:ascii="仿宋_GB2312" w:hAnsi="仿宋_GB2312" w:eastAsia="仿宋_GB2312" w:cs="仿宋_GB2312"/>
          <w:color w:val="auto"/>
          <w:szCs w:val="32"/>
        </w:rPr>
        <w:t>按照点上突破、线上贯通、面上覆盖思路推进制造业数智转型。企业层面推进设备智能升级，培育转型标杆；产业链层面依托链主企业带动上下游协同转型；园区层面实施整体智慧升级。力争3至5年实现规上中小企业数字化转型全覆盖，建成完善的工业数字化公共服务体系。</w:t>
      </w:r>
    </w:p>
    <w:p>
      <w:pPr>
        <w:keepLines w:val="0"/>
        <w:pageBreakBefore w:val="0"/>
        <w:kinsoku/>
        <w:wordWrap/>
        <w:overflowPunct/>
        <w:topLinePunct w:val="0"/>
        <w:bidi w:val="0"/>
        <w:spacing w:line="560" w:lineRule="exact"/>
        <w:ind w:firstLine="643"/>
        <w:textAlignment w:val="auto"/>
        <w:rPr>
          <w:rFonts w:ascii="Times New Roman" w:hAnsi="Times New Roman" w:eastAsia="仿宋"/>
          <w:color w:val="auto"/>
          <w:szCs w:val="32"/>
        </w:rPr>
      </w:pPr>
      <w:r>
        <w:rPr>
          <w:rFonts w:hint="eastAsia" w:ascii="仿宋_GB2312" w:hAnsi="仿宋_GB2312" w:eastAsia="仿宋_GB2312" w:cs="仿宋_GB2312"/>
          <w:b/>
          <w:bCs/>
          <w:color w:val="auto"/>
          <w:szCs w:val="32"/>
        </w:rPr>
        <w:t>构建智能制造体系。</w:t>
      </w:r>
      <w:r>
        <w:rPr>
          <w:rFonts w:hint="eastAsia" w:ascii="仿宋_GB2312" w:hAnsi="仿宋_GB2312" w:eastAsia="仿宋_GB2312" w:cs="仿宋_GB2312"/>
          <w:color w:val="auto"/>
          <w:szCs w:val="32"/>
        </w:rPr>
        <w:t>大力发展智能产品和智能制造设备，加快智能工厂、智慧供应链建设。推进工业企业智能改造诊断服务全覆盖，</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量身定制</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改造方案，实施数字化普及、网络化示范和智能化改造专项行动。支持龙头企业建设智能协同平台，推动产业链群整体智能化转型，构建柔性高效的智能制造产业生态。</w:t>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149" w:name="_Toc1933765023"/>
      <w:bookmarkStart w:id="150" w:name="_Toc562386924"/>
      <w:bookmarkStart w:id="151" w:name="_Toc1547197702"/>
      <w:bookmarkStart w:id="152" w:name="_Toc29055"/>
      <w:bookmarkStart w:id="153" w:name="_Toc653112033_WPSOffice_Level2"/>
      <w:r>
        <w:rPr>
          <w:rFonts w:hint="eastAsia" w:ascii="楷体_GB2312" w:hAnsi="楷体_GB2312" w:eastAsia="楷体_GB2312" w:cs="楷体_GB2312"/>
          <w:color w:val="auto"/>
        </w:rPr>
        <w:t>五</w:t>
      </w:r>
      <w:r>
        <w:rPr>
          <w:rFonts w:ascii="楷体_GB2312" w:hAnsi="楷体_GB2312" w:eastAsia="楷体_GB2312" w:cs="楷体_GB2312"/>
          <w:color w:val="auto"/>
        </w:rPr>
        <w:t>、绿色低碳</w:t>
      </w:r>
      <w:r>
        <w:rPr>
          <w:rFonts w:hint="eastAsia" w:ascii="楷体_GB2312" w:hAnsi="楷体_GB2312" w:eastAsia="楷体_GB2312" w:cs="楷体_GB2312"/>
          <w:color w:val="auto"/>
        </w:rPr>
        <w:t>塑生态</w:t>
      </w:r>
      <w:r>
        <w:rPr>
          <w:rFonts w:ascii="楷体_GB2312" w:hAnsi="楷体_GB2312" w:eastAsia="楷体_GB2312" w:cs="楷体_GB2312"/>
          <w:color w:val="auto"/>
        </w:rPr>
        <w:t>工程</w:t>
      </w:r>
      <w:bookmarkEnd w:id="149"/>
      <w:bookmarkEnd w:id="150"/>
      <w:bookmarkEnd w:id="151"/>
      <w:bookmarkEnd w:id="152"/>
      <w:bookmarkEnd w:id="153"/>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rPr>
      </w:pPr>
      <w:r>
        <w:rPr>
          <w:rFonts w:ascii="仿宋_GB2312" w:hAnsi="仿宋_GB2312" w:eastAsia="仿宋_GB2312" w:cs="仿宋_GB2312"/>
          <w:b/>
          <w:bCs/>
          <w:color w:val="auto"/>
          <w:szCs w:val="32"/>
        </w:rPr>
        <w:t>推进工业领域碳达峰。</w:t>
      </w:r>
      <w:r>
        <w:rPr>
          <w:rFonts w:ascii="仿宋_GB2312" w:hAnsi="仿宋_GB2312" w:eastAsia="仿宋_GB2312" w:cs="仿宋_GB2312"/>
          <w:color w:val="auto"/>
          <w:szCs w:val="32"/>
        </w:rPr>
        <w:t>有序推动煤炭生产稳产增产，加快释放优质煤炭产能，推进煤炭消费减量替代和清洁高效利用，保障能源安全和经济稳定运行。推进国家碳达峰试点城市与零碳制造试点建设，培育零碳工厂示范项目。落实光伏产品碳足迹认证试点工作，推动碳足迹管理体系向建材、有色金属等行业延伸，推动工业产品全生命周期绿色低碳转型。</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rPr>
      </w:pPr>
      <w:r>
        <w:rPr>
          <w:rFonts w:ascii="仿宋_GB2312" w:hAnsi="仿宋_GB2312" w:eastAsia="仿宋_GB2312" w:cs="仿宋_GB2312"/>
          <w:b/>
          <w:bCs/>
          <w:color w:val="auto"/>
          <w:szCs w:val="32"/>
        </w:rPr>
        <w:t>强化工业节能节水改造。</w:t>
      </w:r>
      <w:r>
        <w:rPr>
          <w:rFonts w:ascii="仿宋_GB2312" w:hAnsi="仿宋_GB2312" w:eastAsia="仿宋_GB2312" w:cs="仿宋_GB2312"/>
          <w:color w:val="auto"/>
          <w:szCs w:val="32"/>
        </w:rPr>
        <w:t>统筹节能降耗与水资源循环利用，坚持能效水效双提升。加大石化化工、有色、建材、数据中心等重点行业节能监察力度，开展工业节能降碳诊断服务，助力企业深挖节能空间，推动重点行业企业对标能效标杆水平开展绿色化改造。普及先进节水工艺，深化工业废水循环利用，扩大非常规水源利用规模，稳步降低重点行业单位产品取水量。鼓励企业争创能效、水效领跑者，持续健全绿色制造体系，培育壮大绿色工厂、绿色园区、绿色供应链及节水型企业。</w:t>
      </w:r>
    </w:p>
    <w:p>
      <w:pPr>
        <w:keepLines w:val="0"/>
        <w:pageBreakBefore w:val="0"/>
        <w:kinsoku/>
        <w:wordWrap/>
        <w:overflowPunct/>
        <w:topLinePunct w:val="0"/>
        <w:bidi w:val="0"/>
        <w:spacing w:line="560" w:lineRule="exact"/>
        <w:ind w:firstLine="643"/>
        <w:textAlignment w:val="auto"/>
        <w:rPr>
          <w:rFonts w:ascii="楷体_GB2312" w:hAnsi="楷体_GB2312" w:eastAsia="楷体_GB2312" w:cs="楷体_GB2312"/>
          <w:color w:val="auto"/>
          <w:szCs w:val="32"/>
        </w:rPr>
      </w:pPr>
      <w:r>
        <w:rPr>
          <w:rFonts w:ascii="仿宋_GB2312" w:hAnsi="仿宋_GB2312" w:eastAsia="仿宋_GB2312" w:cs="仿宋_GB2312"/>
          <w:b/>
          <w:bCs/>
          <w:color w:val="auto"/>
          <w:szCs w:val="32"/>
        </w:rPr>
        <w:t>推动资源综合利用发展。</w:t>
      </w:r>
      <w:r>
        <w:rPr>
          <w:rFonts w:ascii="仿宋_GB2312" w:hAnsi="仿宋_GB2312" w:eastAsia="仿宋_GB2312" w:cs="仿宋_GB2312"/>
          <w:color w:val="auto"/>
          <w:szCs w:val="32"/>
        </w:rPr>
        <w:t>构建</w:t>
      </w:r>
      <w:r>
        <w:rPr>
          <w:rFonts w:ascii="仿宋_GB2312" w:hAnsi="仿宋_GB2312" w:eastAsia="仿宋_GB2312" w:cs="仿宋_GB2312"/>
          <w:color w:val="auto"/>
          <w:szCs w:val="32"/>
          <w:lang w:val="en"/>
        </w:rPr>
        <w:t>“</w:t>
      </w:r>
      <w:r>
        <w:rPr>
          <w:rFonts w:ascii="仿宋_GB2312" w:hAnsi="仿宋_GB2312" w:eastAsia="仿宋_GB2312" w:cs="仿宋_GB2312"/>
          <w:color w:val="auto"/>
          <w:szCs w:val="32"/>
        </w:rPr>
        <w:t>减量化、资源化、无害化</w:t>
      </w:r>
      <w:r>
        <w:rPr>
          <w:rFonts w:ascii="仿宋_GB2312" w:hAnsi="仿宋_GB2312" w:eastAsia="仿宋_GB2312" w:cs="仿宋_GB2312"/>
          <w:color w:val="auto"/>
          <w:szCs w:val="32"/>
          <w:lang w:val="en"/>
        </w:rPr>
        <w:t>”</w:t>
      </w:r>
      <w:r>
        <w:rPr>
          <w:rFonts w:ascii="仿宋_GB2312" w:hAnsi="仿宋_GB2312" w:eastAsia="仿宋_GB2312" w:cs="仿宋_GB2312"/>
          <w:color w:val="auto"/>
          <w:szCs w:val="32"/>
        </w:rPr>
        <w:t>工业资源循环利用体系，引导废钢铁、废有色金属、废塑料等行业企业按照再生资源综合利用行业规范条件开展标准化建设。推进尾矿、粉煤灰、炉渣等大宗固废规模化高值化利用，全力推进国家级工业资源综合利用基地建设。加快尾矿综合利用、粉煤灰高值化利用等项目建设，创建</w:t>
      </w:r>
      <w:r>
        <w:rPr>
          <w:rFonts w:ascii="仿宋_GB2312" w:hAnsi="仿宋_GB2312" w:eastAsia="仿宋_GB2312" w:cs="仿宋_GB2312"/>
          <w:color w:val="auto"/>
          <w:szCs w:val="32"/>
          <w:lang w:val="en"/>
        </w:rPr>
        <w:t>“</w:t>
      </w:r>
      <w:r>
        <w:rPr>
          <w:rFonts w:ascii="仿宋_GB2312" w:hAnsi="仿宋_GB2312" w:eastAsia="仿宋_GB2312" w:cs="仿宋_GB2312"/>
          <w:color w:val="auto"/>
          <w:szCs w:val="32"/>
        </w:rPr>
        <w:t>无废园区</w:t>
      </w:r>
      <w:r>
        <w:rPr>
          <w:rFonts w:ascii="仿宋_GB2312" w:hAnsi="仿宋_GB2312" w:eastAsia="仿宋_GB2312" w:cs="仿宋_GB2312"/>
          <w:color w:val="auto"/>
          <w:szCs w:val="32"/>
          <w:lang w:val="en"/>
        </w:rPr>
        <w:t>”“</w:t>
      </w:r>
      <w:r>
        <w:rPr>
          <w:rFonts w:ascii="仿宋_GB2312" w:hAnsi="仿宋_GB2312" w:eastAsia="仿宋_GB2312" w:cs="仿宋_GB2312"/>
          <w:color w:val="auto"/>
          <w:szCs w:val="32"/>
        </w:rPr>
        <w:t>无废企业</w:t>
      </w:r>
      <w:r>
        <w:rPr>
          <w:rFonts w:ascii="仿宋_GB2312" w:hAnsi="仿宋_GB2312" w:eastAsia="仿宋_GB2312" w:cs="仿宋_GB2312"/>
          <w:color w:val="auto"/>
          <w:szCs w:val="32"/>
          <w:lang w:val="en"/>
        </w:rPr>
        <w:t>”</w:t>
      </w:r>
      <w:r>
        <w:rPr>
          <w:rFonts w:ascii="仿宋_GB2312" w:hAnsi="仿宋_GB2312" w:eastAsia="仿宋_GB2312" w:cs="仿宋_GB2312"/>
          <w:color w:val="auto"/>
          <w:szCs w:val="32"/>
        </w:rPr>
        <w:t>。健全废旧动力电池回收利用体系，培育退役风电叶片、废旧光伏组件等综合利用项目，推进新能源产业链绿色循环发展</w:t>
      </w:r>
      <w:r>
        <w:rPr>
          <w:rFonts w:hint="eastAsia" w:ascii="仿宋_GB2312" w:hAnsi="仿宋_GB2312" w:eastAsia="仿宋_GB2312" w:cs="仿宋_GB2312"/>
          <w:color w:val="auto"/>
          <w:szCs w:val="32"/>
        </w:rPr>
        <w:t>。</w:t>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154" w:name="_Toc10295"/>
      <w:bookmarkStart w:id="155" w:name="_Toc1023291835_WPSOffice_Level2"/>
      <w:bookmarkStart w:id="156" w:name="_Toc1944899031"/>
      <w:bookmarkStart w:id="157" w:name="_Toc1811321691"/>
      <w:bookmarkStart w:id="158" w:name="_Toc2028254178"/>
      <w:r>
        <w:rPr>
          <w:rFonts w:hint="eastAsia" w:ascii="楷体_GB2312" w:hAnsi="楷体_GB2312" w:eastAsia="楷体_GB2312" w:cs="楷体_GB2312"/>
          <w:color w:val="auto"/>
        </w:rPr>
        <w:t>六</w:t>
      </w:r>
      <w:r>
        <w:rPr>
          <w:rFonts w:ascii="楷体_GB2312" w:hAnsi="楷体_GB2312" w:eastAsia="楷体_GB2312" w:cs="楷体_GB2312"/>
          <w:color w:val="auto"/>
        </w:rPr>
        <w:t>、</w:t>
      </w:r>
      <w:r>
        <w:rPr>
          <w:rFonts w:hint="eastAsia" w:ascii="楷体_GB2312" w:hAnsi="楷体_GB2312" w:eastAsia="楷体_GB2312" w:cs="楷体_GB2312"/>
          <w:color w:val="auto"/>
        </w:rPr>
        <w:t>培优育强促融通</w:t>
      </w:r>
      <w:r>
        <w:rPr>
          <w:rFonts w:ascii="楷体_GB2312" w:hAnsi="楷体_GB2312" w:eastAsia="楷体_GB2312" w:cs="楷体_GB2312"/>
          <w:color w:val="auto"/>
        </w:rPr>
        <w:t>工程</w:t>
      </w:r>
      <w:bookmarkEnd w:id="154"/>
      <w:bookmarkEnd w:id="155"/>
      <w:bookmarkEnd w:id="156"/>
      <w:bookmarkEnd w:id="157"/>
      <w:bookmarkEnd w:id="158"/>
    </w:p>
    <w:p>
      <w:pPr>
        <w:pStyle w:val="10"/>
        <w:keepLines w:val="0"/>
        <w:pageBreakBefore w:val="0"/>
        <w:kinsoku/>
        <w:wordWrap/>
        <w:overflowPunct/>
        <w:topLinePunct w:val="0"/>
        <w:bidi w:val="0"/>
        <w:snapToGrid w:val="0"/>
        <w:spacing w:line="560" w:lineRule="exact"/>
        <w:ind w:firstLine="643"/>
        <w:textAlignment w:val="auto"/>
        <w:rPr>
          <w:rFonts w:ascii="仿宋_GB2312" w:hAnsi="仿宋_GB2312" w:eastAsia="仿宋_GB2312" w:cs="仿宋_GB2312"/>
          <w:b/>
          <w:bCs/>
          <w:color w:val="auto"/>
          <w:szCs w:val="32"/>
        </w:rPr>
      </w:pPr>
      <w:r>
        <w:rPr>
          <w:rFonts w:hint="eastAsia" w:ascii="仿宋_GB2312" w:hAnsi="仿宋_GB2312" w:eastAsia="仿宋_GB2312" w:cs="仿宋_GB2312"/>
          <w:b/>
          <w:bCs/>
          <w:color w:val="auto"/>
          <w:szCs w:val="32"/>
        </w:rPr>
        <w:t>加强优质企业梯度培育。</w:t>
      </w:r>
      <w:r>
        <w:rPr>
          <w:rFonts w:hint="eastAsia" w:ascii="仿宋_GB2312" w:hAnsi="仿宋_GB2312" w:eastAsia="仿宋_GB2312" w:cs="仿宋_GB2312"/>
          <w:color w:val="auto"/>
          <w:szCs w:val="32"/>
        </w:rPr>
        <w:t>建立中小企业培育库,优选带动性强、倍增潜力大的企业，分层培育创新型、</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专精特新</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、小巨人、制造业单项冠军企业、产业链领军企业，打造细分市场、技术或服务出色、市场占有率高的</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单项冠军</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配套专家</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和</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行业小巨人</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。开展</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专精特新</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中小企业办实事专项行动，扩大储能、化工、新材料等领域优质企业储备，创建国家级制造业单项冠军。</w:t>
      </w:r>
    </w:p>
    <w:p>
      <w:pPr>
        <w:pStyle w:val="10"/>
        <w:keepLines w:val="0"/>
        <w:pageBreakBefore w:val="0"/>
        <w:kinsoku/>
        <w:wordWrap/>
        <w:overflowPunct/>
        <w:topLinePunct w:val="0"/>
        <w:bidi w:val="0"/>
        <w:snapToGrid w:val="0"/>
        <w:spacing w:line="560" w:lineRule="exact"/>
        <w:ind w:firstLine="643"/>
        <w:textAlignment w:val="auto"/>
        <w:rPr>
          <w:rFonts w:ascii="仿宋_GB2312" w:hAnsi="仿宋_GB2312" w:eastAsia="仿宋_GB2312" w:cs="仿宋_GB2312"/>
          <w:b/>
          <w:bCs/>
          <w:color w:val="auto"/>
          <w:szCs w:val="32"/>
        </w:rPr>
      </w:pPr>
      <w:r>
        <w:rPr>
          <w:rFonts w:hint="eastAsia" w:ascii="仿宋_GB2312" w:hAnsi="仿宋_GB2312" w:eastAsia="仿宋_GB2312" w:cs="仿宋_GB2312"/>
          <w:b/>
          <w:bCs/>
          <w:color w:val="auto"/>
          <w:szCs w:val="32"/>
        </w:rPr>
        <w:t>着力扶持培育龙头企业。</w:t>
      </w:r>
      <w:r>
        <w:rPr>
          <w:rFonts w:hint="eastAsia" w:ascii="仿宋_GB2312" w:hAnsi="仿宋_GB2312" w:eastAsia="仿宋_GB2312" w:cs="仿宋_GB2312"/>
          <w:color w:val="auto"/>
          <w:szCs w:val="32"/>
        </w:rPr>
        <w:t>坚持政策、资源、生产要素向龙头企业集中，实施</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大企业直通车</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服务，培育一批</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链主</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企业和</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独角兽</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企业。支持龙头企业通过资产重组、增资扩股、上市融资等方式，与国内外龙头企业合作，推动企业提质增效。鼓励企业跨省（国）经营，拓展国内外市场。发挥上市公司引领作用，利用资本市场整合产业，盘活停产优质企业。</w:t>
      </w:r>
    </w:p>
    <w:p>
      <w:pPr>
        <w:pStyle w:val="10"/>
        <w:keepLines w:val="0"/>
        <w:pageBreakBefore w:val="0"/>
        <w:kinsoku/>
        <w:wordWrap/>
        <w:overflowPunct/>
        <w:topLinePunct w:val="0"/>
        <w:bidi w:val="0"/>
        <w:snapToGrid w:val="0"/>
        <w:spacing w:line="560" w:lineRule="exact"/>
        <w:ind w:firstLine="643"/>
        <w:textAlignment w:val="auto"/>
        <w:rPr>
          <w:rFonts w:ascii="仿宋_GB2312" w:eastAsia="仿宋_GB2312" w:cs="仿宋_GB2312"/>
          <w:color w:val="auto"/>
          <w:szCs w:val="32"/>
          <w:lang w:bidi="ar"/>
        </w:rPr>
      </w:pPr>
      <w:r>
        <w:rPr>
          <w:rFonts w:hint="eastAsia" w:ascii="仿宋_GB2312" w:hAnsi="仿宋_GB2312" w:eastAsia="仿宋_GB2312" w:cs="仿宋_GB2312"/>
          <w:b/>
          <w:bCs/>
          <w:color w:val="auto"/>
          <w:szCs w:val="32"/>
        </w:rPr>
        <w:t>促进大中小企业融通发展。</w:t>
      </w:r>
      <w:r>
        <w:rPr>
          <w:rFonts w:hint="eastAsia" w:ascii="仿宋_GB2312" w:hAnsi="仿宋_GB2312" w:eastAsia="仿宋_GB2312" w:cs="仿宋_GB2312"/>
          <w:color w:val="auto"/>
          <w:szCs w:val="32"/>
        </w:rPr>
        <w:t>构建企业主体、园区承载、政策支撑的产业融通发展体系，推动中小企业深度对接链主企业和央国企资源，强化研发、生产、采购、市场全方位协同。搭建产业链产供销对接平台，深化订单、技术、产能协同，推动产业链上下游联动共进，提升整体协同发展水平。</w:t>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159" w:name="_Toc194112595"/>
      <w:bookmarkStart w:id="160" w:name="_Toc1384714555_WPSOffice_Level2"/>
      <w:bookmarkStart w:id="161" w:name="_Toc857949997"/>
      <w:bookmarkStart w:id="162" w:name="_Toc1318"/>
      <w:bookmarkStart w:id="163" w:name="_Toc1753838540"/>
      <w:r>
        <w:rPr>
          <w:rFonts w:hint="eastAsia" w:ascii="楷体_GB2312" w:hAnsi="楷体_GB2312" w:eastAsia="楷体_GB2312" w:cs="楷体_GB2312"/>
          <w:color w:val="auto"/>
        </w:rPr>
        <w:t>七</w:t>
      </w:r>
      <w:r>
        <w:rPr>
          <w:rFonts w:ascii="楷体_GB2312" w:hAnsi="楷体_GB2312" w:eastAsia="楷体_GB2312" w:cs="楷体_GB2312"/>
          <w:color w:val="auto"/>
        </w:rPr>
        <w:t>、园区提质</w:t>
      </w:r>
      <w:r>
        <w:rPr>
          <w:rFonts w:hint="eastAsia" w:ascii="楷体_GB2312" w:hAnsi="楷体_GB2312" w:eastAsia="楷体_GB2312" w:cs="楷体_GB2312"/>
          <w:color w:val="auto"/>
        </w:rPr>
        <w:t>强载体</w:t>
      </w:r>
      <w:r>
        <w:rPr>
          <w:rFonts w:ascii="楷体_GB2312" w:hAnsi="楷体_GB2312" w:eastAsia="楷体_GB2312" w:cs="楷体_GB2312"/>
          <w:color w:val="auto"/>
        </w:rPr>
        <w:t>工程</w:t>
      </w:r>
      <w:bookmarkEnd w:id="159"/>
      <w:bookmarkEnd w:id="160"/>
      <w:bookmarkEnd w:id="161"/>
      <w:bookmarkEnd w:id="162"/>
      <w:bookmarkEnd w:id="163"/>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color w:val="auto"/>
          <w:szCs w:val="32"/>
        </w:rPr>
      </w:pPr>
      <w:bookmarkStart w:id="164" w:name="_Toc19850"/>
      <w:r>
        <w:rPr>
          <w:rFonts w:hint="eastAsia" w:ascii="仿宋_GB2312" w:hAnsi="仿宋_GB2312" w:eastAsia="仿宋_GB2312" w:cs="仿宋_GB2312"/>
          <w:b/>
          <w:bCs/>
          <w:color w:val="auto"/>
          <w:szCs w:val="32"/>
        </w:rPr>
        <w:t>持续推动基础设施建设。</w:t>
      </w:r>
      <w:r>
        <w:rPr>
          <w:rFonts w:hint="eastAsia" w:ascii="仿宋_GB2312" w:hAnsi="仿宋_GB2312" w:eastAsia="仿宋_GB2312" w:cs="仿宋_GB2312"/>
          <w:color w:val="auto"/>
          <w:szCs w:val="32"/>
        </w:rPr>
        <w:t>系统完善园区交通、水电、排污、固废处置等基础配套，补齐生产生活短板。加快5G、智慧用能等新型基建，深化5G+工业互联网融合应用。迭代升级园区新型电力系统，推进绿电直供、源网荷储、共享储能试点，提升新能源消纳能力和电网运行韧性，夯实产业承载基础。</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color w:val="auto"/>
          <w:szCs w:val="32"/>
        </w:rPr>
      </w:pPr>
      <w:r>
        <w:rPr>
          <w:rFonts w:hint="eastAsia" w:ascii="仿宋_GB2312" w:hAnsi="仿宋_GB2312" w:eastAsia="仿宋_GB2312" w:cs="仿宋_GB2312"/>
          <w:b/>
          <w:bCs/>
          <w:color w:val="auto"/>
          <w:szCs w:val="32"/>
        </w:rPr>
        <w:t>提升工业用地集约利用水平。</w:t>
      </w:r>
      <w:r>
        <w:rPr>
          <w:rFonts w:hint="eastAsia" w:ascii="仿宋_GB2312" w:hAnsi="仿宋_GB2312" w:eastAsia="仿宋_GB2312" w:cs="仿宋_GB2312"/>
          <w:color w:val="auto"/>
          <w:szCs w:val="32"/>
        </w:rPr>
        <w:t>全面摸排盘活园区低效闲置工业用地，通过整改、置换、收储导入优质产业项目。深化工业用地</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标准地</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改革，完善能耗、产值、环保等管控指标。推行混合用地、弹性供地、先租后让等模式，降低企业用地成本，推广多层标准厂房建设，全面提升土地集约利用效能。</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szCs w:val="32"/>
        </w:rPr>
        <w:t>推进智慧园区建设。</w:t>
      </w:r>
      <w:r>
        <w:rPr>
          <w:rFonts w:hint="eastAsia" w:ascii="仿宋_GB2312" w:hAnsi="仿宋_GB2312" w:eastAsia="仿宋_GB2312" w:cs="仿宋_GB2312"/>
          <w:color w:val="auto"/>
          <w:szCs w:val="32"/>
        </w:rPr>
        <w:t>搭建园区智慧管理一体化平台，整合政务、安全、环保、应急等系统，实现智能预警、协同决策。推广AI巡检、智能消防、无感政务等数字化应用，搭建供应链对接平台。创新园区运营模式，健全动态评估机制，严格落实化工园区分级管控、隐患排查，筑牢园区安全环保发展底线。</w:t>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165" w:name="_Toc1266844477"/>
      <w:bookmarkStart w:id="166" w:name="_Toc169966026"/>
      <w:bookmarkStart w:id="167" w:name="_Toc1799176356_WPSOffice_Level2"/>
      <w:bookmarkStart w:id="168" w:name="_Toc1192473477"/>
      <w:r>
        <w:rPr>
          <w:rFonts w:hint="eastAsia" w:ascii="楷体_GB2312" w:hAnsi="楷体_GB2312" w:eastAsia="楷体_GB2312" w:cs="楷体_GB2312"/>
          <w:color w:val="auto"/>
        </w:rPr>
        <w:t>八</w:t>
      </w:r>
      <w:r>
        <w:rPr>
          <w:rFonts w:ascii="楷体_GB2312" w:hAnsi="楷体_GB2312" w:eastAsia="楷体_GB2312" w:cs="楷体_GB2312"/>
          <w:color w:val="auto"/>
        </w:rPr>
        <w:t>、开放合作</w:t>
      </w:r>
      <w:r>
        <w:rPr>
          <w:rFonts w:hint="eastAsia" w:ascii="楷体_GB2312" w:hAnsi="楷体_GB2312" w:eastAsia="楷体_GB2312" w:cs="楷体_GB2312"/>
          <w:color w:val="auto"/>
        </w:rPr>
        <w:t>增动能</w:t>
      </w:r>
      <w:r>
        <w:rPr>
          <w:rFonts w:ascii="楷体_GB2312" w:hAnsi="楷体_GB2312" w:eastAsia="楷体_GB2312" w:cs="楷体_GB2312"/>
          <w:color w:val="auto"/>
        </w:rPr>
        <w:t>工程</w:t>
      </w:r>
      <w:bookmarkEnd w:id="164"/>
      <w:bookmarkEnd w:id="165"/>
      <w:bookmarkEnd w:id="166"/>
      <w:bookmarkEnd w:id="167"/>
      <w:bookmarkEnd w:id="168"/>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color w:val="auto"/>
          <w:szCs w:val="32"/>
        </w:rPr>
      </w:pPr>
      <w:r>
        <w:rPr>
          <w:rFonts w:hint="eastAsia" w:ascii="仿宋_GB2312" w:hAnsi="仿宋_GB2312" w:eastAsia="仿宋_GB2312" w:cs="仿宋_GB2312"/>
          <w:b/>
          <w:bCs/>
          <w:color w:val="auto"/>
          <w:szCs w:val="32"/>
        </w:rPr>
        <w:t>精准承接产业转移。</w:t>
      </w:r>
      <w:r>
        <w:rPr>
          <w:rFonts w:hint="eastAsia" w:ascii="仿宋_GB2312" w:hAnsi="仿宋_GB2312" w:eastAsia="仿宋_GB2312" w:cs="仿宋_GB2312"/>
          <w:color w:val="auto"/>
          <w:szCs w:val="32"/>
        </w:rPr>
        <w:t>立足区位和绿电优势，围绕化工、矿产品精深加工等领域，精准承接东中部产业转移。健全产业承接机制，编制产业转移承接专项方案，解析重点地区产业转移动向，锁定目标企业。定制化发布绿电产业投资清单，定向攻坚出口导向型、绿电敏感型、专精特新企业，深化绿电直连与零碳园区建设，打造东中部产业向西转移重要承接地。</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b/>
          <w:bCs/>
          <w:color w:val="auto"/>
          <w:szCs w:val="32"/>
        </w:rPr>
      </w:pPr>
      <w:r>
        <w:rPr>
          <w:rFonts w:hint="eastAsia" w:ascii="仿宋_GB2312" w:hAnsi="仿宋_GB2312" w:eastAsia="仿宋_GB2312" w:cs="仿宋_GB2312"/>
          <w:b/>
          <w:bCs/>
          <w:color w:val="auto"/>
          <w:szCs w:val="32"/>
        </w:rPr>
        <w:t>加强区域产业协作。</w:t>
      </w:r>
      <w:r>
        <w:rPr>
          <w:rFonts w:hint="eastAsia" w:ascii="仿宋_GB2312" w:hAnsi="仿宋_GB2312" w:eastAsia="仿宋_GB2312" w:cs="仿宋_GB2312"/>
          <w:color w:val="auto"/>
          <w:szCs w:val="32"/>
        </w:rPr>
        <w:t>推动酒嘉双城经济圈建设，整合区域优势产业、补齐产业链短板，打造双城联动发展示范区。依托</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四省十二城</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合作框架，联动张掖、武威等城市带动河西走廊清洁能源及新材料产业集群壮大；深化与哈密互动，强化疆煤东运枢纽功能，推进共建氢能走廊；联合宁蒙地区深化能源、煤化工协作，共建国家新能源战略协作示范区。</w:t>
      </w:r>
    </w:p>
    <w:p>
      <w:pPr>
        <w:keepLines w:val="0"/>
        <w:pageBreakBefore w:val="0"/>
        <w:kinsoku/>
        <w:wordWrap/>
        <w:overflowPunct/>
        <w:topLinePunct w:val="0"/>
        <w:bidi w:val="0"/>
        <w:spacing w:line="560" w:lineRule="exact"/>
        <w:ind w:firstLine="643"/>
        <w:textAlignment w:val="auto"/>
        <w:rPr>
          <w:color w:val="auto"/>
        </w:rPr>
      </w:pPr>
      <w:r>
        <w:rPr>
          <w:rFonts w:hint="eastAsia" w:ascii="仿宋_GB2312" w:hAnsi="仿宋_GB2312" w:eastAsia="仿宋_GB2312" w:cs="仿宋_GB2312"/>
          <w:b/>
          <w:bCs/>
          <w:color w:val="auto"/>
          <w:szCs w:val="32"/>
        </w:rPr>
        <w:t>积极开拓国际市场。</w:t>
      </w:r>
      <w:r>
        <w:rPr>
          <w:rFonts w:hint="eastAsia" w:ascii="仿宋_GB2312" w:hAnsi="仿宋_GB2312" w:eastAsia="仿宋_GB2312" w:cs="仿宋_GB2312"/>
          <w:color w:val="auto"/>
          <w:szCs w:val="32"/>
        </w:rPr>
        <w:t>深度对接中国—中亚合作框架，推进绿电技术输出、新能源装备出口、矿产联合开发等合作。依托酒泉经开区打造出口型新能源装备产业园，布局中亚、中东生产运维基地。发展跨境电商B2B模式，扩大特色工业品出口，完善产品国际碳足迹认证，依托中欧班列畅通物流，擦亮</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酒泉制造</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国际名片。</w:t>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169" w:name="_Toc777581144"/>
      <w:r>
        <w:rPr>
          <w:rFonts w:hint="eastAsia" w:ascii="楷体_GB2312" w:hAnsi="楷体_GB2312" w:eastAsia="楷体_GB2312" w:cs="楷体_GB2312"/>
          <w:color w:val="auto"/>
        </w:rPr>
        <w:t>九、严管安防守底线工程</w:t>
      </w:r>
      <w:bookmarkEnd w:id="169"/>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szCs w:val="32"/>
        </w:rPr>
        <w:t>压实企业安全生产主体责任。</w:t>
      </w:r>
      <w:r>
        <w:rPr>
          <w:rFonts w:hint="eastAsia" w:ascii="仿宋_GB2312" w:hAnsi="仿宋_GB2312" w:eastAsia="仿宋_GB2312" w:cs="仿宋_GB2312"/>
          <w:color w:val="auto"/>
          <w:szCs w:val="32"/>
        </w:rPr>
        <w:t>全面加强工业领域安全生产常态化管理，督促企业严格落实安全生产主体责任，健全企业内部安全管理制度、操作规程和岗位责任体系。常态化开展安全生产教育培训、应急演练，提升从业人员安全操作、风险辨识和应急处置能力，实现安全管理标准化、规范化运行。</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szCs w:val="32"/>
        </w:rPr>
        <w:t>强化重点领域安全管控。</w:t>
      </w:r>
      <w:r>
        <w:rPr>
          <w:rFonts w:hint="eastAsia" w:ascii="仿宋_GB2312" w:hAnsi="仿宋_GB2312" w:eastAsia="仿宋_GB2312" w:cs="仿宋_GB2312"/>
          <w:color w:val="auto"/>
          <w:szCs w:val="32"/>
        </w:rPr>
        <w:t>聚焦化工园区、危化品生产储运、矿产开采、核及核关联、航天航空等高危行业和重点领域，开展常态化安全隐患排查整治，建立隐患台账并实行闭环管理。严格落实化工园区分级管控要求，强化涉危化品、放射性物质、特种设备等重点环节监管，严控各类安全风险。</w:t>
      </w:r>
    </w:p>
    <w:p>
      <w:pPr>
        <w:keepLines w:val="0"/>
        <w:pageBreakBefore w:val="0"/>
        <w:kinsoku/>
        <w:wordWrap/>
        <w:overflowPunct/>
        <w:topLinePunct w:val="0"/>
        <w:bidi w:val="0"/>
        <w:spacing w:line="560" w:lineRule="exact"/>
        <w:ind w:firstLine="643"/>
        <w:textAlignment w:val="auto"/>
        <w:rPr>
          <w:color w:val="auto"/>
        </w:rPr>
      </w:pPr>
      <w:r>
        <w:rPr>
          <w:rFonts w:hint="eastAsia" w:ascii="仿宋_GB2312" w:hAnsi="仿宋_GB2312" w:eastAsia="仿宋_GB2312" w:cs="仿宋_GB2312"/>
          <w:b/>
          <w:bCs/>
          <w:color w:val="auto"/>
          <w:szCs w:val="32"/>
        </w:rPr>
        <w:t>健全安全应急保障体系。</w:t>
      </w:r>
      <w:r>
        <w:rPr>
          <w:rFonts w:hint="eastAsia" w:ascii="仿宋_GB2312" w:hAnsi="仿宋_GB2312" w:eastAsia="仿宋_GB2312" w:cs="仿宋_GB2312"/>
          <w:color w:val="auto"/>
          <w:szCs w:val="32"/>
        </w:rPr>
        <w:t>完善市县、园区、企业三级安全生产应急救援体系，配齐配强应急物资、装备与专业救援队伍。搭建安全智能监测预警平台，运用数字化、智能化手段对重点企业、关键设备、重大危险源进行实时监控，实现风险提前预警、快速响应。强化跨部门、跨园区应急联动机制，提升突发事件协同处置能力。</w:t>
      </w:r>
    </w:p>
    <w:p>
      <w:pPr>
        <w:keepLines w:val="0"/>
        <w:pageBreakBefore w:val="0"/>
        <w:kinsoku/>
        <w:wordWrap/>
        <w:overflowPunct/>
        <w:topLinePunct w:val="0"/>
        <w:bidi w:val="0"/>
        <w:spacing w:line="560" w:lineRule="exact"/>
        <w:ind w:firstLine="640"/>
        <w:textAlignment w:val="auto"/>
        <w:rPr>
          <w:rFonts w:ascii="仿宋_GB2312" w:hAnsi="仿宋_GB2312" w:eastAsia="仿宋_GB2312" w:cs="仿宋_GB2312"/>
          <w:color w:val="auto"/>
          <w:szCs w:val="32"/>
        </w:rPr>
      </w:pPr>
      <w:r>
        <w:rPr>
          <w:rFonts w:hint="eastAsia" w:ascii="仿宋_GB2312" w:hAnsi="仿宋_GB2312" w:eastAsia="仿宋_GB2312" w:cs="仿宋_GB2312"/>
          <w:color w:val="auto"/>
          <w:szCs w:val="32"/>
        </w:rPr>
        <w:br w:type="page"/>
      </w:r>
    </w:p>
    <w:p>
      <w:pPr>
        <w:pStyle w:val="3"/>
        <w:keepLines w:val="0"/>
        <w:pageBreakBefore w:val="0"/>
        <w:kinsoku/>
        <w:wordWrap/>
        <w:overflowPunct/>
        <w:topLinePunct w:val="0"/>
        <w:bidi w:val="0"/>
        <w:spacing w:before="0" w:beforeAutospacing="0" w:after="0" w:afterAutospacing="0" w:line="560" w:lineRule="exact"/>
        <w:ind w:firstLine="0" w:firstLineChars="0"/>
        <w:jc w:val="center"/>
        <w:textAlignment w:val="auto"/>
        <w:rPr>
          <w:rFonts w:hint="default" w:ascii="Times New Roman" w:hAnsi="Times New Roman" w:eastAsia="黑体"/>
          <w:b w:val="0"/>
          <w:bCs w:val="0"/>
          <w:color w:val="auto"/>
          <w:sz w:val="36"/>
          <w:szCs w:val="36"/>
        </w:rPr>
      </w:pPr>
      <w:bookmarkStart w:id="170" w:name="_Toc29056"/>
      <w:bookmarkStart w:id="171" w:name="_Toc940717454"/>
      <w:r>
        <w:rPr>
          <w:rFonts w:ascii="Times New Roman" w:hAnsi="Times New Roman" w:eastAsia="黑体"/>
          <w:b w:val="0"/>
          <w:bCs w:val="0"/>
          <w:color w:val="auto"/>
          <w:sz w:val="36"/>
          <w:szCs w:val="36"/>
        </w:rPr>
        <w:t xml:space="preserve">第六章 </w:t>
      </w:r>
      <w:bookmarkEnd w:id="170"/>
      <w:r>
        <w:rPr>
          <w:rFonts w:ascii="Times New Roman" w:hAnsi="Times New Roman" w:eastAsia="黑体"/>
          <w:b w:val="0"/>
          <w:bCs w:val="0"/>
          <w:color w:val="auto"/>
          <w:sz w:val="36"/>
          <w:szCs w:val="36"/>
        </w:rPr>
        <w:t>加强环境保护</w:t>
      </w:r>
      <w:bookmarkEnd w:id="171"/>
    </w:p>
    <w:p>
      <w:pPr>
        <w:keepLines w:val="0"/>
        <w:pageBreakBefore w:val="0"/>
        <w:kinsoku/>
        <w:wordWrap/>
        <w:overflowPunct/>
        <w:topLinePunct w:val="0"/>
        <w:bidi w:val="0"/>
        <w:spacing w:line="560" w:lineRule="exact"/>
        <w:ind w:firstLine="640"/>
        <w:textAlignment w:val="auto"/>
        <w:rPr>
          <w:rFonts w:ascii="仿宋_GB2312" w:hAnsi="仿宋_GB2312" w:eastAsia="仿宋_GB2312" w:cs="仿宋_GB2312"/>
          <w:color w:val="auto"/>
          <w:szCs w:val="32"/>
        </w:rPr>
      </w:pP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172" w:name="_Toc575691086"/>
      <w:r>
        <w:rPr>
          <w:rFonts w:hint="eastAsia" w:ascii="楷体_GB2312" w:hAnsi="楷体_GB2312" w:eastAsia="楷体_GB2312" w:cs="楷体_GB2312"/>
          <w:color w:val="auto"/>
        </w:rPr>
        <w:t>一、严格落实生态环境分区管控</w:t>
      </w:r>
      <w:bookmarkEnd w:id="172"/>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szCs w:val="32"/>
        </w:rPr>
        <w:t>严守空间管控准入底线。</w:t>
      </w:r>
      <w:r>
        <w:rPr>
          <w:rFonts w:hint="eastAsia" w:ascii="仿宋_GB2312" w:hAnsi="仿宋_GB2312" w:eastAsia="仿宋_GB2312" w:cs="仿宋_GB2312"/>
          <w:color w:val="auto"/>
          <w:szCs w:val="32"/>
        </w:rPr>
        <w:t xml:space="preserve">全面衔接全市生态环境分区管控及国土空间用途管制要求，严守生态保护红线、环境质量底线、资源利用上线管控要求，依托差异化准入清单规范工业项目布局和产业准入。聚焦化工园区等重点管控单元，从严把控高耗水、高排放、低效能工业项目准入，从源头优化工业结构。协同生态环境部门做好规划环评、项目环评衔接，引导企业实施绿电替代与节能技改，持续提升工业领域绿色低碳发展水平。 </w:t>
      </w:r>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szCs w:val="32"/>
        </w:rPr>
        <w:t>筑牢工业环境安全防线。</w:t>
      </w:r>
      <w:r>
        <w:rPr>
          <w:rFonts w:hint="eastAsia" w:ascii="仿宋_GB2312" w:hAnsi="仿宋_GB2312" w:eastAsia="仿宋_GB2312" w:cs="仿宋_GB2312"/>
          <w:color w:val="auto"/>
          <w:szCs w:val="32"/>
        </w:rPr>
        <w:t>协同推进工业领域环境风险防控，配合开展涉危化品、危险废物、重金属重点企业隐患排查整治。指导工业园区优化产业布局、完善环保配套，依托园区循环化改造推动工业固废源头减量、规范贮存和资源化利用。推动涉重金属行业工艺升级、清洁生产改造，严格落实污染物减量替代要求。配合开展新污染物环境风险筛查评估，从严规范涉新污染物工业项目准入。协同做好涉源涉辐工业企业常态化安全管理，夯实工业领域环境安全底线。</w:t>
      </w:r>
    </w:p>
    <w:p>
      <w:pPr>
        <w:pStyle w:val="4"/>
        <w:keepLines w:val="0"/>
        <w:pageBreakBefore w:val="0"/>
        <w:kinsoku/>
        <w:wordWrap/>
        <w:overflowPunct/>
        <w:topLinePunct w:val="0"/>
        <w:bidi w:val="0"/>
        <w:spacing w:before="0" w:after="0" w:line="560" w:lineRule="exact"/>
        <w:ind w:firstLine="643"/>
        <w:textAlignment w:val="auto"/>
        <w:rPr>
          <w:rFonts w:ascii="楷体_GB2312" w:hAnsi="楷体_GB2312" w:eastAsia="楷体_GB2312" w:cs="楷体_GB2312"/>
          <w:color w:val="auto"/>
        </w:rPr>
      </w:pPr>
      <w:bookmarkStart w:id="173" w:name="_Toc1824095678"/>
      <w:r>
        <w:rPr>
          <w:rFonts w:hint="eastAsia" w:ascii="楷体_GB2312" w:hAnsi="楷体_GB2312" w:eastAsia="楷体_GB2312" w:cs="楷体_GB2312"/>
          <w:color w:val="auto"/>
        </w:rPr>
        <w:t>二、优化工业领域环境综合管控</w:t>
      </w:r>
      <w:bookmarkEnd w:id="173"/>
    </w:p>
    <w:p>
      <w:pPr>
        <w:keepLines w:val="0"/>
        <w:pageBreakBefore w:val="0"/>
        <w:kinsoku/>
        <w:wordWrap/>
        <w:overflowPunct/>
        <w:topLinePunct w:val="0"/>
        <w:bidi w:val="0"/>
        <w:spacing w:line="560" w:lineRule="exact"/>
        <w:ind w:firstLine="643"/>
        <w:textAlignment w:val="auto"/>
        <w:rPr>
          <w:rFonts w:ascii="仿宋_GB2312" w:hAnsi="仿宋_GB2312" w:eastAsia="仿宋_GB2312" w:cs="仿宋_GB2312"/>
          <w:color w:val="auto"/>
          <w:szCs w:val="32"/>
        </w:rPr>
      </w:pPr>
      <w:r>
        <w:rPr>
          <w:rFonts w:hint="eastAsia" w:ascii="仿宋_GB2312" w:hAnsi="仿宋_GB2312" w:eastAsia="仿宋_GB2312" w:cs="仿宋_GB2312"/>
          <w:b/>
          <w:bCs/>
          <w:color w:val="auto"/>
          <w:szCs w:val="32"/>
        </w:rPr>
        <w:t>强化资源节约集约利用。</w:t>
      </w:r>
      <w:r>
        <w:rPr>
          <w:rFonts w:hint="eastAsia" w:ascii="仿宋_GB2312" w:hAnsi="仿宋_GB2312" w:eastAsia="仿宋_GB2312" w:cs="仿宋_GB2312"/>
          <w:color w:val="auto"/>
          <w:szCs w:val="32"/>
        </w:rPr>
        <w:t>严守水资源刚性约束，持续推广工业循环用水、中水回用等节水技术，推动重点用水企业全面达到节水型企业标准。严格控制建设用地规模，推进节约集约高效利用。聚焦化工园区等重点区域，协同强化工业环境管控，督促入园项目严格落实环保</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三同时</w:t>
      </w:r>
      <w:r>
        <w:rPr>
          <w:rFonts w:hint="default" w:ascii="仿宋_GB2312" w:hAnsi="仿宋_GB2312" w:eastAsia="仿宋_GB2312" w:cs="仿宋_GB2312"/>
          <w:color w:val="auto"/>
          <w:szCs w:val="32"/>
          <w:lang w:val="en"/>
        </w:rPr>
        <w:t>”</w:t>
      </w:r>
      <w:r>
        <w:rPr>
          <w:rFonts w:hint="eastAsia" w:ascii="仿宋_GB2312" w:hAnsi="仿宋_GB2312" w:eastAsia="仿宋_GB2312" w:cs="仿宋_GB2312"/>
          <w:color w:val="auto"/>
          <w:szCs w:val="32"/>
        </w:rPr>
        <w:t>制度，引导企业推行物料闭路循环、能量梯级利用，最大限度削减生产端污染物排放。</w:t>
      </w:r>
    </w:p>
    <w:p>
      <w:pPr>
        <w:keepLines w:val="0"/>
        <w:pageBreakBefore w:val="0"/>
        <w:kinsoku/>
        <w:wordWrap/>
        <w:overflowPunct/>
        <w:topLinePunct w:val="0"/>
        <w:bidi w:val="0"/>
        <w:spacing w:line="560" w:lineRule="exact"/>
        <w:ind w:firstLine="643"/>
        <w:textAlignment w:val="auto"/>
        <w:rPr>
          <w:rFonts w:ascii="Times New Roman" w:hAnsi="Times New Roman" w:eastAsia="仿宋"/>
          <w:color w:val="auto"/>
          <w:szCs w:val="32"/>
        </w:rPr>
      </w:pPr>
      <w:r>
        <w:rPr>
          <w:rFonts w:hint="eastAsia" w:ascii="仿宋_GB2312" w:hAnsi="仿宋_GB2312" w:eastAsia="仿宋_GB2312" w:cs="仿宋_GB2312"/>
          <w:b/>
          <w:bCs/>
          <w:color w:val="auto"/>
          <w:szCs w:val="32"/>
        </w:rPr>
        <w:t>健全绿色发展管控体系。</w:t>
      </w:r>
      <w:r>
        <w:rPr>
          <w:rFonts w:hint="eastAsia" w:ascii="仿宋_GB2312" w:hAnsi="仿宋_GB2312" w:eastAsia="仿宋_GB2312" w:cs="仿宋_GB2312"/>
          <w:color w:val="auto"/>
          <w:szCs w:val="32"/>
        </w:rPr>
        <w:t>全面配合落实排污许可管理制度，协同推进环保信用评价、环境信息依法披露、生态环境损害赔偿等制度落地。健全工业领域绿色激励导向，对采用绿电生产、资源循环利用技术的企业和项目，在政策扶持、项目申报、示范培育等方面予以优先支持。鼓励工业企业开展产品碳足迹认证，助力外向型企业绿色低碳提质增效，实现生态环境保护与工业高质量发展协同共进。</w:t>
      </w:r>
    </w:p>
    <w:p>
      <w:pPr>
        <w:pStyle w:val="3"/>
        <w:keepLines w:val="0"/>
        <w:pageBreakBefore w:val="0"/>
        <w:widowControl w:val="0"/>
        <w:kinsoku/>
        <w:wordWrap/>
        <w:overflowPunct/>
        <w:topLinePunct w:val="0"/>
        <w:autoSpaceDE/>
        <w:autoSpaceDN/>
        <w:bidi w:val="0"/>
        <w:adjustRightInd/>
        <w:snapToGrid/>
        <w:spacing w:before="0" w:beforeAutospacing="0" w:after="0" w:afterAutospacing="0" w:line="530" w:lineRule="exact"/>
        <w:ind w:firstLine="0" w:firstLineChars="0"/>
        <w:jc w:val="center"/>
        <w:textAlignment w:val="auto"/>
        <w:rPr>
          <w:rFonts w:hint="default" w:ascii="Times New Roman" w:hAnsi="Times New Roman" w:eastAsia="黑体"/>
          <w:b w:val="0"/>
          <w:bCs w:val="0"/>
          <w:color w:val="auto"/>
          <w:sz w:val="32"/>
          <w:szCs w:val="32"/>
        </w:rPr>
      </w:pPr>
      <w:r>
        <w:rPr>
          <w:rFonts w:hint="default" w:ascii="Times New Roman" w:hAnsi="Times New Roman" w:eastAsia="黑体"/>
          <w:color w:val="auto"/>
          <w:sz w:val="32"/>
          <w:szCs w:val="32"/>
        </w:rPr>
        <w:br w:type="page"/>
      </w:r>
      <w:bookmarkStart w:id="174" w:name="_Toc27615"/>
      <w:bookmarkStart w:id="175" w:name="_Toc327333185"/>
      <w:r>
        <w:rPr>
          <w:rFonts w:ascii="Times New Roman" w:hAnsi="Times New Roman" w:eastAsia="黑体"/>
          <w:b w:val="0"/>
          <w:bCs w:val="0"/>
          <w:color w:val="auto"/>
          <w:sz w:val="36"/>
          <w:szCs w:val="36"/>
        </w:rPr>
        <w:t xml:space="preserve">第七章 </w:t>
      </w:r>
      <w:r>
        <w:rPr>
          <w:rFonts w:hint="default" w:ascii="Times New Roman" w:hAnsi="Times New Roman" w:eastAsia="黑体"/>
          <w:b w:val="0"/>
          <w:bCs w:val="0"/>
          <w:color w:val="auto"/>
          <w:sz w:val="36"/>
          <w:szCs w:val="36"/>
        </w:rPr>
        <w:t>保障措施</w:t>
      </w:r>
      <w:bookmarkEnd w:id="174"/>
      <w:bookmarkEnd w:id="175"/>
    </w:p>
    <w:p>
      <w:pPr>
        <w:pStyle w:val="3"/>
        <w:keepLines w:val="0"/>
        <w:pageBreakBefore w:val="0"/>
        <w:widowControl w:val="0"/>
        <w:kinsoku/>
        <w:wordWrap/>
        <w:overflowPunct/>
        <w:topLinePunct w:val="0"/>
        <w:autoSpaceDE/>
        <w:autoSpaceDN/>
        <w:bidi w:val="0"/>
        <w:adjustRightInd/>
        <w:snapToGrid/>
        <w:spacing w:before="0" w:beforeAutospacing="0" w:after="0" w:afterAutospacing="0" w:line="530" w:lineRule="exact"/>
        <w:ind w:firstLine="0" w:firstLineChars="0"/>
        <w:jc w:val="both"/>
        <w:textAlignment w:val="auto"/>
        <w:rPr>
          <w:rFonts w:hint="default" w:ascii="楷体_GB2312" w:hAnsi="楷体_GB2312" w:eastAsia="楷体_GB2312" w:cs="楷体_GB2312"/>
          <w:bCs w:val="0"/>
          <w:color w:val="auto"/>
          <w:kern w:val="2"/>
          <w:sz w:val="32"/>
          <w:szCs w:val="24"/>
        </w:rPr>
      </w:pPr>
    </w:p>
    <w:p>
      <w:pPr>
        <w:pStyle w:val="4"/>
        <w:keepLines w:val="0"/>
        <w:pageBreakBefore w:val="0"/>
        <w:widowControl w:val="0"/>
        <w:kinsoku/>
        <w:wordWrap/>
        <w:overflowPunct/>
        <w:topLinePunct w:val="0"/>
        <w:autoSpaceDE/>
        <w:autoSpaceDN/>
        <w:bidi w:val="0"/>
        <w:adjustRightInd/>
        <w:snapToGrid/>
        <w:spacing w:before="0" w:after="0" w:line="530" w:lineRule="exact"/>
        <w:ind w:firstLine="643"/>
        <w:textAlignment w:val="auto"/>
        <w:rPr>
          <w:rFonts w:ascii="楷体_GB2312" w:hAnsi="楷体_GB2312" w:eastAsia="楷体_GB2312" w:cs="楷体_GB2312"/>
          <w:color w:val="auto"/>
        </w:rPr>
      </w:pPr>
      <w:bookmarkStart w:id="176" w:name="_Toc22590"/>
      <w:bookmarkStart w:id="177" w:name="_Toc397385325"/>
      <w:r>
        <w:rPr>
          <w:rFonts w:ascii="楷体_GB2312" w:hAnsi="楷体_GB2312" w:eastAsia="楷体_GB2312" w:cs="楷体_GB2312"/>
          <w:color w:val="auto"/>
        </w:rPr>
        <w:t>一、加强组织实施</w:t>
      </w:r>
      <w:bookmarkEnd w:id="176"/>
      <w:bookmarkEnd w:id="177"/>
    </w:p>
    <w:p>
      <w:pPr>
        <w:keepLines w:val="0"/>
        <w:pageBreakBefore w:val="0"/>
        <w:widowControl w:val="0"/>
        <w:kinsoku/>
        <w:wordWrap/>
        <w:overflowPunct/>
        <w:topLinePunct w:val="0"/>
        <w:autoSpaceDE/>
        <w:autoSpaceDN/>
        <w:bidi w:val="0"/>
        <w:adjustRightInd/>
        <w:snapToGrid/>
        <w:spacing w:line="530" w:lineRule="exact"/>
        <w:ind w:firstLine="640"/>
        <w:textAlignment w:val="auto"/>
        <w:rPr>
          <w:rFonts w:ascii="仿宋_GB2312" w:hAnsi="仿宋_GB2312" w:eastAsia="仿宋_GB2312" w:cs="仿宋_GB2312"/>
          <w:color w:val="auto"/>
        </w:rPr>
      </w:pPr>
      <w:r>
        <w:rPr>
          <w:rFonts w:hint="eastAsia" w:ascii="仿宋_GB2312" w:hAnsi="仿宋_GB2312" w:eastAsia="仿宋_GB2312" w:cs="仿宋_GB2312"/>
          <w:color w:val="auto"/>
        </w:rPr>
        <w:t>充分发挥酒泉市强工业行动工作领导小组作用，强化市县统筹、部门协同、分级落实，形成工作合力。明确工作重点，细化工作方案，强化日常督查和年终考评双重考核机制，将工业经济高质量发展重点工作纳入综合考评，提高考核比重。重视发挥行业协会</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桥梁</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媒介作用，强化外脑借力，完善智库咨询、产业研究等工作协同机制，为推动酒泉工业经济高质量发展提供重要智力支撑。</w:t>
      </w:r>
    </w:p>
    <w:p>
      <w:pPr>
        <w:pStyle w:val="4"/>
        <w:keepLines w:val="0"/>
        <w:pageBreakBefore w:val="0"/>
        <w:widowControl w:val="0"/>
        <w:kinsoku/>
        <w:wordWrap/>
        <w:overflowPunct/>
        <w:topLinePunct w:val="0"/>
        <w:autoSpaceDE/>
        <w:autoSpaceDN/>
        <w:bidi w:val="0"/>
        <w:adjustRightInd/>
        <w:snapToGrid/>
        <w:spacing w:before="0" w:after="0" w:line="530" w:lineRule="exact"/>
        <w:ind w:firstLine="643"/>
        <w:textAlignment w:val="auto"/>
        <w:rPr>
          <w:rFonts w:ascii="楷体_GB2312" w:hAnsi="楷体_GB2312" w:eastAsia="楷体_GB2312" w:cs="楷体_GB2312"/>
          <w:color w:val="auto"/>
        </w:rPr>
      </w:pPr>
      <w:bookmarkStart w:id="178" w:name="_Toc2105603971"/>
      <w:r>
        <w:rPr>
          <w:rFonts w:ascii="楷体_GB2312" w:hAnsi="楷体_GB2312" w:eastAsia="楷体_GB2312" w:cs="楷体_GB2312"/>
          <w:color w:val="auto"/>
          <w:lang w:val="en"/>
        </w:rPr>
        <w:t>二</w:t>
      </w:r>
      <w:r>
        <w:rPr>
          <w:rFonts w:hint="eastAsia" w:ascii="楷体_GB2312" w:hAnsi="楷体_GB2312" w:eastAsia="楷体_GB2312" w:cs="楷体_GB2312"/>
          <w:color w:val="auto"/>
        </w:rPr>
        <w:t>、完善政策体系</w:t>
      </w:r>
      <w:bookmarkEnd w:id="178"/>
    </w:p>
    <w:p>
      <w:pPr>
        <w:keepLines w:val="0"/>
        <w:pageBreakBefore w:val="0"/>
        <w:widowControl w:val="0"/>
        <w:kinsoku/>
        <w:wordWrap/>
        <w:overflowPunct/>
        <w:topLinePunct w:val="0"/>
        <w:autoSpaceDE/>
        <w:autoSpaceDN/>
        <w:bidi w:val="0"/>
        <w:adjustRightInd/>
        <w:snapToGrid/>
        <w:spacing w:line="530" w:lineRule="exact"/>
        <w:ind w:firstLine="640"/>
        <w:textAlignment w:val="auto"/>
        <w:rPr>
          <w:rFonts w:ascii="仿宋_GB2312" w:hAnsi="仿宋_GB2312" w:eastAsia="仿宋_GB2312" w:cs="仿宋_GB2312"/>
          <w:color w:val="auto"/>
        </w:rPr>
      </w:pPr>
      <w:r>
        <w:rPr>
          <w:rFonts w:hint="eastAsia" w:ascii="仿宋_GB2312" w:hAnsi="仿宋_GB2312" w:eastAsia="仿宋_GB2312" w:cs="仿宋_GB2312"/>
          <w:color w:val="auto"/>
        </w:rPr>
        <w:t>坚持系统谋划，立足酒泉资源禀赋和</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强工业</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战略部署，构建</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规划引领+专项政策</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的政策体系。积极向上争取，推动国家批准开展</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绿电跨境交易</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等特殊政策试点；依托</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绿电直供</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模式，降低风电、光伏等新能源装备制造企业跨境合作用电成本。用足用好矿产加工复出口政策，打造资源高效利用的国际供应链节点。创新涉外服务机制，深化与中亚国家在新能源、装备制造等领域的产业链协作，在税收、用地、金融等方面给予专项支持，形成</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政策试点+机构保障+法治护航</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的全链条支撑体系。</w:t>
      </w:r>
    </w:p>
    <w:p>
      <w:pPr>
        <w:pStyle w:val="4"/>
        <w:keepLines w:val="0"/>
        <w:pageBreakBefore w:val="0"/>
        <w:widowControl w:val="0"/>
        <w:kinsoku/>
        <w:wordWrap/>
        <w:overflowPunct/>
        <w:topLinePunct w:val="0"/>
        <w:autoSpaceDE/>
        <w:autoSpaceDN/>
        <w:bidi w:val="0"/>
        <w:adjustRightInd/>
        <w:snapToGrid/>
        <w:spacing w:before="0" w:after="0" w:line="530" w:lineRule="exact"/>
        <w:ind w:firstLine="643"/>
        <w:textAlignment w:val="auto"/>
        <w:rPr>
          <w:rFonts w:ascii="楷体_GB2312" w:hAnsi="楷体_GB2312" w:eastAsia="楷体_GB2312" w:cs="楷体_GB2312"/>
          <w:color w:val="auto"/>
        </w:rPr>
      </w:pPr>
      <w:bookmarkStart w:id="179" w:name="_Toc7160"/>
      <w:bookmarkStart w:id="180" w:name="_Toc908048676"/>
      <w:r>
        <w:rPr>
          <w:rFonts w:ascii="楷体_GB2312" w:hAnsi="楷体_GB2312" w:eastAsia="楷体_GB2312" w:cs="楷体_GB2312"/>
          <w:color w:val="auto"/>
        </w:rPr>
        <w:t>三、强化资源配置</w:t>
      </w:r>
      <w:bookmarkEnd w:id="179"/>
      <w:bookmarkEnd w:id="180"/>
    </w:p>
    <w:p>
      <w:pPr>
        <w:keepLines w:val="0"/>
        <w:pageBreakBefore w:val="0"/>
        <w:widowControl w:val="0"/>
        <w:kinsoku/>
        <w:wordWrap/>
        <w:overflowPunct/>
        <w:topLinePunct w:val="0"/>
        <w:autoSpaceDE/>
        <w:autoSpaceDN/>
        <w:bidi w:val="0"/>
        <w:adjustRightInd/>
        <w:snapToGrid/>
        <w:spacing w:line="530" w:lineRule="exact"/>
        <w:ind w:firstLine="640"/>
        <w:textAlignment w:val="auto"/>
        <w:rPr>
          <w:rFonts w:ascii="仿宋_GB2312" w:hAnsi="仿宋_GB2312" w:eastAsia="仿宋_GB2312" w:cs="仿宋_GB2312"/>
          <w:color w:val="auto"/>
        </w:rPr>
      </w:pPr>
      <w:r>
        <w:rPr>
          <w:rFonts w:hint="eastAsia" w:ascii="仿宋_GB2312" w:hAnsi="仿宋_GB2312" w:eastAsia="仿宋_GB2312" w:cs="仿宋_GB2312"/>
          <w:color w:val="auto"/>
        </w:rPr>
        <w:t>深入推进工业用地全域整治，加快低效用地腾退和落后产能出清。完善差别化用地、用能、排放等政策，全面提升</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亩均效益</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。强化环境资源要素保障，推动排污权、碳排放权等指标向高质量产业项目倾斜。加大金融支持力度，实施融资畅通工程，常态化开展银企对接，打通金融服务</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最后一公里</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。改革重大产业项目招引建设机制，建立招商资源统筹机制，实现重大项目全市统筹、要素资源集聚保障、发展利益合理共享。</w:t>
      </w:r>
    </w:p>
    <w:p>
      <w:pPr>
        <w:pStyle w:val="4"/>
        <w:keepLines w:val="0"/>
        <w:pageBreakBefore w:val="0"/>
        <w:widowControl w:val="0"/>
        <w:kinsoku/>
        <w:wordWrap/>
        <w:overflowPunct/>
        <w:topLinePunct w:val="0"/>
        <w:autoSpaceDE/>
        <w:autoSpaceDN/>
        <w:bidi w:val="0"/>
        <w:adjustRightInd/>
        <w:snapToGrid/>
        <w:spacing w:before="0" w:after="0" w:line="530" w:lineRule="exact"/>
        <w:ind w:firstLine="643"/>
        <w:textAlignment w:val="auto"/>
        <w:rPr>
          <w:rFonts w:ascii="楷体_GB2312" w:hAnsi="楷体_GB2312" w:eastAsia="楷体_GB2312" w:cs="楷体_GB2312"/>
          <w:color w:val="auto"/>
        </w:rPr>
      </w:pPr>
      <w:bookmarkStart w:id="181" w:name="_Toc3372"/>
      <w:bookmarkStart w:id="182" w:name="_Toc1663216778"/>
      <w:bookmarkStart w:id="183" w:name="_Toc13521"/>
      <w:r>
        <w:rPr>
          <w:rFonts w:ascii="楷体_GB2312" w:hAnsi="楷体_GB2312" w:eastAsia="楷体_GB2312" w:cs="楷体_GB2312"/>
          <w:color w:val="auto"/>
          <w:lang w:val="en"/>
        </w:rPr>
        <w:t>四</w:t>
      </w:r>
      <w:r>
        <w:rPr>
          <w:rFonts w:ascii="楷体_GB2312" w:hAnsi="楷体_GB2312" w:eastAsia="楷体_GB2312" w:cs="楷体_GB2312"/>
          <w:color w:val="auto"/>
        </w:rPr>
        <w:t>、优化营商环境</w:t>
      </w:r>
      <w:bookmarkEnd w:id="181"/>
      <w:bookmarkEnd w:id="182"/>
      <w:bookmarkEnd w:id="183"/>
    </w:p>
    <w:p>
      <w:pPr>
        <w:keepLines w:val="0"/>
        <w:pageBreakBefore w:val="0"/>
        <w:widowControl w:val="0"/>
        <w:kinsoku/>
        <w:wordWrap/>
        <w:overflowPunct/>
        <w:topLinePunct w:val="0"/>
        <w:autoSpaceDE/>
        <w:autoSpaceDN/>
        <w:bidi w:val="0"/>
        <w:adjustRightInd/>
        <w:snapToGrid/>
        <w:spacing w:line="530" w:lineRule="exact"/>
        <w:ind w:firstLine="640"/>
        <w:textAlignment w:val="auto"/>
        <w:rPr>
          <w:rFonts w:ascii="仿宋_GB2312" w:hAnsi="仿宋_GB2312" w:eastAsia="仿宋_GB2312" w:cs="仿宋_GB2312"/>
          <w:color w:val="auto"/>
        </w:rPr>
      </w:pPr>
      <w:r>
        <w:rPr>
          <w:rFonts w:hint="eastAsia" w:ascii="仿宋_GB2312" w:hAnsi="仿宋_GB2312" w:eastAsia="仿宋_GB2312" w:cs="仿宋_GB2312"/>
          <w:color w:val="auto"/>
        </w:rPr>
        <w:t>深化投资审批制度改革，推进</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企业服务一件事</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，实现数据</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多跑路</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、企业</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少跑腿</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，确保企业开办全流程</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一日办结</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、地方设置涉企事项</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零许可</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。深化土地管理制度改革，加强土地指标统筹，扩大</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标准地</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供应规模。搭建政策兑现直通平台，推行涉企政策</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免申即享</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，提升政策直达率和覆盖面。持续为企业降本减负，打好减税降费</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组合拳</w:t>
      </w:r>
      <w:r>
        <w:rPr>
          <w:rFonts w:hint="default" w:ascii="仿宋_GB2312" w:hAnsi="仿宋_GB2312" w:eastAsia="仿宋_GB2312" w:cs="仿宋_GB2312"/>
          <w:color w:val="auto"/>
          <w:lang w:val="en"/>
        </w:rPr>
        <w:t>”</w:t>
      </w:r>
      <w:r>
        <w:rPr>
          <w:rFonts w:hint="eastAsia" w:ascii="仿宋_GB2312" w:hAnsi="仿宋_GB2312" w:eastAsia="仿宋_GB2312" w:cs="仿宋_GB2312"/>
          <w:color w:val="auto"/>
        </w:rPr>
        <w:t>，增强企业生存发展能力和盈利水平。健全企业经营风险监测预警体系，构建企业纾困解难工作闭环。</w:t>
      </w:r>
    </w:p>
    <w:p>
      <w:pPr>
        <w:pStyle w:val="4"/>
        <w:keepLines w:val="0"/>
        <w:pageBreakBefore w:val="0"/>
        <w:widowControl w:val="0"/>
        <w:kinsoku/>
        <w:wordWrap/>
        <w:overflowPunct/>
        <w:topLinePunct w:val="0"/>
        <w:autoSpaceDE/>
        <w:autoSpaceDN/>
        <w:bidi w:val="0"/>
        <w:adjustRightInd/>
        <w:snapToGrid/>
        <w:spacing w:before="0" w:after="0" w:line="530" w:lineRule="exact"/>
        <w:ind w:firstLine="643"/>
        <w:textAlignment w:val="auto"/>
        <w:rPr>
          <w:rFonts w:ascii="楷体_GB2312" w:hAnsi="楷体_GB2312" w:eastAsia="楷体_GB2312" w:cs="楷体_GB2312"/>
          <w:color w:val="auto"/>
        </w:rPr>
      </w:pPr>
      <w:bookmarkStart w:id="184" w:name="_Toc18061"/>
      <w:bookmarkStart w:id="185" w:name="_Toc1227188946"/>
      <w:r>
        <w:rPr>
          <w:rFonts w:ascii="楷体_GB2312" w:hAnsi="楷体_GB2312" w:eastAsia="楷体_GB2312" w:cs="楷体_GB2312"/>
          <w:color w:val="auto"/>
          <w:lang w:val="en"/>
        </w:rPr>
        <w:t>五</w:t>
      </w:r>
      <w:r>
        <w:rPr>
          <w:rFonts w:ascii="楷体_GB2312" w:hAnsi="楷体_GB2312" w:eastAsia="楷体_GB2312" w:cs="楷体_GB2312"/>
          <w:color w:val="auto"/>
        </w:rPr>
        <w:t>、加强督导评价</w:t>
      </w:r>
      <w:bookmarkEnd w:id="184"/>
      <w:bookmarkEnd w:id="185"/>
    </w:p>
    <w:p>
      <w:pPr>
        <w:pStyle w:val="18"/>
        <w:keepLines w:val="0"/>
        <w:pageBreakBefore w:val="0"/>
        <w:widowControl w:val="0"/>
        <w:kinsoku/>
        <w:wordWrap/>
        <w:overflowPunct/>
        <w:topLinePunct w:val="0"/>
        <w:autoSpaceDE/>
        <w:autoSpaceDN/>
        <w:bidi w:val="0"/>
        <w:adjustRightInd/>
        <w:snapToGrid/>
        <w:spacing w:before="0" w:beforeAutospacing="0" w:after="0" w:afterAutospacing="0" w:line="530" w:lineRule="exact"/>
        <w:ind w:firstLine="640"/>
        <w:textAlignment w:val="auto"/>
        <w:rPr>
          <w:rFonts w:ascii="楷体_GB2312" w:hAnsi="楷体_GB2312" w:eastAsia="楷体_GB2312" w:cs="楷体_GB2312"/>
          <w:color w:val="auto"/>
          <w:lang w:val="en"/>
        </w:rPr>
      </w:pPr>
      <w:r>
        <w:rPr>
          <w:rFonts w:hint="eastAsia" w:ascii="仿宋_GB2312" w:hAnsi="仿宋_GB2312" w:eastAsia="仿宋_GB2312" w:cs="仿宋_GB2312"/>
          <w:color w:val="auto"/>
          <w:sz w:val="32"/>
          <w:szCs w:val="32"/>
        </w:rPr>
        <w:t>建立工业红线管控机制，确保重点工业平台规划用地总规模占城市建设用地的比例保持在合理区间。有序推进工业大地块集聚，提升重大产业项目承载能力。不折不扣落实减税降费政策，切实降低企业生产经营成本。探索建立</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企业评价+政府奖励</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的人才激励保障机制，开辟高层次人才来酒泉创新创业</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绿色通道</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，提供全方位</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保姆式</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服务。大力弘扬优秀企业家精神，营造全社会尊重、宽容、爱护企业家的浓厚氛围，激发创新创业活力。</w:t>
      </w:r>
      <w:bookmarkStart w:id="186" w:name="_GoBack"/>
      <w:bookmarkEnd w:id="186"/>
    </w:p>
    <w:sectPr>
      <w:footerReference r:id="rId11" w:type="default"/>
      <w:pgSz w:w="11906" w:h="16838"/>
      <w:pgMar w:top="2098" w:right="1474" w:bottom="1984" w:left="1587" w:header="851" w:footer="992"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ESI黑体-GB2312">
    <w:panose1 w:val="02000500000000000000"/>
    <w:charset w:val="86"/>
    <w:family w:val="auto"/>
    <w:pitch w:val="default"/>
    <w:sig w:usb0="800002BF" w:usb1="184F6CF8" w:usb2="00000012" w:usb3="00000000" w:csb0="0004000F" w:csb1="00000000"/>
  </w:font>
  <w:font w:name="楷体_GB2312">
    <w:panose1 w:val="02010609030101010101"/>
    <w:charset w:val="86"/>
    <w:family w:val="auto"/>
    <w:pitch w:val="default"/>
    <w:sig w:usb0="00000001" w:usb1="080E0000" w:usb2="00000000" w:usb3="00000000" w:csb0="00040000" w:csb1="00000000"/>
  </w:font>
  <w:font w:name="华文仿宋">
    <w:altName w:val="汉仪仿宋简"/>
    <w:panose1 w:val="02010600040101010101"/>
    <w:charset w:val="86"/>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等线">
    <w:altName w:val="汉仪中宋简"/>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汉仪仿宋简">
    <w:panose1 w:val="02010600000101010101"/>
    <w:charset w:val="86"/>
    <w:family w:val="auto"/>
    <w:pitch w:val="default"/>
    <w:sig w:usb0="00000001" w:usb1="080E0800" w:usb2="00000002" w:usb3="00000000" w:csb0="0004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2"/>
                            <w:ind w:firstLine="0"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- 2 -</w:t>
                          </w:r>
                          <w:r>
                            <w:rPr>
                              <w:rFonts w:hint="eastAsia" w:ascii="仿宋_GB2312" w:hAnsi="仿宋_GB2312" w:eastAsia="仿宋_GB2312" w:cs="仿宋_GB2312"/>
                              <w:sz w:val="28"/>
                              <w:szCs w:val="28"/>
                            </w:rPr>
                            <w:fldChar w:fldCharType="end"/>
                          </w:r>
                        </w:p>
                      </w:txbxContent>
                    </wps:txbx>
                    <wps:bodyPr vert="horz" wrap="none" lIns="0" tIns="0" rIns="0" bIns="0" anchor="t" anchorCtr="false">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OqXm5zwAAAAUBAAAPAAAAAAAAAAEAIAAAADgAAABk&#10;cnMvZG93bnJldi54bWxQSwECFAAUAAAACACHTuJAjzeUYcABAABrAwAADgAAAAAAAAABACAAAAA0&#10;AQAAZHJzL2Uyb0RvYy54bWxQSwUGAAAAAAYABgBZAQAAZgUAAAAA&#10;">
              <v:fill on="f" focussize="0,0"/>
              <v:stroke on="f"/>
              <v:imagedata o:title=""/>
              <o:lock v:ext="edit" aspectratio="f"/>
              <v:textbox inset="0mm,0mm,0mm,0mm" style="mso-fit-shape-to-text:t;">
                <w:txbxContent>
                  <w:p>
                    <w:pPr>
                      <w:pStyle w:val="12"/>
                      <w:ind w:firstLine="0"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- 2 -</w:t>
                    </w:r>
                    <w:r>
                      <w:rPr>
                        <w:rFonts w:hint="eastAsia" w:ascii="仿宋_GB2312" w:hAnsi="仿宋_GB2312" w:eastAsia="仿宋_GB2312" w:cs="仿宋_GB2312"/>
                        <w:sz w:val="28"/>
                        <w:szCs w:val="28"/>
                      </w:rPr>
                      <w:fldChar w:fldCharType="end"/>
                    </w:r>
                  </w:p>
                </w:txbxContent>
              </v:textbox>
            </v:shape>
          </w:pict>
        </mc:Fallback>
      </mc:AlternateContent>
    </w:r>
    <w:r>
      <w:rPr>
        <w:rFonts w:hint="eastAsia"/>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E5C8B8"/>
    <w:multiLevelType w:val="singleLevel"/>
    <w:tmpl w:val="B9E5C8B8"/>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04A33B9"/>
    <w:rsid w:val="000E0D3D"/>
    <w:rsid w:val="000E6E7E"/>
    <w:rsid w:val="00173E4C"/>
    <w:rsid w:val="001A4CE7"/>
    <w:rsid w:val="001C5727"/>
    <w:rsid w:val="001D3EFC"/>
    <w:rsid w:val="001D5E33"/>
    <w:rsid w:val="001D6A2C"/>
    <w:rsid w:val="00221C8C"/>
    <w:rsid w:val="00265E82"/>
    <w:rsid w:val="002E210A"/>
    <w:rsid w:val="00342C8A"/>
    <w:rsid w:val="0038440F"/>
    <w:rsid w:val="003B4613"/>
    <w:rsid w:val="004A33B9"/>
    <w:rsid w:val="004C3DBC"/>
    <w:rsid w:val="005A771B"/>
    <w:rsid w:val="00603865"/>
    <w:rsid w:val="006B4793"/>
    <w:rsid w:val="00707AEE"/>
    <w:rsid w:val="00775C8F"/>
    <w:rsid w:val="00795FC7"/>
    <w:rsid w:val="008F2480"/>
    <w:rsid w:val="0090700A"/>
    <w:rsid w:val="00950292"/>
    <w:rsid w:val="00974D9D"/>
    <w:rsid w:val="00A47121"/>
    <w:rsid w:val="00A609CA"/>
    <w:rsid w:val="00A95DE0"/>
    <w:rsid w:val="00A97EF8"/>
    <w:rsid w:val="00AA021D"/>
    <w:rsid w:val="00AB7A64"/>
    <w:rsid w:val="00AC7AA8"/>
    <w:rsid w:val="00AF1302"/>
    <w:rsid w:val="00B97FCE"/>
    <w:rsid w:val="00BC388B"/>
    <w:rsid w:val="00BD45C0"/>
    <w:rsid w:val="00C14F73"/>
    <w:rsid w:val="00C77B69"/>
    <w:rsid w:val="00C946BE"/>
    <w:rsid w:val="00D423CB"/>
    <w:rsid w:val="00DD13EA"/>
    <w:rsid w:val="00DD2501"/>
    <w:rsid w:val="00E34CDB"/>
    <w:rsid w:val="00EE3E78"/>
    <w:rsid w:val="00F47C7F"/>
    <w:rsid w:val="00FB6620"/>
    <w:rsid w:val="01201967"/>
    <w:rsid w:val="012B41A6"/>
    <w:rsid w:val="01603A2A"/>
    <w:rsid w:val="016525A3"/>
    <w:rsid w:val="018F6A3E"/>
    <w:rsid w:val="019C6C47"/>
    <w:rsid w:val="02143223"/>
    <w:rsid w:val="02637B81"/>
    <w:rsid w:val="028A3101"/>
    <w:rsid w:val="02BD5115"/>
    <w:rsid w:val="02D4325A"/>
    <w:rsid w:val="03082F4B"/>
    <w:rsid w:val="03505266"/>
    <w:rsid w:val="038A570F"/>
    <w:rsid w:val="03996039"/>
    <w:rsid w:val="039C6FED"/>
    <w:rsid w:val="03B733AF"/>
    <w:rsid w:val="03CD1A9F"/>
    <w:rsid w:val="040E55C5"/>
    <w:rsid w:val="041D47D5"/>
    <w:rsid w:val="042E1FEF"/>
    <w:rsid w:val="04444731"/>
    <w:rsid w:val="04467695"/>
    <w:rsid w:val="045E04CC"/>
    <w:rsid w:val="04724BCD"/>
    <w:rsid w:val="04940B06"/>
    <w:rsid w:val="04AD190E"/>
    <w:rsid w:val="04BC241B"/>
    <w:rsid w:val="04BC3FEE"/>
    <w:rsid w:val="04CA223B"/>
    <w:rsid w:val="04DA725E"/>
    <w:rsid w:val="050652C5"/>
    <w:rsid w:val="05340028"/>
    <w:rsid w:val="054B5371"/>
    <w:rsid w:val="05726DA2"/>
    <w:rsid w:val="05987782"/>
    <w:rsid w:val="05B8281D"/>
    <w:rsid w:val="05C50C80"/>
    <w:rsid w:val="05D435B9"/>
    <w:rsid w:val="05DB0DD3"/>
    <w:rsid w:val="05F17410"/>
    <w:rsid w:val="06037CD0"/>
    <w:rsid w:val="06406C79"/>
    <w:rsid w:val="06426BA2"/>
    <w:rsid w:val="06585F98"/>
    <w:rsid w:val="067D77AC"/>
    <w:rsid w:val="06BC192A"/>
    <w:rsid w:val="06F2558C"/>
    <w:rsid w:val="06F26BCF"/>
    <w:rsid w:val="070E62E0"/>
    <w:rsid w:val="07146B44"/>
    <w:rsid w:val="073A1972"/>
    <w:rsid w:val="07433674"/>
    <w:rsid w:val="077F689C"/>
    <w:rsid w:val="078801B7"/>
    <w:rsid w:val="07BD9719"/>
    <w:rsid w:val="07FF9118"/>
    <w:rsid w:val="080E09C0"/>
    <w:rsid w:val="084820E2"/>
    <w:rsid w:val="085500FE"/>
    <w:rsid w:val="08564759"/>
    <w:rsid w:val="08584EE1"/>
    <w:rsid w:val="08755EAA"/>
    <w:rsid w:val="08C31816"/>
    <w:rsid w:val="08CE4A23"/>
    <w:rsid w:val="093929F5"/>
    <w:rsid w:val="09462A77"/>
    <w:rsid w:val="095D7AA9"/>
    <w:rsid w:val="096225C1"/>
    <w:rsid w:val="0974053F"/>
    <w:rsid w:val="0A151234"/>
    <w:rsid w:val="0A1F4621"/>
    <w:rsid w:val="0A276F1B"/>
    <w:rsid w:val="0A363258"/>
    <w:rsid w:val="0A3B3C06"/>
    <w:rsid w:val="0A602164"/>
    <w:rsid w:val="0A6208DC"/>
    <w:rsid w:val="0A7F3B56"/>
    <w:rsid w:val="0A8F16AC"/>
    <w:rsid w:val="0ABD0ABF"/>
    <w:rsid w:val="0AD57EAC"/>
    <w:rsid w:val="0B0009AC"/>
    <w:rsid w:val="0B024B5C"/>
    <w:rsid w:val="0B515F2B"/>
    <w:rsid w:val="0B995089"/>
    <w:rsid w:val="0B9F3D21"/>
    <w:rsid w:val="0BB61CF8"/>
    <w:rsid w:val="0BBA5244"/>
    <w:rsid w:val="0BBF4A1E"/>
    <w:rsid w:val="0BC11EE9"/>
    <w:rsid w:val="0BC96FF0"/>
    <w:rsid w:val="0BD93466"/>
    <w:rsid w:val="0BE40B36"/>
    <w:rsid w:val="0BF24799"/>
    <w:rsid w:val="0C0029E2"/>
    <w:rsid w:val="0C1F0548"/>
    <w:rsid w:val="0C3C2144"/>
    <w:rsid w:val="0C460641"/>
    <w:rsid w:val="0C484013"/>
    <w:rsid w:val="0C507100"/>
    <w:rsid w:val="0C6F02F1"/>
    <w:rsid w:val="0C6F5DE9"/>
    <w:rsid w:val="0C89198E"/>
    <w:rsid w:val="0C8D77F1"/>
    <w:rsid w:val="0CAF26D3"/>
    <w:rsid w:val="0CFA128E"/>
    <w:rsid w:val="0D0204AF"/>
    <w:rsid w:val="0D23741B"/>
    <w:rsid w:val="0D270472"/>
    <w:rsid w:val="0D3B5CCB"/>
    <w:rsid w:val="0D585C70"/>
    <w:rsid w:val="0D6351D8"/>
    <w:rsid w:val="0D782A7C"/>
    <w:rsid w:val="0D7A67F4"/>
    <w:rsid w:val="0D7A7F18"/>
    <w:rsid w:val="0D920E46"/>
    <w:rsid w:val="0D9F3660"/>
    <w:rsid w:val="0DBC0BBA"/>
    <w:rsid w:val="0DBE2B84"/>
    <w:rsid w:val="0DF72E2F"/>
    <w:rsid w:val="0E162A05"/>
    <w:rsid w:val="0E180AB8"/>
    <w:rsid w:val="0E1F6CFF"/>
    <w:rsid w:val="0E2E064B"/>
    <w:rsid w:val="0E4136CA"/>
    <w:rsid w:val="0E49445F"/>
    <w:rsid w:val="0E511180"/>
    <w:rsid w:val="0E5B6625"/>
    <w:rsid w:val="0E7516AA"/>
    <w:rsid w:val="0EBC0847"/>
    <w:rsid w:val="0EC34B79"/>
    <w:rsid w:val="0ECD150C"/>
    <w:rsid w:val="0EE77CDA"/>
    <w:rsid w:val="0F120AAF"/>
    <w:rsid w:val="0F290C5F"/>
    <w:rsid w:val="0F3F3C90"/>
    <w:rsid w:val="0F5456C8"/>
    <w:rsid w:val="0F6A318E"/>
    <w:rsid w:val="0F855859"/>
    <w:rsid w:val="0F870FCA"/>
    <w:rsid w:val="0F941CD9"/>
    <w:rsid w:val="0FA77AFB"/>
    <w:rsid w:val="0FAD2FF6"/>
    <w:rsid w:val="0FBE149C"/>
    <w:rsid w:val="0FD06B60"/>
    <w:rsid w:val="10300709"/>
    <w:rsid w:val="10321608"/>
    <w:rsid w:val="109577FC"/>
    <w:rsid w:val="10A1053B"/>
    <w:rsid w:val="10AA09E6"/>
    <w:rsid w:val="10AC4486"/>
    <w:rsid w:val="10B90E17"/>
    <w:rsid w:val="113667BC"/>
    <w:rsid w:val="115C0484"/>
    <w:rsid w:val="118B1C4C"/>
    <w:rsid w:val="118B7221"/>
    <w:rsid w:val="11B81FE1"/>
    <w:rsid w:val="11E61E48"/>
    <w:rsid w:val="11FB4122"/>
    <w:rsid w:val="120C624E"/>
    <w:rsid w:val="120D43A2"/>
    <w:rsid w:val="121F41C1"/>
    <w:rsid w:val="12224FE4"/>
    <w:rsid w:val="124F0EBB"/>
    <w:rsid w:val="12555A81"/>
    <w:rsid w:val="127E0235"/>
    <w:rsid w:val="12902DE7"/>
    <w:rsid w:val="12986B1A"/>
    <w:rsid w:val="12A54B95"/>
    <w:rsid w:val="12AB744F"/>
    <w:rsid w:val="12B7776A"/>
    <w:rsid w:val="12E05046"/>
    <w:rsid w:val="12E904C9"/>
    <w:rsid w:val="12F01C37"/>
    <w:rsid w:val="12FF0827"/>
    <w:rsid w:val="131119A8"/>
    <w:rsid w:val="132F62D2"/>
    <w:rsid w:val="135B073A"/>
    <w:rsid w:val="137A57A0"/>
    <w:rsid w:val="13BB5580"/>
    <w:rsid w:val="13D16F4C"/>
    <w:rsid w:val="13F55977"/>
    <w:rsid w:val="143D1D6D"/>
    <w:rsid w:val="1457491F"/>
    <w:rsid w:val="1458711D"/>
    <w:rsid w:val="14770888"/>
    <w:rsid w:val="148368D6"/>
    <w:rsid w:val="14A75C49"/>
    <w:rsid w:val="14BB1F27"/>
    <w:rsid w:val="14D07D8C"/>
    <w:rsid w:val="14E3457B"/>
    <w:rsid w:val="14E95D6C"/>
    <w:rsid w:val="14F71E87"/>
    <w:rsid w:val="15014552"/>
    <w:rsid w:val="1522269D"/>
    <w:rsid w:val="1525212B"/>
    <w:rsid w:val="15273B3B"/>
    <w:rsid w:val="15282FD9"/>
    <w:rsid w:val="152A6D51"/>
    <w:rsid w:val="15310EFA"/>
    <w:rsid w:val="153F2BB5"/>
    <w:rsid w:val="155142DE"/>
    <w:rsid w:val="15A10BAE"/>
    <w:rsid w:val="15A5287C"/>
    <w:rsid w:val="15A702F1"/>
    <w:rsid w:val="16322670"/>
    <w:rsid w:val="165322D8"/>
    <w:rsid w:val="16813B09"/>
    <w:rsid w:val="16831A50"/>
    <w:rsid w:val="16841AFD"/>
    <w:rsid w:val="1686275B"/>
    <w:rsid w:val="1694426A"/>
    <w:rsid w:val="1694670C"/>
    <w:rsid w:val="16AE61C8"/>
    <w:rsid w:val="16BC60CF"/>
    <w:rsid w:val="16C942F4"/>
    <w:rsid w:val="16D57191"/>
    <w:rsid w:val="171001C9"/>
    <w:rsid w:val="17375756"/>
    <w:rsid w:val="1744245C"/>
    <w:rsid w:val="17595F83"/>
    <w:rsid w:val="17CF2CA2"/>
    <w:rsid w:val="17DB07D7"/>
    <w:rsid w:val="18047D2E"/>
    <w:rsid w:val="181E6353"/>
    <w:rsid w:val="181F6366"/>
    <w:rsid w:val="185F2D7A"/>
    <w:rsid w:val="186B1B5B"/>
    <w:rsid w:val="18B903E0"/>
    <w:rsid w:val="18CA6383"/>
    <w:rsid w:val="18D35D30"/>
    <w:rsid w:val="18D64A80"/>
    <w:rsid w:val="18DE3C1B"/>
    <w:rsid w:val="18F94F10"/>
    <w:rsid w:val="19217A58"/>
    <w:rsid w:val="192817FA"/>
    <w:rsid w:val="193247A9"/>
    <w:rsid w:val="198916D0"/>
    <w:rsid w:val="19A5109C"/>
    <w:rsid w:val="19BD43D5"/>
    <w:rsid w:val="19EB0518"/>
    <w:rsid w:val="1A330456"/>
    <w:rsid w:val="1A807D94"/>
    <w:rsid w:val="1A9E27E3"/>
    <w:rsid w:val="1AAF4B06"/>
    <w:rsid w:val="1AB12EB1"/>
    <w:rsid w:val="1AF20311"/>
    <w:rsid w:val="1B303654"/>
    <w:rsid w:val="1B395235"/>
    <w:rsid w:val="1B3A19C8"/>
    <w:rsid w:val="1B515CE5"/>
    <w:rsid w:val="1B8A6171"/>
    <w:rsid w:val="1B917B2A"/>
    <w:rsid w:val="1BA62C93"/>
    <w:rsid w:val="1BD15D40"/>
    <w:rsid w:val="1BE340FE"/>
    <w:rsid w:val="1BEE490B"/>
    <w:rsid w:val="1C294C97"/>
    <w:rsid w:val="1C457856"/>
    <w:rsid w:val="1C71170A"/>
    <w:rsid w:val="1C744D56"/>
    <w:rsid w:val="1C7934F9"/>
    <w:rsid w:val="1C813F72"/>
    <w:rsid w:val="1CB416A2"/>
    <w:rsid w:val="1CC9451E"/>
    <w:rsid w:val="1CE834CA"/>
    <w:rsid w:val="1D08343C"/>
    <w:rsid w:val="1D121DC0"/>
    <w:rsid w:val="1D3C2153"/>
    <w:rsid w:val="1D4A4435"/>
    <w:rsid w:val="1DA544C3"/>
    <w:rsid w:val="1DB8021E"/>
    <w:rsid w:val="1DFE0364"/>
    <w:rsid w:val="1E0173CD"/>
    <w:rsid w:val="1E057A40"/>
    <w:rsid w:val="1E373AC4"/>
    <w:rsid w:val="1E581886"/>
    <w:rsid w:val="1E5F6E53"/>
    <w:rsid w:val="1E6074FE"/>
    <w:rsid w:val="1E627640"/>
    <w:rsid w:val="1E7B5AE8"/>
    <w:rsid w:val="1E9E05D5"/>
    <w:rsid w:val="1EAE27A1"/>
    <w:rsid w:val="1EB12291"/>
    <w:rsid w:val="1EB33096"/>
    <w:rsid w:val="1ECC70CB"/>
    <w:rsid w:val="1ED12569"/>
    <w:rsid w:val="1F000BC2"/>
    <w:rsid w:val="1F264852"/>
    <w:rsid w:val="1F2E743E"/>
    <w:rsid w:val="1F307838"/>
    <w:rsid w:val="1F3E6E50"/>
    <w:rsid w:val="1F5C2571"/>
    <w:rsid w:val="1F947BE9"/>
    <w:rsid w:val="1FB923E1"/>
    <w:rsid w:val="1FC009DE"/>
    <w:rsid w:val="1FC2308E"/>
    <w:rsid w:val="1FED10F0"/>
    <w:rsid w:val="1FED13DC"/>
    <w:rsid w:val="1FF4C66E"/>
    <w:rsid w:val="1FF563E5"/>
    <w:rsid w:val="1FF8775B"/>
    <w:rsid w:val="200A3A07"/>
    <w:rsid w:val="20452C91"/>
    <w:rsid w:val="206E6A03"/>
    <w:rsid w:val="20730BC1"/>
    <w:rsid w:val="207B4905"/>
    <w:rsid w:val="20821BE1"/>
    <w:rsid w:val="20AF4AA6"/>
    <w:rsid w:val="20D65FDF"/>
    <w:rsid w:val="212806D7"/>
    <w:rsid w:val="21312723"/>
    <w:rsid w:val="21400B25"/>
    <w:rsid w:val="216B47AB"/>
    <w:rsid w:val="217445CE"/>
    <w:rsid w:val="219A7646"/>
    <w:rsid w:val="21CA791F"/>
    <w:rsid w:val="21CB71C6"/>
    <w:rsid w:val="21CF7F44"/>
    <w:rsid w:val="21FF3314"/>
    <w:rsid w:val="22321938"/>
    <w:rsid w:val="223C00C4"/>
    <w:rsid w:val="22471449"/>
    <w:rsid w:val="225A7B03"/>
    <w:rsid w:val="226702AD"/>
    <w:rsid w:val="22825B80"/>
    <w:rsid w:val="22935E93"/>
    <w:rsid w:val="229D5917"/>
    <w:rsid w:val="23146AE3"/>
    <w:rsid w:val="2355143D"/>
    <w:rsid w:val="236554CD"/>
    <w:rsid w:val="237644F1"/>
    <w:rsid w:val="23A423C5"/>
    <w:rsid w:val="23AFF221"/>
    <w:rsid w:val="23D72095"/>
    <w:rsid w:val="23FA051B"/>
    <w:rsid w:val="243E32E6"/>
    <w:rsid w:val="24757F2F"/>
    <w:rsid w:val="24B82327"/>
    <w:rsid w:val="250F386E"/>
    <w:rsid w:val="251033B9"/>
    <w:rsid w:val="251372C9"/>
    <w:rsid w:val="251B3B35"/>
    <w:rsid w:val="253860AE"/>
    <w:rsid w:val="254733AD"/>
    <w:rsid w:val="255401C0"/>
    <w:rsid w:val="256705F6"/>
    <w:rsid w:val="25D47E4E"/>
    <w:rsid w:val="25E416F0"/>
    <w:rsid w:val="25EF3DCB"/>
    <w:rsid w:val="261B50A3"/>
    <w:rsid w:val="262B7ED9"/>
    <w:rsid w:val="262D044F"/>
    <w:rsid w:val="265E685B"/>
    <w:rsid w:val="26665DC0"/>
    <w:rsid w:val="267F7E34"/>
    <w:rsid w:val="26BE761C"/>
    <w:rsid w:val="26BFC1EB"/>
    <w:rsid w:val="26D27249"/>
    <w:rsid w:val="26E3474A"/>
    <w:rsid w:val="26FA63CB"/>
    <w:rsid w:val="26FB45C4"/>
    <w:rsid w:val="2701725F"/>
    <w:rsid w:val="27185625"/>
    <w:rsid w:val="273867C8"/>
    <w:rsid w:val="27451C7A"/>
    <w:rsid w:val="27604842"/>
    <w:rsid w:val="27606188"/>
    <w:rsid w:val="276460F3"/>
    <w:rsid w:val="27923B46"/>
    <w:rsid w:val="2797204D"/>
    <w:rsid w:val="27A6670B"/>
    <w:rsid w:val="27AF036A"/>
    <w:rsid w:val="27B60F76"/>
    <w:rsid w:val="27E5DF8E"/>
    <w:rsid w:val="27F3369B"/>
    <w:rsid w:val="27FFBCA2"/>
    <w:rsid w:val="280E50B4"/>
    <w:rsid w:val="28196F65"/>
    <w:rsid w:val="281E2EED"/>
    <w:rsid w:val="28213FE4"/>
    <w:rsid w:val="282620E8"/>
    <w:rsid w:val="28357800"/>
    <w:rsid w:val="286363AA"/>
    <w:rsid w:val="286640ED"/>
    <w:rsid w:val="288153C1"/>
    <w:rsid w:val="28A01623"/>
    <w:rsid w:val="28B51D65"/>
    <w:rsid w:val="28DA6536"/>
    <w:rsid w:val="28EB2160"/>
    <w:rsid w:val="29143B49"/>
    <w:rsid w:val="29170CD9"/>
    <w:rsid w:val="29176859"/>
    <w:rsid w:val="291B18CB"/>
    <w:rsid w:val="29423FB4"/>
    <w:rsid w:val="29712D49"/>
    <w:rsid w:val="298259E7"/>
    <w:rsid w:val="29AE5D4B"/>
    <w:rsid w:val="29B94A04"/>
    <w:rsid w:val="2A1A6F3D"/>
    <w:rsid w:val="2A1B18E9"/>
    <w:rsid w:val="2A1D0455"/>
    <w:rsid w:val="2A6C4E48"/>
    <w:rsid w:val="2A860D7B"/>
    <w:rsid w:val="2ACE4D86"/>
    <w:rsid w:val="2AD45FC8"/>
    <w:rsid w:val="2BAC62BA"/>
    <w:rsid w:val="2BBD2276"/>
    <w:rsid w:val="2BFD76DA"/>
    <w:rsid w:val="2BFF463C"/>
    <w:rsid w:val="2C322D26"/>
    <w:rsid w:val="2C4A3BC4"/>
    <w:rsid w:val="2C4C0C89"/>
    <w:rsid w:val="2C5618CF"/>
    <w:rsid w:val="2C6B0E08"/>
    <w:rsid w:val="2C8A5E2F"/>
    <w:rsid w:val="2CAB24CA"/>
    <w:rsid w:val="2CB768C6"/>
    <w:rsid w:val="2CC32A02"/>
    <w:rsid w:val="2CD0422B"/>
    <w:rsid w:val="2CD214FF"/>
    <w:rsid w:val="2CEB3F5B"/>
    <w:rsid w:val="2D064174"/>
    <w:rsid w:val="2D3674CA"/>
    <w:rsid w:val="2D4F6EFD"/>
    <w:rsid w:val="2D7470F9"/>
    <w:rsid w:val="2D772088"/>
    <w:rsid w:val="2DA14432"/>
    <w:rsid w:val="2DD92C6B"/>
    <w:rsid w:val="2DEB7888"/>
    <w:rsid w:val="2E2B3512"/>
    <w:rsid w:val="2E3859E0"/>
    <w:rsid w:val="2E4647A4"/>
    <w:rsid w:val="2E6374B2"/>
    <w:rsid w:val="2E68079B"/>
    <w:rsid w:val="2EA26D52"/>
    <w:rsid w:val="2EB823CB"/>
    <w:rsid w:val="2EF42E59"/>
    <w:rsid w:val="2F0118FF"/>
    <w:rsid w:val="2F0D52C2"/>
    <w:rsid w:val="2F360386"/>
    <w:rsid w:val="2F4F1437"/>
    <w:rsid w:val="2F525511"/>
    <w:rsid w:val="2F6D38A1"/>
    <w:rsid w:val="2F733637"/>
    <w:rsid w:val="2F963509"/>
    <w:rsid w:val="2F9E51AB"/>
    <w:rsid w:val="2FD210A2"/>
    <w:rsid w:val="2FD371BD"/>
    <w:rsid w:val="2FDEA073"/>
    <w:rsid w:val="2FDF5781"/>
    <w:rsid w:val="2FEA963C"/>
    <w:rsid w:val="2FFB6C09"/>
    <w:rsid w:val="2FFC361C"/>
    <w:rsid w:val="3007064D"/>
    <w:rsid w:val="300746D0"/>
    <w:rsid w:val="300D70B8"/>
    <w:rsid w:val="30173927"/>
    <w:rsid w:val="30314FE0"/>
    <w:rsid w:val="304C67C6"/>
    <w:rsid w:val="30655E60"/>
    <w:rsid w:val="30752C5C"/>
    <w:rsid w:val="309335A5"/>
    <w:rsid w:val="3095556F"/>
    <w:rsid w:val="309604CB"/>
    <w:rsid w:val="309A0DD7"/>
    <w:rsid w:val="30A0304E"/>
    <w:rsid w:val="30C45B1C"/>
    <w:rsid w:val="30EA0C38"/>
    <w:rsid w:val="31244B45"/>
    <w:rsid w:val="313E5E41"/>
    <w:rsid w:val="314D2E5E"/>
    <w:rsid w:val="3159147B"/>
    <w:rsid w:val="31944CF5"/>
    <w:rsid w:val="31AD6E5D"/>
    <w:rsid w:val="31D64A87"/>
    <w:rsid w:val="31DC7751"/>
    <w:rsid w:val="31E95CF8"/>
    <w:rsid w:val="320A5ABC"/>
    <w:rsid w:val="320C0A2B"/>
    <w:rsid w:val="32195429"/>
    <w:rsid w:val="32285089"/>
    <w:rsid w:val="326D7E7F"/>
    <w:rsid w:val="32805C30"/>
    <w:rsid w:val="32EC1057"/>
    <w:rsid w:val="32F151B0"/>
    <w:rsid w:val="33354DE7"/>
    <w:rsid w:val="335A7ED1"/>
    <w:rsid w:val="3398397C"/>
    <w:rsid w:val="33DC6C68"/>
    <w:rsid w:val="33E12879"/>
    <w:rsid w:val="33E16D1D"/>
    <w:rsid w:val="33ECC36F"/>
    <w:rsid w:val="33F57FBD"/>
    <w:rsid w:val="33FF17EC"/>
    <w:rsid w:val="345179FF"/>
    <w:rsid w:val="345A1F52"/>
    <w:rsid w:val="346B4E2D"/>
    <w:rsid w:val="347656B7"/>
    <w:rsid w:val="34C60079"/>
    <w:rsid w:val="35262C3A"/>
    <w:rsid w:val="352D454B"/>
    <w:rsid w:val="353A24CF"/>
    <w:rsid w:val="3543612F"/>
    <w:rsid w:val="3592413F"/>
    <w:rsid w:val="35CC1533"/>
    <w:rsid w:val="35CF2C86"/>
    <w:rsid w:val="35F406D0"/>
    <w:rsid w:val="35F5352E"/>
    <w:rsid w:val="35F86D2A"/>
    <w:rsid w:val="35FFDEFB"/>
    <w:rsid w:val="36314CC8"/>
    <w:rsid w:val="363E0457"/>
    <w:rsid w:val="364517E5"/>
    <w:rsid w:val="364E048D"/>
    <w:rsid w:val="3680792F"/>
    <w:rsid w:val="36A751DB"/>
    <w:rsid w:val="36BC6F7C"/>
    <w:rsid w:val="36D9171F"/>
    <w:rsid w:val="36E93D46"/>
    <w:rsid w:val="36FA7F62"/>
    <w:rsid w:val="37105893"/>
    <w:rsid w:val="37225683"/>
    <w:rsid w:val="37255ECC"/>
    <w:rsid w:val="37304E30"/>
    <w:rsid w:val="375E0D48"/>
    <w:rsid w:val="375E383C"/>
    <w:rsid w:val="37992373"/>
    <w:rsid w:val="379C3F46"/>
    <w:rsid w:val="37BB6FDF"/>
    <w:rsid w:val="37C01FE4"/>
    <w:rsid w:val="37C55F5A"/>
    <w:rsid w:val="37CBBCC0"/>
    <w:rsid w:val="37DFC8DD"/>
    <w:rsid w:val="37E75D4B"/>
    <w:rsid w:val="37EB35DC"/>
    <w:rsid w:val="37F60FE9"/>
    <w:rsid w:val="37FD6D9C"/>
    <w:rsid w:val="37FF2766"/>
    <w:rsid w:val="381F4545"/>
    <w:rsid w:val="38223645"/>
    <w:rsid w:val="384C72AA"/>
    <w:rsid w:val="386B55BB"/>
    <w:rsid w:val="386C3059"/>
    <w:rsid w:val="38710670"/>
    <w:rsid w:val="3873751E"/>
    <w:rsid w:val="3877762C"/>
    <w:rsid w:val="38C8225A"/>
    <w:rsid w:val="38E61B2B"/>
    <w:rsid w:val="39145E95"/>
    <w:rsid w:val="39614519"/>
    <w:rsid w:val="396B42B3"/>
    <w:rsid w:val="397C3B83"/>
    <w:rsid w:val="39E754A4"/>
    <w:rsid w:val="39E84DFD"/>
    <w:rsid w:val="39EEA579"/>
    <w:rsid w:val="39FCCF45"/>
    <w:rsid w:val="3A1E1966"/>
    <w:rsid w:val="3A447BA6"/>
    <w:rsid w:val="3A85143D"/>
    <w:rsid w:val="3AB331C1"/>
    <w:rsid w:val="3AD9074E"/>
    <w:rsid w:val="3AE31593"/>
    <w:rsid w:val="3AE9766A"/>
    <w:rsid w:val="3B295F7D"/>
    <w:rsid w:val="3B2D2566"/>
    <w:rsid w:val="3B3D2371"/>
    <w:rsid w:val="3B6BED43"/>
    <w:rsid w:val="3B877CE5"/>
    <w:rsid w:val="3B88521E"/>
    <w:rsid w:val="3B934544"/>
    <w:rsid w:val="3BD099CE"/>
    <w:rsid w:val="3BF47A3F"/>
    <w:rsid w:val="3BF5D524"/>
    <w:rsid w:val="3BF9C3AA"/>
    <w:rsid w:val="3BFBD4D5"/>
    <w:rsid w:val="3C17FE42"/>
    <w:rsid w:val="3C3F69E8"/>
    <w:rsid w:val="3C4D7E6F"/>
    <w:rsid w:val="3C6D15F4"/>
    <w:rsid w:val="3C9B215F"/>
    <w:rsid w:val="3CCE419E"/>
    <w:rsid w:val="3CE92CCB"/>
    <w:rsid w:val="3CFB617C"/>
    <w:rsid w:val="3D1A7CA4"/>
    <w:rsid w:val="3D2E7EF6"/>
    <w:rsid w:val="3D387082"/>
    <w:rsid w:val="3DD70179"/>
    <w:rsid w:val="3DEF7BC0"/>
    <w:rsid w:val="3DFE15A6"/>
    <w:rsid w:val="3E0E5A7C"/>
    <w:rsid w:val="3E38578C"/>
    <w:rsid w:val="3E595017"/>
    <w:rsid w:val="3E65058E"/>
    <w:rsid w:val="3E6E11AD"/>
    <w:rsid w:val="3E9B4D67"/>
    <w:rsid w:val="3E9E7CE5"/>
    <w:rsid w:val="3EA6208F"/>
    <w:rsid w:val="3EA82911"/>
    <w:rsid w:val="3EA909A9"/>
    <w:rsid w:val="3EBF65E0"/>
    <w:rsid w:val="3EC67DFE"/>
    <w:rsid w:val="3ED70D88"/>
    <w:rsid w:val="3EED47C8"/>
    <w:rsid w:val="3EF9B3A4"/>
    <w:rsid w:val="3EF9E405"/>
    <w:rsid w:val="3EFF3DE4"/>
    <w:rsid w:val="3EFFB49E"/>
    <w:rsid w:val="3F111CC7"/>
    <w:rsid w:val="3F516366"/>
    <w:rsid w:val="3F5F3233"/>
    <w:rsid w:val="3F6B4F0F"/>
    <w:rsid w:val="3F6F38EE"/>
    <w:rsid w:val="3F6F8287"/>
    <w:rsid w:val="3F7048A0"/>
    <w:rsid w:val="3F7456C4"/>
    <w:rsid w:val="3F78D85D"/>
    <w:rsid w:val="3F7B1F33"/>
    <w:rsid w:val="3F8769CB"/>
    <w:rsid w:val="3FA840FD"/>
    <w:rsid w:val="3FA94B93"/>
    <w:rsid w:val="3FB22B9B"/>
    <w:rsid w:val="3FB33303"/>
    <w:rsid w:val="3FBFA00F"/>
    <w:rsid w:val="3FC30892"/>
    <w:rsid w:val="3FD53F27"/>
    <w:rsid w:val="3FDD121B"/>
    <w:rsid w:val="3FF77272"/>
    <w:rsid w:val="3FFE98EE"/>
    <w:rsid w:val="3FFF7C72"/>
    <w:rsid w:val="3FFF7F4C"/>
    <w:rsid w:val="40237D79"/>
    <w:rsid w:val="40747CE6"/>
    <w:rsid w:val="40751F09"/>
    <w:rsid w:val="40835A4C"/>
    <w:rsid w:val="408F4AF8"/>
    <w:rsid w:val="409C315A"/>
    <w:rsid w:val="40E57E4D"/>
    <w:rsid w:val="412A455B"/>
    <w:rsid w:val="417B38CA"/>
    <w:rsid w:val="41D87F54"/>
    <w:rsid w:val="41DD0D72"/>
    <w:rsid w:val="42106957"/>
    <w:rsid w:val="42153518"/>
    <w:rsid w:val="42280D92"/>
    <w:rsid w:val="42282164"/>
    <w:rsid w:val="422D19B2"/>
    <w:rsid w:val="42477F39"/>
    <w:rsid w:val="425132C0"/>
    <w:rsid w:val="42C972FA"/>
    <w:rsid w:val="42EB6AA1"/>
    <w:rsid w:val="431F3B23"/>
    <w:rsid w:val="433A3625"/>
    <w:rsid w:val="4374164A"/>
    <w:rsid w:val="4379448D"/>
    <w:rsid w:val="43ED81B7"/>
    <w:rsid w:val="43F337F5"/>
    <w:rsid w:val="443027CD"/>
    <w:rsid w:val="4433548F"/>
    <w:rsid w:val="44611430"/>
    <w:rsid w:val="44A60F78"/>
    <w:rsid w:val="44C26096"/>
    <w:rsid w:val="44DE52DF"/>
    <w:rsid w:val="44E5109C"/>
    <w:rsid w:val="44EA0C28"/>
    <w:rsid w:val="44F61827"/>
    <w:rsid w:val="44F83B2B"/>
    <w:rsid w:val="451F17D0"/>
    <w:rsid w:val="454E6BC5"/>
    <w:rsid w:val="45543E4C"/>
    <w:rsid w:val="456E55CE"/>
    <w:rsid w:val="457572C5"/>
    <w:rsid w:val="45822741"/>
    <w:rsid w:val="45A72939"/>
    <w:rsid w:val="45A873DE"/>
    <w:rsid w:val="45C94CDB"/>
    <w:rsid w:val="45CA7795"/>
    <w:rsid w:val="45CD504D"/>
    <w:rsid w:val="45DC10F2"/>
    <w:rsid w:val="45F70820"/>
    <w:rsid w:val="46077B38"/>
    <w:rsid w:val="461D71E2"/>
    <w:rsid w:val="464E79BD"/>
    <w:rsid w:val="466B0DF4"/>
    <w:rsid w:val="4675314F"/>
    <w:rsid w:val="46853538"/>
    <w:rsid w:val="46A20A89"/>
    <w:rsid w:val="46C85FE0"/>
    <w:rsid w:val="46CD0AAD"/>
    <w:rsid w:val="46E77EF0"/>
    <w:rsid w:val="47003C8C"/>
    <w:rsid w:val="472A2E92"/>
    <w:rsid w:val="47533980"/>
    <w:rsid w:val="47977A42"/>
    <w:rsid w:val="479E37F5"/>
    <w:rsid w:val="47C470B9"/>
    <w:rsid w:val="47DA343B"/>
    <w:rsid w:val="48024CF9"/>
    <w:rsid w:val="480350F3"/>
    <w:rsid w:val="481607E4"/>
    <w:rsid w:val="481D611E"/>
    <w:rsid w:val="48247503"/>
    <w:rsid w:val="4860522D"/>
    <w:rsid w:val="48631898"/>
    <w:rsid w:val="486D1C90"/>
    <w:rsid w:val="486F53CF"/>
    <w:rsid w:val="488741C5"/>
    <w:rsid w:val="48A54EAA"/>
    <w:rsid w:val="48E4579F"/>
    <w:rsid w:val="48F002A9"/>
    <w:rsid w:val="48FA3868"/>
    <w:rsid w:val="490321AF"/>
    <w:rsid w:val="4918619D"/>
    <w:rsid w:val="49267254"/>
    <w:rsid w:val="49320E3E"/>
    <w:rsid w:val="493C19C7"/>
    <w:rsid w:val="49476B7B"/>
    <w:rsid w:val="49531B59"/>
    <w:rsid w:val="498B70B7"/>
    <w:rsid w:val="499331DA"/>
    <w:rsid w:val="49B94735"/>
    <w:rsid w:val="49C16F7D"/>
    <w:rsid w:val="49CF3448"/>
    <w:rsid w:val="49E5300D"/>
    <w:rsid w:val="49E7448E"/>
    <w:rsid w:val="4A0B7600"/>
    <w:rsid w:val="4A266DE0"/>
    <w:rsid w:val="4A431740"/>
    <w:rsid w:val="4A6718D3"/>
    <w:rsid w:val="4A8B2DFC"/>
    <w:rsid w:val="4AA714D5"/>
    <w:rsid w:val="4AB66F0D"/>
    <w:rsid w:val="4ABF6475"/>
    <w:rsid w:val="4AF3332F"/>
    <w:rsid w:val="4B007631"/>
    <w:rsid w:val="4B0B6702"/>
    <w:rsid w:val="4BA07421"/>
    <w:rsid w:val="4BF354FD"/>
    <w:rsid w:val="4C142739"/>
    <w:rsid w:val="4C194E4E"/>
    <w:rsid w:val="4C247ED3"/>
    <w:rsid w:val="4C6360CA"/>
    <w:rsid w:val="4C67187F"/>
    <w:rsid w:val="4C691554"/>
    <w:rsid w:val="4C9A4FB9"/>
    <w:rsid w:val="4CD00F1F"/>
    <w:rsid w:val="4CE4630C"/>
    <w:rsid w:val="4CEB6BD1"/>
    <w:rsid w:val="4D0E4287"/>
    <w:rsid w:val="4D0F7FFF"/>
    <w:rsid w:val="4D1169E3"/>
    <w:rsid w:val="4D1D3051"/>
    <w:rsid w:val="4D4452EF"/>
    <w:rsid w:val="4D475393"/>
    <w:rsid w:val="4D6E566D"/>
    <w:rsid w:val="4D896004"/>
    <w:rsid w:val="4DA07452"/>
    <w:rsid w:val="4DDA060D"/>
    <w:rsid w:val="4DE13062"/>
    <w:rsid w:val="4DF10A44"/>
    <w:rsid w:val="4E1332F0"/>
    <w:rsid w:val="4E1C24E8"/>
    <w:rsid w:val="4E4928B5"/>
    <w:rsid w:val="4E573A0C"/>
    <w:rsid w:val="4E9722C5"/>
    <w:rsid w:val="4E992277"/>
    <w:rsid w:val="4EC866B8"/>
    <w:rsid w:val="4EC97B8E"/>
    <w:rsid w:val="4ED4505D"/>
    <w:rsid w:val="4EEA5304"/>
    <w:rsid w:val="4EEC684A"/>
    <w:rsid w:val="4F083BE4"/>
    <w:rsid w:val="4F2C6C47"/>
    <w:rsid w:val="4F2E0A82"/>
    <w:rsid w:val="4FB6268B"/>
    <w:rsid w:val="4FBA06F6"/>
    <w:rsid w:val="4FD75655"/>
    <w:rsid w:val="4FDB60D9"/>
    <w:rsid w:val="50250266"/>
    <w:rsid w:val="502F4C40"/>
    <w:rsid w:val="504D5A0E"/>
    <w:rsid w:val="50722408"/>
    <w:rsid w:val="507D2F2C"/>
    <w:rsid w:val="50822AB5"/>
    <w:rsid w:val="508272AB"/>
    <w:rsid w:val="50856F86"/>
    <w:rsid w:val="50C3791D"/>
    <w:rsid w:val="50F814D6"/>
    <w:rsid w:val="50FC2513"/>
    <w:rsid w:val="50FD6AED"/>
    <w:rsid w:val="510C31D4"/>
    <w:rsid w:val="5167017F"/>
    <w:rsid w:val="51784833"/>
    <w:rsid w:val="51B11382"/>
    <w:rsid w:val="51DD41D3"/>
    <w:rsid w:val="51E2053E"/>
    <w:rsid w:val="51F9445C"/>
    <w:rsid w:val="51FB0341"/>
    <w:rsid w:val="527A5F1B"/>
    <w:rsid w:val="52A80F18"/>
    <w:rsid w:val="52C63EBC"/>
    <w:rsid w:val="52F537F4"/>
    <w:rsid w:val="52FA905B"/>
    <w:rsid w:val="5304188C"/>
    <w:rsid w:val="53153CED"/>
    <w:rsid w:val="53177C0E"/>
    <w:rsid w:val="53E304E0"/>
    <w:rsid w:val="53E446A5"/>
    <w:rsid w:val="53EF3AFC"/>
    <w:rsid w:val="543426BF"/>
    <w:rsid w:val="54380DBD"/>
    <w:rsid w:val="545B12ED"/>
    <w:rsid w:val="54633EB5"/>
    <w:rsid w:val="54820D19"/>
    <w:rsid w:val="54C44D86"/>
    <w:rsid w:val="54CA6638"/>
    <w:rsid w:val="54D264E2"/>
    <w:rsid w:val="55021394"/>
    <w:rsid w:val="55214D74"/>
    <w:rsid w:val="5579541F"/>
    <w:rsid w:val="55B36146"/>
    <w:rsid w:val="55B56A58"/>
    <w:rsid w:val="55B81234"/>
    <w:rsid w:val="55CC1183"/>
    <w:rsid w:val="55E853DB"/>
    <w:rsid w:val="562B40FC"/>
    <w:rsid w:val="564D574A"/>
    <w:rsid w:val="567613C9"/>
    <w:rsid w:val="567D0FBA"/>
    <w:rsid w:val="567F1D52"/>
    <w:rsid w:val="56995EB4"/>
    <w:rsid w:val="56A33CDA"/>
    <w:rsid w:val="56C26C05"/>
    <w:rsid w:val="575037AB"/>
    <w:rsid w:val="57504BA2"/>
    <w:rsid w:val="575D65B6"/>
    <w:rsid w:val="57643EF5"/>
    <w:rsid w:val="57D92987"/>
    <w:rsid w:val="57F4BE81"/>
    <w:rsid w:val="57FF4B3C"/>
    <w:rsid w:val="58021645"/>
    <w:rsid w:val="5805683A"/>
    <w:rsid w:val="581C7411"/>
    <w:rsid w:val="581F627E"/>
    <w:rsid w:val="58207565"/>
    <w:rsid w:val="58270784"/>
    <w:rsid w:val="583D0260"/>
    <w:rsid w:val="58501BF8"/>
    <w:rsid w:val="58857E1A"/>
    <w:rsid w:val="58D2085F"/>
    <w:rsid w:val="58E97E7B"/>
    <w:rsid w:val="5910205F"/>
    <w:rsid w:val="59294B5B"/>
    <w:rsid w:val="592A3B51"/>
    <w:rsid w:val="59A541C5"/>
    <w:rsid w:val="59C503EE"/>
    <w:rsid w:val="59DA31F4"/>
    <w:rsid w:val="59E85E60"/>
    <w:rsid w:val="59E92EFE"/>
    <w:rsid w:val="59F01165"/>
    <w:rsid w:val="59F78108"/>
    <w:rsid w:val="5A2A4101"/>
    <w:rsid w:val="5A305967"/>
    <w:rsid w:val="5A5B2AD6"/>
    <w:rsid w:val="5A6A63DA"/>
    <w:rsid w:val="5AEE65F1"/>
    <w:rsid w:val="5AFB04CF"/>
    <w:rsid w:val="5B4833D8"/>
    <w:rsid w:val="5B494636"/>
    <w:rsid w:val="5B597E09"/>
    <w:rsid w:val="5B644304"/>
    <w:rsid w:val="5B6A338B"/>
    <w:rsid w:val="5B8027F4"/>
    <w:rsid w:val="5B8F12BA"/>
    <w:rsid w:val="5B9256E5"/>
    <w:rsid w:val="5B96718F"/>
    <w:rsid w:val="5BB81099"/>
    <w:rsid w:val="5BC776FE"/>
    <w:rsid w:val="5BD9B858"/>
    <w:rsid w:val="5BEF5312"/>
    <w:rsid w:val="5C45286D"/>
    <w:rsid w:val="5C461054"/>
    <w:rsid w:val="5C4A68C9"/>
    <w:rsid w:val="5CCA758B"/>
    <w:rsid w:val="5CF714FC"/>
    <w:rsid w:val="5D1539EC"/>
    <w:rsid w:val="5D1D0A0A"/>
    <w:rsid w:val="5D1F428F"/>
    <w:rsid w:val="5D283143"/>
    <w:rsid w:val="5D303BEF"/>
    <w:rsid w:val="5D562577"/>
    <w:rsid w:val="5D6D6DA8"/>
    <w:rsid w:val="5D7175DC"/>
    <w:rsid w:val="5D857B2F"/>
    <w:rsid w:val="5DBD62CA"/>
    <w:rsid w:val="5DC87DE1"/>
    <w:rsid w:val="5DDDFE16"/>
    <w:rsid w:val="5DF85247"/>
    <w:rsid w:val="5DFB1095"/>
    <w:rsid w:val="5DFF675A"/>
    <w:rsid w:val="5E4C0525"/>
    <w:rsid w:val="5E532442"/>
    <w:rsid w:val="5E785A05"/>
    <w:rsid w:val="5E7ED866"/>
    <w:rsid w:val="5E885BAF"/>
    <w:rsid w:val="5E9D5ADF"/>
    <w:rsid w:val="5EA120B2"/>
    <w:rsid w:val="5EB0526F"/>
    <w:rsid w:val="5EB87851"/>
    <w:rsid w:val="5EE6341C"/>
    <w:rsid w:val="5F0F502B"/>
    <w:rsid w:val="5F302E27"/>
    <w:rsid w:val="5F950838"/>
    <w:rsid w:val="5FA34D03"/>
    <w:rsid w:val="5FB277EE"/>
    <w:rsid w:val="5FC964DB"/>
    <w:rsid w:val="5FDFFF43"/>
    <w:rsid w:val="5FE16926"/>
    <w:rsid w:val="5FEFF148"/>
    <w:rsid w:val="5FF0BE5E"/>
    <w:rsid w:val="60285208"/>
    <w:rsid w:val="605E1071"/>
    <w:rsid w:val="607C62E4"/>
    <w:rsid w:val="60C97943"/>
    <w:rsid w:val="60F65AD1"/>
    <w:rsid w:val="61252088"/>
    <w:rsid w:val="614B44AA"/>
    <w:rsid w:val="61B51D6C"/>
    <w:rsid w:val="61CF2A87"/>
    <w:rsid w:val="61EB0780"/>
    <w:rsid w:val="61EB2BE4"/>
    <w:rsid w:val="61EB6306"/>
    <w:rsid w:val="61F97123"/>
    <w:rsid w:val="62170B90"/>
    <w:rsid w:val="621B30FC"/>
    <w:rsid w:val="622019C2"/>
    <w:rsid w:val="622154C7"/>
    <w:rsid w:val="627110E9"/>
    <w:rsid w:val="6292105F"/>
    <w:rsid w:val="62B40FD5"/>
    <w:rsid w:val="62BD432E"/>
    <w:rsid w:val="62CD2171"/>
    <w:rsid w:val="62D64AC3"/>
    <w:rsid w:val="62EB2C2A"/>
    <w:rsid w:val="62EF26C2"/>
    <w:rsid w:val="631A4E14"/>
    <w:rsid w:val="63827325"/>
    <w:rsid w:val="63A23982"/>
    <w:rsid w:val="63B2143F"/>
    <w:rsid w:val="63BA3F20"/>
    <w:rsid w:val="63DA3299"/>
    <w:rsid w:val="63F43573"/>
    <w:rsid w:val="644E1EA6"/>
    <w:rsid w:val="64CD5EE2"/>
    <w:rsid w:val="653E3430"/>
    <w:rsid w:val="65480A36"/>
    <w:rsid w:val="655D535E"/>
    <w:rsid w:val="655D73A2"/>
    <w:rsid w:val="656A066E"/>
    <w:rsid w:val="656A6FD4"/>
    <w:rsid w:val="658630FD"/>
    <w:rsid w:val="65914C4B"/>
    <w:rsid w:val="65B01F28"/>
    <w:rsid w:val="65D07C45"/>
    <w:rsid w:val="65E47E23"/>
    <w:rsid w:val="65FB8CA7"/>
    <w:rsid w:val="66077715"/>
    <w:rsid w:val="66123723"/>
    <w:rsid w:val="663366B5"/>
    <w:rsid w:val="6639539F"/>
    <w:rsid w:val="66666F74"/>
    <w:rsid w:val="666F4456"/>
    <w:rsid w:val="66B67BAE"/>
    <w:rsid w:val="66B912B0"/>
    <w:rsid w:val="66DD5641"/>
    <w:rsid w:val="6735286F"/>
    <w:rsid w:val="676958DE"/>
    <w:rsid w:val="67771FB6"/>
    <w:rsid w:val="67801DCE"/>
    <w:rsid w:val="67B57CFE"/>
    <w:rsid w:val="67D3682D"/>
    <w:rsid w:val="67DC6C50"/>
    <w:rsid w:val="67FB097F"/>
    <w:rsid w:val="67FECBCF"/>
    <w:rsid w:val="68207C65"/>
    <w:rsid w:val="682958E2"/>
    <w:rsid w:val="686F6E01"/>
    <w:rsid w:val="68894C11"/>
    <w:rsid w:val="688B45C0"/>
    <w:rsid w:val="68B71C87"/>
    <w:rsid w:val="68EA7786"/>
    <w:rsid w:val="68EC64B0"/>
    <w:rsid w:val="69584637"/>
    <w:rsid w:val="6976144B"/>
    <w:rsid w:val="699543C8"/>
    <w:rsid w:val="69AC2A06"/>
    <w:rsid w:val="69B36B59"/>
    <w:rsid w:val="69C441F4"/>
    <w:rsid w:val="69CA4000"/>
    <w:rsid w:val="69D40C09"/>
    <w:rsid w:val="69E36BFD"/>
    <w:rsid w:val="69EE74C3"/>
    <w:rsid w:val="69FD5C7F"/>
    <w:rsid w:val="6A2B1144"/>
    <w:rsid w:val="6A3812E9"/>
    <w:rsid w:val="6A682DD1"/>
    <w:rsid w:val="6A70797F"/>
    <w:rsid w:val="6A7A7873"/>
    <w:rsid w:val="6A95793E"/>
    <w:rsid w:val="6A9736B6"/>
    <w:rsid w:val="6AB204F0"/>
    <w:rsid w:val="6B0F041A"/>
    <w:rsid w:val="6B2C02A3"/>
    <w:rsid w:val="6B322B4F"/>
    <w:rsid w:val="6B6229FD"/>
    <w:rsid w:val="6B737C7F"/>
    <w:rsid w:val="6B84076F"/>
    <w:rsid w:val="6B9145AA"/>
    <w:rsid w:val="6B97710E"/>
    <w:rsid w:val="6BA7CDCF"/>
    <w:rsid w:val="6BA976FE"/>
    <w:rsid w:val="6BB40298"/>
    <w:rsid w:val="6BBB4E13"/>
    <w:rsid w:val="6BBB5A8A"/>
    <w:rsid w:val="6BD27638"/>
    <w:rsid w:val="6BDD00A9"/>
    <w:rsid w:val="6BFB6DB8"/>
    <w:rsid w:val="6C2418C5"/>
    <w:rsid w:val="6C2C6080"/>
    <w:rsid w:val="6C382C77"/>
    <w:rsid w:val="6C3926E6"/>
    <w:rsid w:val="6C700183"/>
    <w:rsid w:val="6C730A1A"/>
    <w:rsid w:val="6C7B0BAC"/>
    <w:rsid w:val="6CA34EF9"/>
    <w:rsid w:val="6CA818F3"/>
    <w:rsid w:val="6CBE145F"/>
    <w:rsid w:val="6D0F1C2A"/>
    <w:rsid w:val="6D154D66"/>
    <w:rsid w:val="6D5CE8A3"/>
    <w:rsid w:val="6D744FB4"/>
    <w:rsid w:val="6D821C9F"/>
    <w:rsid w:val="6D8374F1"/>
    <w:rsid w:val="6D9B170F"/>
    <w:rsid w:val="6DB27CF7"/>
    <w:rsid w:val="6E35746E"/>
    <w:rsid w:val="6E5EF7B9"/>
    <w:rsid w:val="6E672560"/>
    <w:rsid w:val="6E7C77F1"/>
    <w:rsid w:val="6E8709C4"/>
    <w:rsid w:val="6E921AF9"/>
    <w:rsid w:val="6E980AD7"/>
    <w:rsid w:val="6EA40753"/>
    <w:rsid w:val="6EDC1FE0"/>
    <w:rsid w:val="6EF8049C"/>
    <w:rsid w:val="6EFC1D3A"/>
    <w:rsid w:val="6EFF40CF"/>
    <w:rsid w:val="6EFF8225"/>
    <w:rsid w:val="6F1A2196"/>
    <w:rsid w:val="6F1D0F5C"/>
    <w:rsid w:val="6F2D43F4"/>
    <w:rsid w:val="6F377216"/>
    <w:rsid w:val="6F6E51AF"/>
    <w:rsid w:val="6F722C8E"/>
    <w:rsid w:val="6F79782E"/>
    <w:rsid w:val="6F7E5CD7"/>
    <w:rsid w:val="6F7F9799"/>
    <w:rsid w:val="6F815379"/>
    <w:rsid w:val="6F8C7562"/>
    <w:rsid w:val="6FC2117B"/>
    <w:rsid w:val="6FED3D79"/>
    <w:rsid w:val="6FF79055"/>
    <w:rsid w:val="6FFB8B5D"/>
    <w:rsid w:val="70111815"/>
    <w:rsid w:val="70251303"/>
    <w:rsid w:val="7035295E"/>
    <w:rsid w:val="703A6382"/>
    <w:rsid w:val="705861FF"/>
    <w:rsid w:val="70CB14C4"/>
    <w:rsid w:val="70CB31C5"/>
    <w:rsid w:val="70CF0CC6"/>
    <w:rsid w:val="70E4517B"/>
    <w:rsid w:val="70FD4426"/>
    <w:rsid w:val="71257C55"/>
    <w:rsid w:val="71297DD1"/>
    <w:rsid w:val="712D653F"/>
    <w:rsid w:val="714B6AEE"/>
    <w:rsid w:val="714C3105"/>
    <w:rsid w:val="71502AEB"/>
    <w:rsid w:val="71775A02"/>
    <w:rsid w:val="7190386B"/>
    <w:rsid w:val="71C805F9"/>
    <w:rsid w:val="71C92444"/>
    <w:rsid w:val="71CD1EDB"/>
    <w:rsid w:val="71D76BA8"/>
    <w:rsid w:val="720158B9"/>
    <w:rsid w:val="720927D3"/>
    <w:rsid w:val="72116DE6"/>
    <w:rsid w:val="721A3B06"/>
    <w:rsid w:val="7220492E"/>
    <w:rsid w:val="723979D2"/>
    <w:rsid w:val="7244004E"/>
    <w:rsid w:val="72974E34"/>
    <w:rsid w:val="72A87D6C"/>
    <w:rsid w:val="72C50C5D"/>
    <w:rsid w:val="72CB4344"/>
    <w:rsid w:val="72DF3E4C"/>
    <w:rsid w:val="72EC63D4"/>
    <w:rsid w:val="730613D9"/>
    <w:rsid w:val="731955B0"/>
    <w:rsid w:val="7326209F"/>
    <w:rsid w:val="732A6751"/>
    <w:rsid w:val="73336853"/>
    <w:rsid w:val="7361387E"/>
    <w:rsid w:val="73793C84"/>
    <w:rsid w:val="73B0176A"/>
    <w:rsid w:val="73E3FAE0"/>
    <w:rsid w:val="73F11E7A"/>
    <w:rsid w:val="73FD567A"/>
    <w:rsid w:val="73FE8C8E"/>
    <w:rsid w:val="74145D78"/>
    <w:rsid w:val="74161AF0"/>
    <w:rsid w:val="743E5FE7"/>
    <w:rsid w:val="74A23383"/>
    <w:rsid w:val="74C015BB"/>
    <w:rsid w:val="74C33F75"/>
    <w:rsid w:val="74CB4541"/>
    <w:rsid w:val="74DB0643"/>
    <w:rsid w:val="750B2C3B"/>
    <w:rsid w:val="752E10BB"/>
    <w:rsid w:val="7554016B"/>
    <w:rsid w:val="757765BE"/>
    <w:rsid w:val="757D2B73"/>
    <w:rsid w:val="75B0387E"/>
    <w:rsid w:val="75B21952"/>
    <w:rsid w:val="75D02BD6"/>
    <w:rsid w:val="75EF630C"/>
    <w:rsid w:val="75F95225"/>
    <w:rsid w:val="761C62D8"/>
    <w:rsid w:val="76607052"/>
    <w:rsid w:val="76750CAA"/>
    <w:rsid w:val="76B52454"/>
    <w:rsid w:val="76D80452"/>
    <w:rsid w:val="76E15323"/>
    <w:rsid w:val="76EC4C0D"/>
    <w:rsid w:val="76EF8523"/>
    <w:rsid w:val="76EFB68C"/>
    <w:rsid w:val="76F51C10"/>
    <w:rsid w:val="76F68D96"/>
    <w:rsid w:val="76FF6E16"/>
    <w:rsid w:val="76FF73B4"/>
    <w:rsid w:val="770C5451"/>
    <w:rsid w:val="770C6D01"/>
    <w:rsid w:val="772B58B2"/>
    <w:rsid w:val="772E7150"/>
    <w:rsid w:val="773D52C2"/>
    <w:rsid w:val="773F1455"/>
    <w:rsid w:val="775774AA"/>
    <w:rsid w:val="777059BB"/>
    <w:rsid w:val="777411B7"/>
    <w:rsid w:val="777AAC05"/>
    <w:rsid w:val="777B6043"/>
    <w:rsid w:val="77A4458C"/>
    <w:rsid w:val="77BD46C9"/>
    <w:rsid w:val="77C93EF1"/>
    <w:rsid w:val="77D40F43"/>
    <w:rsid w:val="77DA4842"/>
    <w:rsid w:val="77F24DD7"/>
    <w:rsid w:val="77F6CDB2"/>
    <w:rsid w:val="77FD144A"/>
    <w:rsid w:val="77FE35F2"/>
    <w:rsid w:val="77FF7E4F"/>
    <w:rsid w:val="785976A8"/>
    <w:rsid w:val="78742507"/>
    <w:rsid w:val="78804BB1"/>
    <w:rsid w:val="788B7917"/>
    <w:rsid w:val="789B2451"/>
    <w:rsid w:val="789F161D"/>
    <w:rsid w:val="78F31435"/>
    <w:rsid w:val="78F341AE"/>
    <w:rsid w:val="794413B4"/>
    <w:rsid w:val="79457ACC"/>
    <w:rsid w:val="796A08AB"/>
    <w:rsid w:val="797BBF46"/>
    <w:rsid w:val="798217B4"/>
    <w:rsid w:val="79BF7355"/>
    <w:rsid w:val="79CF0EE8"/>
    <w:rsid w:val="79FB0DEB"/>
    <w:rsid w:val="7A1F46CE"/>
    <w:rsid w:val="7A2111EE"/>
    <w:rsid w:val="7A3C4FB2"/>
    <w:rsid w:val="7A400F56"/>
    <w:rsid w:val="7A5213A8"/>
    <w:rsid w:val="7A74462C"/>
    <w:rsid w:val="7A7D4F3C"/>
    <w:rsid w:val="7A947A02"/>
    <w:rsid w:val="7B2B30BE"/>
    <w:rsid w:val="7B2E5D41"/>
    <w:rsid w:val="7B970683"/>
    <w:rsid w:val="7BAB0B16"/>
    <w:rsid w:val="7BAD74B1"/>
    <w:rsid w:val="7BB37305"/>
    <w:rsid w:val="7BB816DF"/>
    <w:rsid w:val="7BBF38CE"/>
    <w:rsid w:val="7BD7EF30"/>
    <w:rsid w:val="7BDE79B6"/>
    <w:rsid w:val="7BF63CB6"/>
    <w:rsid w:val="7BF7BE7F"/>
    <w:rsid w:val="7C1D360E"/>
    <w:rsid w:val="7C457B7C"/>
    <w:rsid w:val="7C613B24"/>
    <w:rsid w:val="7C72188D"/>
    <w:rsid w:val="7C7F43AB"/>
    <w:rsid w:val="7C8D4919"/>
    <w:rsid w:val="7C947A56"/>
    <w:rsid w:val="7CA0464C"/>
    <w:rsid w:val="7CAD5AAD"/>
    <w:rsid w:val="7CC7607D"/>
    <w:rsid w:val="7CD2057E"/>
    <w:rsid w:val="7CE37822"/>
    <w:rsid w:val="7CED1376"/>
    <w:rsid w:val="7CEE1643"/>
    <w:rsid w:val="7CF92E67"/>
    <w:rsid w:val="7CFC93A1"/>
    <w:rsid w:val="7D1B113F"/>
    <w:rsid w:val="7D1F6CB7"/>
    <w:rsid w:val="7D3B05D1"/>
    <w:rsid w:val="7D4A4251"/>
    <w:rsid w:val="7D575D3D"/>
    <w:rsid w:val="7D7EB2B0"/>
    <w:rsid w:val="7D9F2B56"/>
    <w:rsid w:val="7DB71415"/>
    <w:rsid w:val="7DB859C6"/>
    <w:rsid w:val="7DBF384A"/>
    <w:rsid w:val="7DBF4032"/>
    <w:rsid w:val="7DBFD291"/>
    <w:rsid w:val="7DD7DEF0"/>
    <w:rsid w:val="7DDC9A52"/>
    <w:rsid w:val="7DE7070C"/>
    <w:rsid w:val="7DEDAD0C"/>
    <w:rsid w:val="7DF63AA6"/>
    <w:rsid w:val="7DF97293"/>
    <w:rsid w:val="7DFB2B79"/>
    <w:rsid w:val="7DFD1E37"/>
    <w:rsid w:val="7DFEB59F"/>
    <w:rsid w:val="7DFFF5C4"/>
    <w:rsid w:val="7E177712"/>
    <w:rsid w:val="7E3E0756"/>
    <w:rsid w:val="7E4003EA"/>
    <w:rsid w:val="7E434CE0"/>
    <w:rsid w:val="7E576F8D"/>
    <w:rsid w:val="7E703977"/>
    <w:rsid w:val="7E7F5C27"/>
    <w:rsid w:val="7E924E60"/>
    <w:rsid w:val="7E961685"/>
    <w:rsid w:val="7E977CD1"/>
    <w:rsid w:val="7EA23B31"/>
    <w:rsid w:val="7EAB4F85"/>
    <w:rsid w:val="7EB75DAC"/>
    <w:rsid w:val="7EBF6FD5"/>
    <w:rsid w:val="7EC83619"/>
    <w:rsid w:val="7EE32DB4"/>
    <w:rsid w:val="7EF317E1"/>
    <w:rsid w:val="7EF3BE68"/>
    <w:rsid w:val="7EFEF447"/>
    <w:rsid w:val="7EFFFB13"/>
    <w:rsid w:val="7F3839D6"/>
    <w:rsid w:val="7F427C3D"/>
    <w:rsid w:val="7F536107"/>
    <w:rsid w:val="7F5434CC"/>
    <w:rsid w:val="7F5E12E5"/>
    <w:rsid w:val="7F67B1C1"/>
    <w:rsid w:val="7F693BA6"/>
    <w:rsid w:val="7F737465"/>
    <w:rsid w:val="7F761A9E"/>
    <w:rsid w:val="7F77229D"/>
    <w:rsid w:val="7F778815"/>
    <w:rsid w:val="7F7B5325"/>
    <w:rsid w:val="7F7BACC2"/>
    <w:rsid w:val="7F7E7A83"/>
    <w:rsid w:val="7F7EEB80"/>
    <w:rsid w:val="7F7FA118"/>
    <w:rsid w:val="7F871AF4"/>
    <w:rsid w:val="7F8834F1"/>
    <w:rsid w:val="7F9F84C7"/>
    <w:rsid w:val="7F9FE749"/>
    <w:rsid w:val="7FA8164A"/>
    <w:rsid w:val="7FB9B7D6"/>
    <w:rsid w:val="7FBF10EC"/>
    <w:rsid w:val="7FBFDACA"/>
    <w:rsid w:val="7FC2A6F0"/>
    <w:rsid w:val="7FCE7723"/>
    <w:rsid w:val="7FD57BFB"/>
    <w:rsid w:val="7FDBC0FD"/>
    <w:rsid w:val="7FDD8D36"/>
    <w:rsid w:val="7FDDA2BE"/>
    <w:rsid w:val="7FE6C9D6"/>
    <w:rsid w:val="7FE92FBA"/>
    <w:rsid w:val="7FEC5DFB"/>
    <w:rsid w:val="7FEDC262"/>
    <w:rsid w:val="7FEF8EAA"/>
    <w:rsid w:val="7FF07A48"/>
    <w:rsid w:val="7FF147B5"/>
    <w:rsid w:val="7FF1A30C"/>
    <w:rsid w:val="7FF70D59"/>
    <w:rsid w:val="7FFA3233"/>
    <w:rsid w:val="7FFB9B98"/>
    <w:rsid w:val="7FFC8300"/>
    <w:rsid w:val="7FFE6245"/>
    <w:rsid w:val="7FFE8719"/>
    <w:rsid w:val="7FFEA076"/>
    <w:rsid w:val="7FFF0714"/>
    <w:rsid w:val="7FFF2D97"/>
    <w:rsid w:val="7FFF6924"/>
    <w:rsid w:val="7FFF88BF"/>
    <w:rsid w:val="7FFF9194"/>
    <w:rsid w:val="7FFFADD8"/>
    <w:rsid w:val="7FFFBFBF"/>
    <w:rsid w:val="87D17993"/>
    <w:rsid w:val="977FB3AB"/>
    <w:rsid w:val="9957DD0C"/>
    <w:rsid w:val="9BD5C8C0"/>
    <w:rsid w:val="9DFF65D2"/>
    <w:rsid w:val="9DFFAFC7"/>
    <w:rsid w:val="9F6AC3AB"/>
    <w:rsid w:val="9FAF3A76"/>
    <w:rsid w:val="9FD63416"/>
    <w:rsid w:val="9FDE1684"/>
    <w:rsid w:val="9FE5D706"/>
    <w:rsid w:val="9FF9B951"/>
    <w:rsid w:val="9FFB89D2"/>
    <w:rsid w:val="9FFF0DFA"/>
    <w:rsid w:val="A2FC4D3E"/>
    <w:rsid w:val="A67FAFCB"/>
    <w:rsid w:val="A6A2E46C"/>
    <w:rsid w:val="A77B0A82"/>
    <w:rsid w:val="ABDFE56E"/>
    <w:rsid w:val="AD795E61"/>
    <w:rsid w:val="AEDF4167"/>
    <w:rsid w:val="AFFF12E7"/>
    <w:rsid w:val="B3FF14A0"/>
    <w:rsid w:val="B5AE6F65"/>
    <w:rsid w:val="B5BFEF4F"/>
    <w:rsid w:val="B5DB1343"/>
    <w:rsid w:val="B672414C"/>
    <w:rsid w:val="B69BB2C2"/>
    <w:rsid w:val="B6D36DBE"/>
    <w:rsid w:val="B77751BC"/>
    <w:rsid w:val="B7E7FBB1"/>
    <w:rsid w:val="B7FC31A4"/>
    <w:rsid w:val="B8DF7918"/>
    <w:rsid w:val="BB5FC737"/>
    <w:rsid w:val="BBC67553"/>
    <w:rsid w:val="BBEAB2CE"/>
    <w:rsid w:val="BBF5E71A"/>
    <w:rsid w:val="BC6844CD"/>
    <w:rsid w:val="BD7D72B7"/>
    <w:rsid w:val="BDE7E7DD"/>
    <w:rsid w:val="BDF362E8"/>
    <w:rsid w:val="BE7F1E38"/>
    <w:rsid w:val="BEE56BE7"/>
    <w:rsid w:val="BEF2CE10"/>
    <w:rsid w:val="BF9FD817"/>
    <w:rsid w:val="BFBD5352"/>
    <w:rsid w:val="BFDE87DD"/>
    <w:rsid w:val="BFFE5FFA"/>
    <w:rsid w:val="BFFF4EA3"/>
    <w:rsid w:val="C37FAF0A"/>
    <w:rsid w:val="C3F378E9"/>
    <w:rsid w:val="CAFDB8D7"/>
    <w:rsid w:val="CD9FFAB1"/>
    <w:rsid w:val="CDFE7CC8"/>
    <w:rsid w:val="CF5FD01D"/>
    <w:rsid w:val="CFBB04E5"/>
    <w:rsid w:val="D3659482"/>
    <w:rsid w:val="D3D81BF7"/>
    <w:rsid w:val="D5B1AF93"/>
    <w:rsid w:val="D6FD60A8"/>
    <w:rsid w:val="D79F7869"/>
    <w:rsid w:val="D7FFF6A3"/>
    <w:rsid w:val="DAAD9B08"/>
    <w:rsid w:val="DB6F3C23"/>
    <w:rsid w:val="DB6FBE1F"/>
    <w:rsid w:val="DB7D9432"/>
    <w:rsid w:val="DC6F3FB6"/>
    <w:rsid w:val="DD9FFF4A"/>
    <w:rsid w:val="DDBEE79C"/>
    <w:rsid w:val="DE3ECDF1"/>
    <w:rsid w:val="DE7FAEAB"/>
    <w:rsid w:val="DE9D1BF6"/>
    <w:rsid w:val="DED49C8D"/>
    <w:rsid w:val="DEDF5283"/>
    <w:rsid w:val="DEF81F51"/>
    <w:rsid w:val="DF5EDD7C"/>
    <w:rsid w:val="DF7F1F95"/>
    <w:rsid w:val="DFB7BB09"/>
    <w:rsid w:val="DFB9BEE2"/>
    <w:rsid w:val="DFBC1C5B"/>
    <w:rsid w:val="DFFA6E0F"/>
    <w:rsid w:val="DFFFDC1E"/>
    <w:rsid w:val="E39FCDE7"/>
    <w:rsid w:val="E6A5E02F"/>
    <w:rsid w:val="E7676C43"/>
    <w:rsid w:val="E79723D6"/>
    <w:rsid w:val="E9FD354D"/>
    <w:rsid w:val="E9FF54BD"/>
    <w:rsid w:val="EA5EEC21"/>
    <w:rsid w:val="EB11DF99"/>
    <w:rsid w:val="EBAF0F59"/>
    <w:rsid w:val="EBDF9AE5"/>
    <w:rsid w:val="EBEFD526"/>
    <w:rsid w:val="EBFFC04E"/>
    <w:rsid w:val="ED547ABC"/>
    <w:rsid w:val="EDFDC06D"/>
    <w:rsid w:val="EEADC622"/>
    <w:rsid w:val="EEBF6D24"/>
    <w:rsid w:val="EF9F8762"/>
    <w:rsid w:val="EFAF3858"/>
    <w:rsid w:val="EFDD46F6"/>
    <w:rsid w:val="EFFF3F33"/>
    <w:rsid w:val="EFFF84EB"/>
    <w:rsid w:val="F07A1E3F"/>
    <w:rsid w:val="F14A8D70"/>
    <w:rsid w:val="F1B52D31"/>
    <w:rsid w:val="F2C3B9FF"/>
    <w:rsid w:val="F3BE4699"/>
    <w:rsid w:val="F3DD4E6D"/>
    <w:rsid w:val="F3EB8499"/>
    <w:rsid w:val="F3FA9473"/>
    <w:rsid w:val="F478A35A"/>
    <w:rsid w:val="F4EFC046"/>
    <w:rsid w:val="F61B9D44"/>
    <w:rsid w:val="F72A1C7A"/>
    <w:rsid w:val="F76F84F3"/>
    <w:rsid w:val="F77F0BF7"/>
    <w:rsid w:val="F793AB21"/>
    <w:rsid w:val="F79FEBB1"/>
    <w:rsid w:val="F7BF0513"/>
    <w:rsid w:val="F7D701DE"/>
    <w:rsid w:val="F7DDAA51"/>
    <w:rsid w:val="F7E7E502"/>
    <w:rsid w:val="F7EC86EB"/>
    <w:rsid w:val="F7EE54D9"/>
    <w:rsid w:val="F7FBF4C1"/>
    <w:rsid w:val="F7FD2246"/>
    <w:rsid w:val="F7FEA7F7"/>
    <w:rsid w:val="F7FF75F8"/>
    <w:rsid w:val="F7FFBA93"/>
    <w:rsid w:val="F7FFE0C6"/>
    <w:rsid w:val="F7FFE7CC"/>
    <w:rsid w:val="F7FFEF24"/>
    <w:rsid w:val="F8771FFA"/>
    <w:rsid w:val="F9578779"/>
    <w:rsid w:val="F9BF305B"/>
    <w:rsid w:val="F9C59C07"/>
    <w:rsid w:val="FBAED51F"/>
    <w:rsid w:val="FBB6F126"/>
    <w:rsid w:val="FBBB1735"/>
    <w:rsid w:val="FBBE1A98"/>
    <w:rsid w:val="FBCF0C90"/>
    <w:rsid w:val="FBFA4B0E"/>
    <w:rsid w:val="FCE8D8B9"/>
    <w:rsid w:val="FCFB203E"/>
    <w:rsid w:val="FCFF10E0"/>
    <w:rsid w:val="FD73A487"/>
    <w:rsid w:val="FD77BC9F"/>
    <w:rsid w:val="FD79E018"/>
    <w:rsid w:val="FD7E41F1"/>
    <w:rsid w:val="FD7FABF0"/>
    <w:rsid w:val="FDDDD78B"/>
    <w:rsid w:val="FDDF194D"/>
    <w:rsid w:val="FDF7D13C"/>
    <w:rsid w:val="FDFC3BCF"/>
    <w:rsid w:val="FDFCD443"/>
    <w:rsid w:val="FE9BD843"/>
    <w:rsid w:val="FEBE7A28"/>
    <w:rsid w:val="FED70EF8"/>
    <w:rsid w:val="FED721B4"/>
    <w:rsid w:val="FEDE49EC"/>
    <w:rsid w:val="FEE7E1FF"/>
    <w:rsid w:val="FEFBC2B3"/>
    <w:rsid w:val="FEFFB9CA"/>
    <w:rsid w:val="FF1FC3EA"/>
    <w:rsid w:val="FF2F04AD"/>
    <w:rsid w:val="FF4D9E01"/>
    <w:rsid w:val="FF4DD832"/>
    <w:rsid w:val="FF6D0E3B"/>
    <w:rsid w:val="FF6DAFC2"/>
    <w:rsid w:val="FF6E9A26"/>
    <w:rsid w:val="FF7F660B"/>
    <w:rsid w:val="FFB14559"/>
    <w:rsid w:val="FFB49630"/>
    <w:rsid w:val="FFB72480"/>
    <w:rsid w:val="FFBD87B5"/>
    <w:rsid w:val="FFC6B276"/>
    <w:rsid w:val="FFD7045A"/>
    <w:rsid w:val="FFDF9AE8"/>
    <w:rsid w:val="FFDFD957"/>
    <w:rsid w:val="FFE9AA6E"/>
    <w:rsid w:val="FFEB4F73"/>
    <w:rsid w:val="FFF3513C"/>
    <w:rsid w:val="FFF49B87"/>
    <w:rsid w:val="FFFACDF7"/>
    <w:rsid w:val="FFFCDC7E"/>
    <w:rsid w:val="FFFE7338"/>
    <w:rsid w:val="FFFF2BF5"/>
    <w:rsid w:val="FFFF4700"/>
    <w:rsid w:val="FFFF9A79"/>
    <w:rsid w:val="FFFFD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720" w:firstLineChars="200"/>
      <w:jc w:val="both"/>
    </w:pPr>
    <w:rPr>
      <w:rFonts w:ascii="Calibri" w:hAnsi="Calibri" w:eastAsia="华文仿宋" w:cs="Times New Roman"/>
      <w:kern w:val="2"/>
      <w:sz w:val="32"/>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b/>
      <w:bCs/>
      <w:kern w:val="44"/>
      <w:sz w:val="48"/>
      <w:szCs w:val="48"/>
    </w:rPr>
  </w:style>
  <w:style w:type="paragraph" w:styleId="4">
    <w:name w:val="heading 2"/>
    <w:basedOn w:val="1"/>
    <w:next w:val="1"/>
    <w:qFormat/>
    <w:uiPriority w:val="0"/>
    <w:pPr>
      <w:keepNext/>
      <w:keepLines/>
      <w:spacing w:before="260" w:after="260" w:line="413" w:lineRule="auto"/>
      <w:outlineLvl w:val="1"/>
    </w:pPr>
    <w:rPr>
      <w:rFonts w:ascii="Arial" w:hAnsi="Arial" w:eastAsia="楷体"/>
      <w:b/>
    </w:rPr>
  </w:style>
  <w:style w:type="paragraph" w:styleId="5">
    <w:name w:val="heading 3"/>
    <w:basedOn w:val="1"/>
    <w:next w:val="1"/>
    <w:qFormat/>
    <w:uiPriority w:val="0"/>
    <w:pPr>
      <w:widowControl/>
      <w:jc w:val="left"/>
      <w:outlineLvl w:val="2"/>
    </w:pPr>
    <w:rPr>
      <w:rFonts w:hint="eastAsia" w:ascii="宋体" w:hAnsi="宋体"/>
      <w:b/>
      <w:bCs/>
      <w:kern w:val="0"/>
      <w:szCs w:val="27"/>
    </w:rPr>
  </w:style>
  <w:style w:type="paragraph" w:styleId="6">
    <w:name w:val="heading 4"/>
    <w:basedOn w:val="1"/>
    <w:next w:val="1"/>
    <w:qFormat/>
    <w:uiPriority w:val="0"/>
    <w:pPr>
      <w:widowControl/>
      <w:spacing w:before="100" w:beforeAutospacing="1" w:after="100" w:afterAutospacing="1"/>
      <w:jc w:val="left"/>
      <w:outlineLvl w:val="3"/>
    </w:pPr>
    <w:rPr>
      <w:rFonts w:hint="eastAsia" w:ascii="宋体" w:hAnsi="宋体" w:eastAsia="宋体"/>
      <w:b/>
      <w:bCs/>
      <w:kern w:val="0"/>
      <w:sz w:val="24"/>
    </w:rPr>
  </w:style>
  <w:style w:type="character" w:default="1" w:styleId="22">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7">
    <w:name w:val="caption"/>
    <w:basedOn w:val="1"/>
    <w:next w:val="1"/>
    <w:qFormat/>
    <w:uiPriority w:val="0"/>
    <w:rPr>
      <w:rFonts w:ascii="Arial" w:hAnsi="Arial" w:eastAsia="黑体" w:cs="Arial"/>
      <w:sz w:val="20"/>
    </w:rPr>
  </w:style>
  <w:style w:type="paragraph" w:styleId="8">
    <w:name w:val="annotation text"/>
    <w:basedOn w:val="1"/>
    <w:qFormat/>
    <w:uiPriority w:val="0"/>
    <w:pPr>
      <w:jc w:val="left"/>
    </w:pPr>
  </w:style>
  <w:style w:type="paragraph" w:styleId="9">
    <w:name w:val="index 6"/>
    <w:basedOn w:val="1"/>
    <w:next w:val="1"/>
    <w:qFormat/>
    <w:uiPriority w:val="0"/>
    <w:rPr>
      <w:rFonts w:ascii="仿宋_GB2312" w:hAnsi="黑体" w:eastAsia="仿宋_GB2312" w:cs="黑体"/>
      <w:color w:val="000000"/>
      <w:szCs w:val="32"/>
    </w:rPr>
  </w:style>
  <w:style w:type="paragraph" w:styleId="10">
    <w:name w:val="Body Text"/>
    <w:basedOn w:val="1"/>
    <w:next w:val="1"/>
    <w:qFormat/>
    <w:uiPriority w:val="0"/>
  </w:style>
  <w:style w:type="paragraph" w:styleId="11">
    <w:name w:val="toc 3"/>
    <w:basedOn w:val="1"/>
    <w:next w:val="1"/>
    <w:qFormat/>
    <w:uiPriority w:val="39"/>
    <w:pPr>
      <w:ind w:left="840" w:leftChars="400"/>
    </w:p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qFormat/>
    <w:uiPriority w:val="39"/>
  </w:style>
  <w:style w:type="paragraph" w:styleId="15">
    <w:name w:val="footnote text"/>
    <w:basedOn w:val="1"/>
    <w:qFormat/>
    <w:uiPriority w:val="0"/>
    <w:pPr>
      <w:snapToGrid w:val="0"/>
      <w:jc w:val="left"/>
    </w:pPr>
    <w:rPr>
      <w:sz w:val="18"/>
      <w:szCs w:val="18"/>
    </w:rPr>
  </w:style>
  <w:style w:type="paragraph" w:styleId="16">
    <w:name w:val="index 9"/>
    <w:basedOn w:val="1"/>
    <w:next w:val="1"/>
    <w:qFormat/>
    <w:uiPriority w:val="0"/>
    <w:pPr>
      <w:ind w:left="3360"/>
    </w:pPr>
    <w:rPr>
      <w:rFonts w:ascii="Times New Roman" w:hAnsi="Times New Roman"/>
    </w:rPr>
  </w:style>
  <w:style w:type="paragraph" w:styleId="17">
    <w:name w:val="toc 2"/>
    <w:basedOn w:val="1"/>
    <w:next w:val="1"/>
    <w:qFormat/>
    <w:uiPriority w:val="39"/>
    <w:pPr>
      <w:ind w:left="420" w:leftChars="200"/>
    </w:pPr>
  </w:style>
  <w:style w:type="paragraph" w:styleId="18">
    <w:name w:val="Normal (Web)"/>
    <w:basedOn w:val="1"/>
    <w:qFormat/>
    <w:uiPriority w:val="0"/>
    <w:pPr>
      <w:spacing w:before="100" w:beforeAutospacing="1" w:after="100" w:afterAutospacing="1"/>
      <w:jc w:val="left"/>
    </w:pPr>
    <w:rPr>
      <w:kern w:val="0"/>
      <w:sz w:val="24"/>
    </w:rPr>
  </w:style>
  <w:style w:type="paragraph" w:styleId="19">
    <w:name w:val="Body Text First Indent"/>
    <w:basedOn w:val="10"/>
    <w:next w:val="9"/>
    <w:qFormat/>
    <w:uiPriority w:val="0"/>
    <w:pPr>
      <w:ind w:firstLine="420" w:firstLineChars="1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qFormat/>
    <w:uiPriority w:val="0"/>
    <w:rPr>
      <w:b/>
    </w:rPr>
  </w:style>
  <w:style w:type="character" w:styleId="24">
    <w:name w:val="Emphasis"/>
    <w:qFormat/>
    <w:uiPriority w:val="0"/>
    <w:rPr>
      <w:i/>
    </w:rPr>
  </w:style>
  <w:style w:type="character" w:styleId="25">
    <w:name w:val="Hyperlink"/>
    <w:basedOn w:val="22"/>
    <w:qFormat/>
    <w:uiPriority w:val="99"/>
    <w:rPr>
      <w:color w:val="0000FF"/>
      <w:u w:val="single"/>
    </w:rPr>
  </w:style>
  <w:style w:type="character" w:styleId="26">
    <w:name w:val="annotation reference"/>
    <w:basedOn w:val="22"/>
    <w:qFormat/>
    <w:uiPriority w:val="0"/>
    <w:rPr>
      <w:sz w:val="21"/>
      <w:szCs w:val="21"/>
    </w:rPr>
  </w:style>
  <w:style w:type="character" w:styleId="27">
    <w:name w:val="footnote reference"/>
    <w:qFormat/>
    <w:uiPriority w:val="0"/>
    <w:rPr>
      <w:vertAlign w:val="superscript"/>
    </w:rPr>
  </w:style>
  <w:style w:type="paragraph" w:customStyle="1" w:styleId="28">
    <w:name w:val="p0"/>
    <w:basedOn w:val="1"/>
    <w:next w:val="16"/>
    <w:qFormat/>
    <w:uiPriority w:val="0"/>
    <w:pPr>
      <w:widowControl/>
    </w:pPr>
    <w:rPr>
      <w:kern w:val="0"/>
      <w:szCs w:val="21"/>
    </w:rPr>
  </w:style>
  <w:style w:type="paragraph" w:customStyle="1" w:styleId="29">
    <w:name w:val="样式1"/>
    <w:basedOn w:val="5"/>
    <w:next w:val="1"/>
    <w:qFormat/>
    <w:uiPriority w:val="0"/>
  </w:style>
  <w:style w:type="paragraph" w:customStyle="1" w:styleId="30">
    <w:name w:val="Table Text"/>
    <w:basedOn w:val="1"/>
    <w:semiHidden/>
    <w:qFormat/>
    <w:uiPriority w:val="0"/>
    <w:rPr>
      <w:rFonts w:ascii="微软雅黑" w:hAnsi="微软雅黑" w:eastAsia="微软雅黑" w:cs="微软雅黑"/>
      <w:sz w:val="19"/>
      <w:szCs w:val="19"/>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tiff"/><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26999</Words>
  <Characters>27449</Characters>
  <Lines>245</Lines>
  <Paragraphs>69</Paragraphs>
  <TotalTime>4</TotalTime>
  <ScaleCrop>false</ScaleCrop>
  <LinksUpToDate>false</LinksUpToDate>
  <CharactersWithSpaces>27982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2025-07-23T02:52:00Z</dcterms:created>
  <dc:creator>martin'lu't</dc:creator>
  <cp:lastModifiedBy>inspur</cp:lastModifiedBy>
  <cp:lastPrinted>2025-12-12T11:15:00Z</cp:lastPrinted>
  <dcterms:modified xsi:type="dcterms:W3CDTF">2026-06-30T09:02:26Z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KSOTemplateDocerSaveRecord">
    <vt:lpwstr>eyJoZGlkIjoiOTkzYTE0OTJmNjAyZjhiYWU0M2UyM2Q2MWUwY2Y3NWUiLCJ1c2VySWQiOiIzMjYwMzA2NjUifQ==</vt:lpwstr>
  </property>
  <property fmtid="{D5CDD505-2E9C-101B-9397-08002B2CF9AE}" pid="4" name="ICV">
    <vt:lpwstr>510E0450039A4B2C891303BB30434A52_13</vt:lpwstr>
  </property>
</Properties>
</file>