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jc w:val="center"/>
        <w:textAlignment w:val="auto"/>
        <w:rPr>
          <w:rFonts w:hint="eastAsia" w:asciiTheme="majorEastAsia" w:hAnsiTheme="majorEastAsia" w:eastAsiaTheme="majorEastAsia" w:cstheme="majorEastAsia"/>
          <w:b/>
          <w:bCs/>
          <w:sz w:val="44"/>
          <w:szCs w:val="44"/>
          <w:lang w:eastAsia="zh-CN"/>
        </w:rPr>
      </w:pPr>
    </w:p>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jc w:val="center"/>
        <w:textAlignment w:val="auto"/>
        <w:rPr>
          <w:rFonts w:hint="eastAsia" w:asciiTheme="majorEastAsia" w:hAnsiTheme="majorEastAsia" w:eastAsiaTheme="majorEastAsia" w:cstheme="majorEastAsia"/>
          <w:b/>
          <w:bCs/>
          <w:sz w:val="44"/>
          <w:szCs w:val="44"/>
          <w:lang w:val="en-US" w:eastAsia="zh-CN"/>
        </w:rPr>
      </w:pPr>
      <w:bookmarkStart w:id="0" w:name="_GoBack"/>
      <w:r>
        <w:rPr>
          <w:rFonts w:hint="eastAsia" w:asciiTheme="majorEastAsia" w:hAnsiTheme="majorEastAsia" w:eastAsiaTheme="majorEastAsia" w:cstheme="majorEastAsia"/>
          <w:b/>
          <w:bCs/>
          <w:sz w:val="44"/>
          <w:szCs w:val="44"/>
          <w:lang w:eastAsia="zh-CN"/>
        </w:rPr>
        <w:t>《河南</w:t>
      </w:r>
      <w:r>
        <w:rPr>
          <w:rFonts w:hint="eastAsia" w:asciiTheme="majorEastAsia" w:hAnsiTheme="majorEastAsia" w:eastAsiaTheme="majorEastAsia" w:cstheme="majorEastAsia"/>
          <w:b/>
          <w:bCs/>
          <w:sz w:val="44"/>
          <w:szCs w:val="44"/>
          <w:lang w:val="en-US" w:eastAsia="zh-CN"/>
        </w:rPr>
        <w:t>省绿色制造体系梯度培育及管理</w:t>
      </w:r>
    </w:p>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jc w:val="center"/>
        <w:textAlignment w:val="auto"/>
        <w:rPr>
          <w:rFonts w:hint="eastAsia" w:asciiTheme="majorEastAsia" w:hAnsiTheme="majorEastAsia" w:eastAsiaTheme="majorEastAsia" w:cstheme="majorEastAsia"/>
          <w:sz w:val="44"/>
          <w:szCs w:val="44"/>
          <w:lang w:eastAsia="zh-CN"/>
        </w:rPr>
      </w:pPr>
      <w:r>
        <w:rPr>
          <w:rFonts w:hint="eastAsia" w:asciiTheme="majorEastAsia" w:hAnsiTheme="majorEastAsia" w:eastAsiaTheme="majorEastAsia" w:cstheme="majorEastAsia"/>
          <w:b/>
          <w:bCs/>
          <w:sz w:val="44"/>
          <w:szCs w:val="44"/>
          <w:lang w:val="en-US" w:eastAsia="zh-CN"/>
        </w:rPr>
        <w:t>暂行办法</w:t>
      </w:r>
      <w:r>
        <w:rPr>
          <w:rFonts w:hint="eastAsia" w:asciiTheme="majorEastAsia" w:hAnsiTheme="majorEastAsia" w:eastAsiaTheme="majorEastAsia" w:cstheme="majorEastAsia"/>
          <w:b/>
          <w:bCs/>
          <w:sz w:val="44"/>
          <w:szCs w:val="44"/>
          <w:lang w:eastAsia="zh-CN"/>
        </w:rPr>
        <w:t>》</w:t>
      </w:r>
      <w:r>
        <w:rPr>
          <w:rFonts w:hint="eastAsia" w:asciiTheme="majorEastAsia" w:hAnsiTheme="majorEastAsia" w:eastAsiaTheme="majorEastAsia" w:cstheme="majorEastAsia"/>
          <w:b/>
          <w:bCs/>
          <w:sz w:val="44"/>
          <w:szCs w:val="44"/>
          <w:lang w:val="en-US" w:eastAsia="zh-CN"/>
        </w:rPr>
        <w:t>政策解读</w:t>
      </w:r>
    </w:p>
    <w:bookmarkEnd w:id="0"/>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ind w:firstLine="640" w:firstLineChars="200"/>
        <w:textAlignment w:val="auto"/>
        <w:rPr>
          <w:rFonts w:hint="eastAsia" w:ascii="华文仿宋" w:hAnsi="华文仿宋" w:eastAsia="华文仿宋" w:cs="华文仿宋"/>
          <w:sz w:val="32"/>
          <w:szCs w:val="32"/>
          <w:lang w:eastAsia="zh-CN"/>
        </w:rPr>
      </w:pPr>
    </w:p>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ind w:firstLine="640" w:firstLineChars="20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为贯彻落实习近平总书记关于制造业高质量发展的重要论述重要指示精神，按照工业和信息化部关于工业绿色低碳发展和绿色制造体系建设的部署安排，进一步完善河南省绿色制造体系建设，加快形成规范化、长效化培育机制，打造绿色制造领军力量，近日河南省工业和信息化厅印发了《河南省绿色制造体系梯度培育及管理暂行办法》（以下简称《暂行办法》），现作如下解读。</w:t>
      </w:r>
    </w:p>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ind w:firstLine="640" w:firstLineChars="200"/>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一、背景与目的</w:t>
      </w:r>
    </w:p>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ind w:firstLine="640" w:firstLineChars="20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随着全球对环境保护和可持续发展的重视，绿色制造已成为制造业转型升级和高质量发展的重要方向。河南省作为制造业大省，“十三五”以来，加快推进新型工业化，</w:t>
      </w:r>
      <w:r>
        <w:rPr>
          <w:rFonts w:hint="eastAsia" w:ascii="华文仿宋" w:hAnsi="华文仿宋" w:eastAsia="华文仿宋" w:cs="华文仿宋"/>
          <w:sz w:val="32"/>
          <w:szCs w:val="32"/>
          <w:lang w:val="en-US" w:eastAsia="zh-CN"/>
        </w:rPr>
        <w:t>着力培育绿色工厂、绿色工业园区、绿色供应链和绿色设计产品，有力</w:t>
      </w:r>
      <w:r>
        <w:rPr>
          <w:rFonts w:hint="eastAsia" w:ascii="华文仿宋" w:hAnsi="华文仿宋" w:eastAsia="华文仿宋" w:cs="华文仿宋"/>
          <w:sz w:val="32"/>
          <w:szCs w:val="32"/>
          <w:lang w:eastAsia="zh-CN"/>
        </w:rPr>
        <w:t>推动</w:t>
      </w:r>
      <w:r>
        <w:rPr>
          <w:rFonts w:hint="eastAsia" w:ascii="华文仿宋" w:hAnsi="华文仿宋" w:eastAsia="华文仿宋" w:cs="华文仿宋"/>
          <w:sz w:val="32"/>
          <w:szCs w:val="32"/>
          <w:lang w:val="en-US" w:eastAsia="zh-CN"/>
        </w:rPr>
        <w:t>制造业绿色低碳发展。截至目前，河南共培育国家级绿色工厂249家、绿色工业园区19个、绿色供应链管理企业34家；省级绿色工厂498家、绿色工业园区33家、绿色供应链管理企业57家，绿色设计产品75个，行业覆盖化工、钢铁、有色、建材等传统产业和新能源汽车、新材料、节能环保装备等新兴产业。全省各行业、各市县绿色制造水平不断提升。总体来看，以绿色工厂、绿色工业园区、绿色供应链管理企业、绿色设计产品为基础的绿色制造体系正在逐步构建，以绿色工厂为核心基础单元的绿色制造体系已成为河南推行绿色制造的重要抓手。在此背景下，为加快绿色制造体系培育建设和动态管理，河南省工业和信息化厅研究启动了</w:t>
      </w:r>
      <w:r>
        <w:rPr>
          <w:rFonts w:hint="eastAsia" w:ascii="华文仿宋" w:hAnsi="华文仿宋" w:eastAsia="华文仿宋" w:cs="华文仿宋"/>
          <w:sz w:val="32"/>
          <w:szCs w:val="32"/>
          <w:lang w:eastAsia="zh-CN"/>
        </w:rPr>
        <w:t>《暂行办法》的研究制定工作</w:t>
      </w:r>
      <w:r>
        <w:rPr>
          <w:rFonts w:hint="eastAsia" w:ascii="华文仿宋" w:hAnsi="华文仿宋" w:eastAsia="华文仿宋" w:cs="华文仿宋"/>
          <w:sz w:val="32"/>
          <w:szCs w:val="32"/>
          <w:lang w:val="en-US" w:eastAsia="zh-CN"/>
        </w:rPr>
        <w:t>。</w:t>
      </w:r>
    </w:p>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ind w:firstLine="640" w:firstLineChars="200"/>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二、基本原则</w:t>
      </w:r>
    </w:p>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ind w:firstLine="640" w:firstLineChars="20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《暂行办法》明确，绿色制造体系梯度培育遵循以下基本原则：</w:t>
      </w:r>
    </w:p>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ind w:firstLine="640" w:firstLineChars="200"/>
        <w:textAlignment w:val="auto"/>
        <w:rPr>
          <w:rFonts w:hint="eastAsia" w:ascii="华文仿宋" w:hAnsi="华文仿宋" w:eastAsia="华文仿宋" w:cs="华文仿宋"/>
          <w:sz w:val="32"/>
          <w:szCs w:val="32"/>
          <w:lang w:eastAsia="zh-CN"/>
        </w:rPr>
      </w:pPr>
      <w:r>
        <w:rPr>
          <w:rFonts w:hint="eastAsia" w:ascii="华文楷体" w:hAnsi="华文楷体" w:eastAsia="华文楷体" w:cs="华文楷体"/>
          <w:b/>
          <w:bCs/>
          <w:sz w:val="32"/>
          <w:szCs w:val="32"/>
          <w:lang w:eastAsia="zh-CN"/>
        </w:rPr>
        <w:t>一是企业主体。</w:t>
      </w:r>
      <w:r>
        <w:rPr>
          <w:rFonts w:hint="eastAsia" w:ascii="华文仿宋" w:hAnsi="华文仿宋" w:eastAsia="华文仿宋" w:cs="华文仿宋"/>
          <w:sz w:val="32"/>
          <w:szCs w:val="32"/>
          <w:lang w:eastAsia="zh-CN"/>
        </w:rPr>
        <w:t>充分发挥企业在绿色制造中的主体作用，激发企业绿色制造的内生动力。</w:t>
      </w:r>
    </w:p>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ind w:firstLine="640" w:firstLineChars="200"/>
        <w:textAlignment w:val="auto"/>
        <w:rPr>
          <w:rFonts w:hint="eastAsia" w:ascii="华文仿宋" w:hAnsi="华文仿宋" w:eastAsia="华文仿宋" w:cs="华文仿宋"/>
          <w:sz w:val="32"/>
          <w:szCs w:val="32"/>
          <w:lang w:eastAsia="zh-CN"/>
        </w:rPr>
      </w:pPr>
      <w:r>
        <w:rPr>
          <w:rFonts w:hint="eastAsia" w:ascii="华文楷体" w:hAnsi="华文楷体" w:eastAsia="华文楷体" w:cs="华文楷体"/>
          <w:b/>
          <w:bCs/>
          <w:sz w:val="32"/>
          <w:szCs w:val="32"/>
          <w:lang w:eastAsia="zh-CN"/>
        </w:rPr>
        <w:t>二是政府引导。</w:t>
      </w:r>
      <w:r>
        <w:rPr>
          <w:rFonts w:hint="eastAsia" w:ascii="华文仿宋" w:hAnsi="华文仿宋" w:eastAsia="华文仿宋" w:cs="华文仿宋"/>
          <w:sz w:val="32"/>
          <w:szCs w:val="32"/>
          <w:lang w:eastAsia="zh-CN"/>
        </w:rPr>
        <w:t>政府通过政策引导、资金扶持等方式，为企业绿色制造提供有力支持。</w:t>
      </w:r>
    </w:p>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ind w:firstLine="640" w:firstLineChars="200"/>
        <w:textAlignment w:val="auto"/>
        <w:rPr>
          <w:rFonts w:hint="eastAsia" w:ascii="华文仿宋" w:hAnsi="华文仿宋" w:eastAsia="华文仿宋" w:cs="华文仿宋"/>
          <w:sz w:val="32"/>
          <w:szCs w:val="32"/>
          <w:lang w:eastAsia="zh-CN"/>
        </w:rPr>
      </w:pPr>
      <w:r>
        <w:rPr>
          <w:rFonts w:hint="eastAsia" w:ascii="华文楷体" w:hAnsi="华文楷体" w:eastAsia="华文楷体" w:cs="华文楷体"/>
          <w:b/>
          <w:bCs/>
          <w:sz w:val="32"/>
          <w:szCs w:val="32"/>
          <w:lang w:eastAsia="zh-CN"/>
        </w:rPr>
        <w:t>三是标准引领。</w:t>
      </w:r>
      <w:r>
        <w:rPr>
          <w:rFonts w:hint="eastAsia" w:ascii="华文仿宋" w:hAnsi="华文仿宋" w:eastAsia="华文仿宋" w:cs="华文仿宋"/>
          <w:sz w:val="32"/>
          <w:szCs w:val="32"/>
          <w:lang w:eastAsia="zh-CN"/>
        </w:rPr>
        <w:t>建立健全绿色制造标准体系，引导企业按照标准要求进行绿色化改造。</w:t>
      </w:r>
    </w:p>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ind w:firstLine="640" w:firstLineChars="200"/>
        <w:textAlignment w:val="auto"/>
        <w:rPr>
          <w:rFonts w:hint="eastAsia" w:ascii="华文仿宋" w:hAnsi="华文仿宋" w:eastAsia="华文仿宋" w:cs="华文仿宋"/>
          <w:sz w:val="32"/>
          <w:szCs w:val="32"/>
          <w:lang w:eastAsia="zh-CN"/>
        </w:rPr>
      </w:pPr>
      <w:r>
        <w:rPr>
          <w:rFonts w:hint="eastAsia" w:ascii="华文楷体" w:hAnsi="华文楷体" w:eastAsia="华文楷体" w:cs="华文楷体"/>
          <w:b/>
          <w:bCs/>
          <w:sz w:val="32"/>
          <w:szCs w:val="32"/>
          <w:lang w:eastAsia="zh-CN"/>
        </w:rPr>
        <w:t>四是全面覆盖。</w:t>
      </w:r>
      <w:r>
        <w:rPr>
          <w:rFonts w:hint="eastAsia" w:ascii="华文仿宋" w:hAnsi="华文仿宋" w:eastAsia="华文仿宋" w:cs="华文仿宋"/>
          <w:sz w:val="32"/>
          <w:szCs w:val="32"/>
          <w:lang w:eastAsia="zh-CN"/>
        </w:rPr>
        <w:t>推动绿色制造在全省范围内广泛开展，实现河南制造业绿色化水平的整体提升。</w:t>
      </w:r>
    </w:p>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ind w:firstLine="640" w:firstLineChars="200"/>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三、培育机制</w:t>
      </w:r>
    </w:p>
    <w:p>
      <w:pPr>
        <w:keepNext w:val="0"/>
        <w:keepLines w:val="0"/>
        <w:pageBreakBefore w:val="0"/>
        <w:widowControl w:val="0"/>
        <w:tabs>
          <w:tab w:val="left" w:pos="989"/>
        </w:tabs>
        <w:kinsoku/>
        <w:wordWrap/>
        <w:overflowPunct/>
        <w:topLinePunct/>
        <w:autoSpaceDE w:val="0"/>
        <w:autoSpaceDN w:val="0"/>
        <w:bidi w:val="0"/>
        <w:adjustRightInd/>
        <w:snapToGrid/>
        <w:spacing w:line="620" w:lineRule="exact"/>
        <w:ind w:firstLine="640" w:firstLineChars="20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暂行办法》明确，河南省绿色制造体系从两个维度建立培育机制，一是纵向培育。重点形成国家、省、市、县四级联动的培育机制。二是横向培育。加快形成绿色工业园区带动园区内企业创建绿色工厂、绿色供应链、绿色设计产品，绿色供应链管理企业带动上下游供应商创建绿色工厂和绿色设计产品的培育机制。</w:t>
      </w:r>
    </w:p>
    <w:p>
      <w:pPr>
        <w:keepNext w:val="0"/>
        <w:keepLines w:val="0"/>
        <w:pageBreakBefore w:val="0"/>
        <w:widowControl w:val="0"/>
        <w:tabs>
          <w:tab w:val="left" w:pos="269"/>
        </w:tabs>
        <w:kinsoku w:val="0"/>
        <w:wordWrap/>
        <w:overflowPunct w:val="0"/>
        <w:topLinePunct w:val="0"/>
        <w:autoSpaceDE w:val="0"/>
        <w:autoSpaceDN w:val="0"/>
        <w:bidi w:val="0"/>
        <w:adjustRightInd/>
        <w:snapToGrid/>
        <w:spacing w:line="620" w:lineRule="exact"/>
        <w:ind w:firstLine="640" w:firstLineChars="200"/>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四、主要内容</w:t>
      </w:r>
    </w:p>
    <w:p>
      <w:pPr>
        <w:keepNext w:val="0"/>
        <w:keepLines w:val="0"/>
        <w:pageBreakBefore w:val="0"/>
        <w:widowControl w:val="0"/>
        <w:wordWrap/>
        <w:bidi w:val="0"/>
        <w:adjustRightInd/>
        <w:snapToGrid/>
        <w:spacing w:line="62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《暂行办法》主要包括6部分内容，共28个条款、8个附件。</w:t>
      </w:r>
    </w:p>
    <w:p>
      <w:pPr>
        <w:keepNext w:val="0"/>
        <w:keepLines w:val="0"/>
        <w:pageBreakBefore w:val="0"/>
        <w:widowControl w:val="0"/>
        <w:wordWrap/>
        <w:bidi w:val="0"/>
        <w:adjustRightInd/>
        <w:snapToGrid/>
        <w:spacing w:line="620" w:lineRule="exact"/>
        <w:ind w:firstLine="640"/>
        <w:textAlignment w:val="auto"/>
        <w:rPr>
          <w:rFonts w:hint="eastAsia" w:ascii="华文仿宋" w:hAnsi="华文仿宋" w:eastAsia="华文仿宋" w:cs="华文仿宋"/>
          <w:sz w:val="32"/>
          <w:szCs w:val="32"/>
          <w:lang w:val="en-US" w:eastAsia="zh-CN"/>
        </w:rPr>
      </w:pPr>
      <w:r>
        <w:rPr>
          <w:rFonts w:hint="eastAsia" w:ascii="华文楷体" w:hAnsi="华文楷体" w:eastAsia="华文楷体" w:cs="华文楷体"/>
          <w:b/>
          <w:bCs/>
          <w:sz w:val="32"/>
          <w:szCs w:val="32"/>
          <w:lang w:val="en-US" w:eastAsia="zh-CN"/>
        </w:rPr>
        <w:t>第一部分是总则。</w:t>
      </w:r>
      <w:r>
        <w:rPr>
          <w:rFonts w:hint="eastAsia" w:ascii="华文仿宋" w:hAnsi="华文仿宋" w:eastAsia="华文仿宋" w:cs="华文仿宋"/>
          <w:sz w:val="32"/>
          <w:szCs w:val="32"/>
          <w:lang w:val="en-US" w:eastAsia="zh-CN"/>
        </w:rPr>
        <w:t>阐述了编制目的、绿色工厂梯度培育相关定义、工作原则及分工、平台建设等内容。明确提出，绿色工厂是绿色制造核心实施单元，绿色工业园区是绿色工厂和绿色基础设施集聚的平台，绿色供应链管理企业是带动供应链上下游工厂实施绿色制造的关键。</w:t>
      </w:r>
    </w:p>
    <w:p>
      <w:pPr>
        <w:keepNext w:val="0"/>
        <w:keepLines w:val="0"/>
        <w:pageBreakBefore w:val="0"/>
        <w:widowControl w:val="0"/>
        <w:wordWrap/>
        <w:bidi w:val="0"/>
        <w:adjustRightInd/>
        <w:snapToGrid/>
        <w:spacing w:line="62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楷体" w:hAnsi="华文楷体" w:eastAsia="华文楷体" w:cs="华文楷体"/>
          <w:b/>
          <w:bCs/>
          <w:sz w:val="32"/>
          <w:szCs w:val="32"/>
          <w:lang w:val="en-US" w:eastAsia="zh-CN"/>
        </w:rPr>
        <w:t>第二部分是培育要求。</w:t>
      </w:r>
      <w:r>
        <w:rPr>
          <w:rFonts w:hint="eastAsia" w:ascii="华文仿宋" w:hAnsi="华文仿宋" w:eastAsia="华文仿宋" w:cs="华文仿宋"/>
          <w:sz w:val="32"/>
          <w:szCs w:val="32"/>
          <w:lang w:val="en-US" w:eastAsia="zh-CN"/>
        </w:rPr>
        <w:t>主要对市县培育工作提出总体要求，并明确绿色工厂、绿色工业园区、绿色供应链管理企业、绿色设计产品培育的具体条件。明确提出，市县要制定培育计划，引导和支持不同培育对象对照绿色工厂、绿色工业园区和绿色供应链管理企业的标准，开展绿色化改造。</w:t>
      </w:r>
    </w:p>
    <w:p>
      <w:pPr>
        <w:keepNext w:val="0"/>
        <w:keepLines w:val="0"/>
        <w:pageBreakBefore w:val="0"/>
        <w:widowControl w:val="0"/>
        <w:wordWrap/>
        <w:bidi w:val="0"/>
        <w:adjustRightInd/>
        <w:snapToGrid/>
        <w:spacing w:line="62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楷体" w:hAnsi="华文楷体" w:eastAsia="华文楷体" w:cs="华文楷体"/>
          <w:b/>
          <w:bCs/>
          <w:sz w:val="32"/>
          <w:szCs w:val="32"/>
          <w:lang w:val="en-US" w:eastAsia="zh-CN"/>
        </w:rPr>
        <w:t>第三部分是创建程序。</w:t>
      </w:r>
      <w:r>
        <w:rPr>
          <w:rFonts w:hint="eastAsia" w:ascii="华文仿宋" w:hAnsi="华文仿宋" w:eastAsia="华文仿宋" w:cs="华文仿宋"/>
          <w:sz w:val="32"/>
          <w:szCs w:val="32"/>
          <w:lang w:val="en-US" w:eastAsia="zh-CN"/>
        </w:rPr>
        <w:t>提出了申请列入各级绿色制造名单的工作程序、创建标准和否决条件。满足申报条件的企业、园区按照自愿的原则，对照相关标准，采取自评价或委托具备评价能力的第三方机构开展评价的方式，编写评价报告后通过管理平台提交。</w:t>
      </w:r>
    </w:p>
    <w:p>
      <w:pPr>
        <w:keepNext w:val="0"/>
        <w:keepLines w:val="0"/>
        <w:pageBreakBefore w:val="0"/>
        <w:widowControl w:val="0"/>
        <w:wordWrap/>
        <w:bidi w:val="0"/>
        <w:adjustRightInd/>
        <w:snapToGrid/>
        <w:spacing w:line="62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楷体" w:hAnsi="华文楷体" w:eastAsia="华文楷体" w:cs="华文楷体"/>
          <w:b/>
          <w:bCs/>
          <w:sz w:val="32"/>
          <w:szCs w:val="32"/>
          <w:lang w:val="en-US" w:eastAsia="zh-CN"/>
        </w:rPr>
        <w:t>第四部分是动态管理。</w:t>
      </w:r>
      <w:r>
        <w:rPr>
          <w:rFonts w:hint="eastAsia" w:ascii="华文仿宋" w:hAnsi="华文仿宋" w:eastAsia="华文仿宋" w:cs="华文仿宋"/>
          <w:sz w:val="32"/>
          <w:szCs w:val="32"/>
          <w:lang w:val="en-US" w:eastAsia="zh-CN"/>
        </w:rPr>
        <w:t>明确了对绿色制造名单单位和第三方机构实施监督管理的方式和流程。通过建立“有进有出”的动态管理机制，市县工业和信息化主管部门加强对纳入绿色制造名单的企业或园区的指导、监督、检查，不定期进行现场抽查复核，持续跟踪和分析创建成效。同时，对在本地区开展业务的第三方机构进行监督管理。绿色制造名单中的企业或园区，如发生有关变更的，应在填报动态管理表时予以说明。</w:t>
      </w:r>
    </w:p>
    <w:p>
      <w:pPr>
        <w:keepNext w:val="0"/>
        <w:keepLines w:val="0"/>
        <w:pageBreakBefore w:val="0"/>
        <w:widowControl w:val="0"/>
        <w:wordWrap/>
        <w:bidi w:val="0"/>
        <w:adjustRightInd/>
        <w:snapToGrid/>
        <w:spacing w:line="62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楷体" w:hAnsi="华文楷体" w:eastAsia="华文楷体" w:cs="华文楷体"/>
          <w:b/>
          <w:bCs/>
          <w:sz w:val="32"/>
          <w:szCs w:val="32"/>
          <w:lang w:val="en-US" w:eastAsia="zh-CN"/>
        </w:rPr>
        <w:t>第五部分是配套机制。</w:t>
      </w:r>
      <w:r>
        <w:rPr>
          <w:rFonts w:hint="eastAsia" w:ascii="华文仿宋" w:hAnsi="华文仿宋" w:eastAsia="华文仿宋" w:cs="华文仿宋"/>
          <w:sz w:val="32"/>
          <w:szCs w:val="32"/>
          <w:lang w:val="en-US" w:eastAsia="zh-CN"/>
        </w:rPr>
        <w:t>提出各级工业和信息化主管部门的相关职责，明确了第三方机构和绿色制造名单单位在服务、宣传、信息披露等方面的责任。推广反映绿色工厂绿色发展水平的“企业绿码”，并在规划布局、技术改造、专项资金申请、政府采购、试点示范、金融服务、品牌宣传等方面对绿色制造名单单位提供支持。鼓励绿色工业园区制定绿色工厂支持政策，绿色供应链管理企业加大对绿色工厂的产品采购力度。</w:t>
      </w:r>
    </w:p>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ind w:firstLine="640" w:firstLineChars="200"/>
        <w:textAlignment w:val="auto"/>
        <w:rPr>
          <w:rFonts w:hint="eastAsia" w:ascii="华文仿宋" w:hAnsi="华文仿宋" w:eastAsia="华文仿宋" w:cs="华文仿宋"/>
          <w:sz w:val="32"/>
          <w:szCs w:val="32"/>
          <w:lang w:eastAsia="zh-CN"/>
        </w:rPr>
      </w:pPr>
      <w:r>
        <w:rPr>
          <w:rFonts w:hint="eastAsia" w:ascii="华文楷体" w:hAnsi="华文楷体" w:eastAsia="华文楷体" w:cs="华文楷体"/>
          <w:b/>
          <w:bCs/>
          <w:sz w:val="32"/>
          <w:szCs w:val="32"/>
          <w:lang w:val="en-US" w:eastAsia="zh-CN"/>
        </w:rPr>
        <w:t>第六部分是附则。</w:t>
      </w:r>
      <w:r>
        <w:rPr>
          <w:rFonts w:hint="eastAsia" w:ascii="华文仿宋" w:hAnsi="华文仿宋" w:eastAsia="华文仿宋" w:cs="华文仿宋"/>
          <w:sz w:val="32"/>
          <w:szCs w:val="32"/>
          <w:lang w:val="en-US" w:eastAsia="zh-CN"/>
        </w:rPr>
        <w:t>明确了文件解释单位、实施时间等。附件主要是相关评价要求、评价报告和动态管理表。</w:t>
      </w:r>
    </w:p>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ind w:firstLine="640" w:firstLineChars="20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《暂行办法》是河南省推动制造业绿色低碳转型的重要举措。通过该办法的实施，将有力推动河南省绿色制造体系的建设和完善，提升制造业绿色化水平，为实现工业领域碳达峰、碳中和目标贡献河南力量。</w:t>
      </w:r>
    </w:p>
    <w:p>
      <w:pPr>
        <w:keepNext w:val="0"/>
        <w:keepLines w:val="0"/>
        <w:pageBreakBefore w:val="0"/>
        <w:widowControl w:val="0"/>
        <w:tabs>
          <w:tab w:val="left" w:pos="989"/>
        </w:tabs>
        <w:kinsoku w:val="0"/>
        <w:wordWrap/>
        <w:overflowPunct w:val="0"/>
        <w:topLinePunct w:val="0"/>
        <w:autoSpaceDE w:val="0"/>
        <w:autoSpaceDN w:val="0"/>
        <w:bidi w:val="0"/>
        <w:adjustRightInd/>
        <w:snapToGrid/>
        <w:spacing w:line="620" w:lineRule="exact"/>
        <w:ind w:firstLine="640" w:firstLineChars="200"/>
        <w:textAlignment w:val="auto"/>
        <w:rPr>
          <w:rFonts w:hint="eastAsia" w:ascii="华文仿宋" w:hAnsi="华文仿宋" w:eastAsia="华文仿宋" w:cs="华文仿宋"/>
          <w:sz w:val="32"/>
          <w:szCs w:val="32"/>
          <w:lang w:eastAsia="zh-CN"/>
        </w:rPr>
      </w:pP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华文仿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F73B9648"/>
    <w:rsid w:val="12365ECB"/>
    <w:rsid w:val="3FFD974D"/>
    <w:rsid w:val="4FD12EC2"/>
    <w:rsid w:val="67BF2FD8"/>
    <w:rsid w:val="6FF5720D"/>
    <w:rsid w:val="7A7FB655"/>
    <w:rsid w:val="7DBE6572"/>
    <w:rsid w:val="7EDF8325"/>
    <w:rsid w:val="7F3FB72F"/>
    <w:rsid w:val="A7FBE8CA"/>
    <w:rsid w:val="B7F65313"/>
    <w:rsid w:val="B7FE2AD8"/>
    <w:rsid w:val="D774BCCB"/>
    <w:rsid w:val="E4FD177E"/>
    <w:rsid w:val="EDAFE10D"/>
    <w:rsid w:val="F73B9648"/>
    <w:rsid w:val="FEB55DAD"/>
    <w:rsid w:val="FFF775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1833</Words>
  <Characters>1843</Characters>
  <Lines>0</Lines>
  <Paragraphs>0</Paragraphs>
  <TotalTime>100</TotalTime>
  <ScaleCrop>false</ScaleCrop>
  <LinksUpToDate>false</LinksUpToDate>
  <CharactersWithSpaces>1843</CharactersWithSpaces>
  <Application>WPS Office_11.8.2.10534_F1E327BC-269C-435d-A152-05C5408002CA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2024-08-07T23:21:00Z</dcterms:created>
  <dc:creator>李忠华</dc:creator>
  <cp:lastModifiedBy>huanghe</cp:lastModifiedBy>
  <dcterms:modified xsi:type="dcterms:W3CDTF">2024-08-09T17:21:15Z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2052-11.8.2.10534</vt:lpwstr>
  </property>
  <property fmtid="{D5CDD505-2E9C-101B-9397-08002B2CF9AE}" pid="3" name="ICV">
    <vt:lpwstr>8AFDAB2684C8479AA1B86C4DA2C6BE97_12</vt:lpwstr>
  </property>
</Properties>
</file>