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clear" w:pos="7797"/>
        </w:tabs>
        <w:kinsoku/>
        <w:wordWrap/>
        <w:overflowPunct/>
        <w:topLinePunct w:val="0"/>
        <w:bidi w:val="0"/>
        <w:spacing w:line="600" w:lineRule="exact"/>
        <w:ind w:right="0"/>
        <w:jc w:val="center"/>
        <w:rPr>
          <w:rFonts w:hint="default" w:ascii="Times New Roman" w:hAnsi="Times New Roman" w:eastAsia="方正小标宋简体" w:cs="Times New Roman"/>
          <w:b/>
          <w:bCs/>
          <w:spacing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clear" w:pos="7797"/>
        </w:tabs>
        <w:kinsoku/>
        <w:wordWrap/>
        <w:overflowPunct/>
        <w:topLinePunct w:val="0"/>
        <w:bidi w:val="0"/>
        <w:spacing w:line="600" w:lineRule="exact"/>
        <w:ind w:right="0"/>
        <w:jc w:val="center"/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  <w:t>国家碳达峰试点（长治高新技术产业开发区）实施方案</w:t>
      </w:r>
    </w:p>
    <w:p>
      <w:pPr>
        <w:keepNext w:val="0"/>
        <w:keepLines w:val="0"/>
        <w:pageBreakBefore w:val="0"/>
        <w:widowControl w:val="0"/>
        <w:tabs>
          <w:tab w:val="clear" w:pos="7797"/>
        </w:tabs>
        <w:kinsoku/>
        <w:wordWrap/>
        <w:overflowPunct/>
        <w:topLinePunct w:val="0"/>
        <w:bidi w:val="0"/>
        <w:spacing w:line="600" w:lineRule="exact"/>
        <w:ind w:right="0"/>
        <w:jc w:val="center"/>
        <w:rPr>
          <w:rFonts w:hint="eastAsia" w:eastAsia="方正小标宋简体" w:cs="Times New Roman"/>
          <w:b/>
          <w:bCs/>
          <w:spacing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clear" w:pos="7797"/>
        </w:tabs>
        <w:kinsoku/>
        <w:wordWrap/>
        <w:overflowPunct/>
        <w:topLinePunct w:val="0"/>
        <w:bidi w:val="0"/>
        <w:spacing w:line="600" w:lineRule="exact"/>
        <w:ind w:right="0"/>
        <w:jc w:val="center"/>
        <w:rPr>
          <w:rFonts w:hint="eastAsia" w:ascii="楷体" w:hAnsi="楷体" w:eastAsia="楷体" w:cs="楷体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pacing w:val="0"/>
          <w:sz w:val="32"/>
          <w:szCs w:val="32"/>
          <w:lang w:eastAsia="zh-CN"/>
        </w:rPr>
        <w:t>（征求意见</w:t>
      </w:r>
      <w:r>
        <w:rPr>
          <w:rFonts w:hint="eastAsia" w:ascii="楷体" w:hAnsi="楷体" w:eastAsia="楷体" w:cs="楷体"/>
          <w:b w:val="0"/>
          <w:bCs w:val="0"/>
          <w:spacing w:val="0"/>
          <w:sz w:val="32"/>
          <w:szCs w:val="32"/>
          <w:lang w:val="en-US" w:eastAsia="zh-CN"/>
        </w:rPr>
        <w:t>稿</w:t>
      </w:r>
      <w:r>
        <w:rPr>
          <w:rFonts w:hint="eastAsia" w:ascii="楷体" w:hAnsi="楷体" w:eastAsia="楷体" w:cs="楷体"/>
          <w:b w:val="0"/>
          <w:bCs w:val="0"/>
          <w:spacing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tabs>
          <w:tab w:val="clear" w:pos="7797"/>
        </w:tabs>
        <w:kinsoku/>
        <w:wordWrap/>
        <w:overflowPunct/>
        <w:topLinePunct w:val="0"/>
        <w:bidi w:val="0"/>
        <w:spacing w:line="600" w:lineRule="exact"/>
        <w:ind w:right="0" w:firstLine="880"/>
        <w:jc w:val="center"/>
        <w:rPr>
          <w:rFonts w:hint="default" w:ascii="Times New Roman" w:hAnsi="Times New Roman" w:eastAsia="方正小标宋简体" w:cs="Times New Roman"/>
          <w:b w:val="0"/>
          <w:spacing w:val="0"/>
          <w:sz w:val="44"/>
          <w:szCs w:val="44"/>
        </w:rPr>
      </w:pP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right="0" w:rightChars="0" w:firstLine="640" w:firstLineChars="200"/>
        <w:rPr>
          <w:rFonts w:hint="default" w:ascii="Times New Roman" w:hAnsi="Times New Roman" w:cs="Times New Roman"/>
          <w:b/>
          <w:spacing w:val="0"/>
        </w:rPr>
      </w:pPr>
      <w:r>
        <w:rPr>
          <w:rFonts w:hint="default" w:ascii="Times New Roman" w:hAnsi="Times New Roman" w:cs="Times New Roman"/>
          <w:spacing w:val="0"/>
        </w:rPr>
        <w:t>为全面落实党的二十大精神，深入贯彻党中央、国务院关于碳达峰碳中和的战略决策</w:t>
      </w:r>
      <w:r>
        <w:rPr>
          <w:rFonts w:hint="eastAsia" w:cs="Times New Roman"/>
          <w:spacing w:val="0"/>
          <w:lang w:eastAsia="zh-CN"/>
        </w:rPr>
        <w:t>，</w:t>
      </w:r>
      <w:r>
        <w:rPr>
          <w:rFonts w:hint="eastAsia" w:cs="Times New Roman"/>
          <w:spacing w:val="0"/>
          <w:lang w:val="en-US" w:eastAsia="zh-CN"/>
        </w:rPr>
        <w:t>认真落实</w:t>
      </w:r>
      <w:r>
        <w:rPr>
          <w:rFonts w:hint="default" w:ascii="Times New Roman" w:hAnsi="Times New Roman" w:cs="Times New Roman"/>
          <w:spacing w:val="0"/>
        </w:rPr>
        <w:t>省委、省政府</w:t>
      </w:r>
      <w:r>
        <w:rPr>
          <w:rFonts w:hint="eastAsia" w:cs="Times New Roman"/>
          <w:spacing w:val="0"/>
          <w:lang w:val="en-US" w:eastAsia="zh-CN"/>
        </w:rPr>
        <w:t>工作</w:t>
      </w:r>
      <w:r>
        <w:rPr>
          <w:rFonts w:hint="default" w:ascii="Times New Roman" w:hAnsi="Times New Roman" w:cs="Times New Roman"/>
          <w:spacing w:val="0"/>
        </w:rPr>
        <w:t>部署，有力有序有效做好碳达峰工作，根据《国家碳达峰试点建设方案》要求，制定本实施方案。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firstLine="643" w:firstLineChars="200"/>
        <w:rPr>
          <w:rFonts w:hint="default" w:ascii="Times New Roman" w:hAnsi="Times New Roman" w:cs="Times New Roman"/>
          <w:b/>
          <w:bCs w:val="0"/>
          <w:spacing w:val="0"/>
        </w:rPr>
      </w:pPr>
      <w:bookmarkStart w:id="0" w:name="_Toc165193080"/>
      <w:bookmarkEnd w:id="0"/>
      <w:bookmarkStart w:id="1" w:name="_Toc159167713"/>
      <w:bookmarkEnd w:id="1"/>
      <w:bookmarkStart w:id="2" w:name="_Toc157780732"/>
      <w:bookmarkEnd w:id="2"/>
      <w:r>
        <w:rPr>
          <w:rFonts w:hint="default" w:ascii="Times New Roman" w:hAnsi="Times New Roman" w:cs="Times New Roman"/>
          <w:b/>
          <w:bCs w:val="0"/>
          <w:spacing w:val="0"/>
        </w:rPr>
        <w:t>一、</w:t>
      </w:r>
      <w:r>
        <w:rPr>
          <w:rFonts w:hint="default" w:ascii="Times New Roman" w:hAnsi="Times New Roman" w:cs="Times New Roman"/>
          <w:b/>
          <w:bCs w:val="0"/>
          <w:spacing w:val="0"/>
          <w:lang w:val="en-US"/>
        </w:rPr>
        <w:t>总体</w:t>
      </w:r>
      <w:r>
        <w:rPr>
          <w:rFonts w:hint="default" w:ascii="Times New Roman" w:hAnsi="Times New Roman" w:cs="Times New Roman"/>
          <w:b/>
          <w:bCs w:val="0"/>
          <w:spacing w:val="0"/>
        </w:rPr>
        <w:t>目标</w:t>
      </w:r>
      <w:bookmarkStart w:id="131" w:name="_GoBack"/>
      <w:bookmarkEnd w:id="131"/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default" w:ascii="Times New Roman" w:hAnsi="Times New Roman" w:cs="Times New Roman"/>
          <w:spacing w:val="0"/>
        </w:rPr>
        <w:t>到2025年，试点取得积极进展，绿色产业结构、创新体系明显优化，重点产业能源利用效率得到提升，绿色低碳技术研发和推广取得新进展，有利于绿色低碳发展的政策保障体系进一步完善</w:t>
      </w:r>
      <w:r>
        <w:rPr>
          <w:rFonts w:hint="eastAsia" w:cs="Times New Roman"/>
          <w:spacing w:val="0"/>
          <w:lang w:eastAsia="zh-CN"/>
        </w:rPr>
        <w:t>，</w:t>
      </w:r>
      <w:r>
        <w:rPr>
          <w:rFonts w:hint="default" w:ascii="Times New Roman" w:hAnsi="Times New Roman" w:cs="Times New Roman"/>
          <w:spacing w:val="0"/>
        </w:rPr>
        <w:t>园区单位工业增加值综合能耗和二氧化碳排放</w:t>
      </w:r>
      <w:r>
        <w:rPr>
          <w:rFonts w:hint="eastAsia" w:cs="Times New Roman"/>
          <w:spacing w:val="0"/>
          <w:lang w:val="en-US" w:eastAsia="zh-CN"/>
        </w:rPr>
        <w:t>显著下降</w:t>
      </w:r>
      <w:r>
        <w:rPr>
          <w:rFonts w:hint="default" w:ascii="Times New Roman" w:hAnsi="Times New Roman" w:cs="Times New Roman"/>
          <w:spacing w:val="0"/>
        </w:rPr>
        <w:t>，为如期实现碳达峰奠定坚实基础。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default" w:ascii="Times New Roman" w:hAnsi="Times New Roman" w:cs="Times New Roman"/>
          <w:spacing w:val="0"/>
        </w:rPr>
        <w:t>到2030年，试点重点耗能行业能源利用效率达到国内先进水平，部分行业达到国际先进水平，清洁低碳安全高效的现代能源体系初步建立，绿色低碳技术取得关键突破，绿色生活方式成为公众自觉选择，绿色低碳发展的政策制度体系基本健全，创新举措和改革经验对其他园区带动作用明显</w:t>
      </w:r>
      <w:r>
        <w:rPr>
          <w:rFonts w:hint="eastAsia" w:cs="Times New Roman"/>
          <w:spacing w:val="0"/>
          <w:lang w:eastAsia="zh-CN"/>
        </w:rPr>
        <w:t>，</w:t>
      </w:r>
      <w:r>
        <w:rPr>
          <w:rFonts w:hint="default" w:ascii="Times New Roman" w:hAnsi="Times New Roman" w:cs="Times New Roman"/>
          <w:spacing w:val="0"/>
        </w:rPr>
        <w:t>单位工业生产总值能源消耗和二氧化碳排放强度</w:t>
      </w:r>
      <w:r>
        <w:rPr>
          <w:rFonts w:hint="eastAsia" w:cs="Times New Roman"/>
          <w:spacing w:val="0"/>
          <w:lang w:val="en-US" w:eastAsia="zh-CN"/>
        </w:rPr>
        <w:t>持续</w:t>
      </w:r>
      <w:r>
        <w:rPr>
          <w:rFonts w:hint="default" w:ascii="Times New Roman" w:hAnsi="Times New Roman" w:cs="Times New Roman"/>
          <w:spacing w:val="0"/>
        </w:rPr>
        <w:t>下降，非化石能源消费比重持续提升，</w:t>
      </w:r>
      <w:r>
        <w:rPr>
          <w:rFonts w:hint="eastAsia" w:cs="Times New Roman"/>
          <w:spacing w:val="0"/>
          <w:lang w:val="en-US" w:eastAsia="zh-CN"/>
        </w:rPr>
        <w:t>如期</w:t>
      </w:r>
      <w:r>
        <w:rPr>
          <w:rFonts w:hint="default" w:ascii="Times New Roman" w:hAnsi="Times New Roman" w:cs="Times New Roman"/>
          <w:spacing w:val="0"/>
        </w:rPr>
        <w:t>实现碳达峰目标。</w:t>
      </w:r>
    </w:p>
    <w:p>
      <w:pPr>
        <w:pStyle w:val="9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ind w:right="0" w:firstLine="0" w:firstLineChars="0"/>
        <w:rPr>
          <w:rFonts w:hint="default" w:ascii="Times New Roman" w:hAnsi="Times New Roman" w:cs="Times New Roman"/>
          <w:spacing w:val="0"/>
        </w:rPr>
      </w:pPr>
    </w:p>
    <w:p>
      <w:pPr>
        <w:pStyle w:val="9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ind w:right="0" w:firstLine="0" w:firstLineChars="0"/>
        <w:rPr>
          <w:rFonts w:hint="default" w:ascii="Times New Roman" w:hAnsi="Times New Roman" w:cs="Times New Roman"/>
          <w:spacing w:val="0"/>
        </w:rPr>
      </w:pPr>
      <w:r>
        <w:rPr>
          <w:rFonts w:hint="default" w:ascii="Times New Roman" w:hAnsi="Times New Roman" w:cs="Times New Roman"/>
          <w:spacing w:val="0"/>
        </w:rPr>
        <w:t>表</w:t>
      </w:r>
      <w:r>
        <w:rPr>
          <w:rFonts w:hint="eastAsia" w:ascii="Times New Roman" w:hAnsi="Times New Roman" w:cs="Times New Roman"/>
          <w:spacing w:val="0"/>
          <w:lang w:eastAsia="zh-CN"/>
        </w:rPr>
        <w:t>：</w:t>
      </w:r>
      <w:r>
        <w:rPr>
          <w:rFonts w:hint="default" w:ascii="Times New Roman" w:hAnsi="Times New Roman" w:cs="Times New Roman"/>
          <w:spacing w:val="0"/>
        </w:rPr>
        <w:t>长治高新区碳达峰试点建设指标</w:t>
      </w:r>
    </w:p>
    <w:tbl>
      <w:tblPr>
        <w:tblStyle w:val="30"/>
        <w:tblW w:w="9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54"/>
        <w:gridCol w:w="2944"/>
        <w:gridCol w:w="1856"/>
        <w:gridCol w:w="953"/>
        <w:gridCol w:w="847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  <w:t>序号</w:t>
            </w:r>
          </w:p>
        </w:tc>
        <w:tc>
          <w:tcPr>
            <w:tcW w:w="95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  <w:t>类别</w:t>
            </w: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  <w:t>具体指标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  <w:t>单位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  <w:t>2022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  <w:t>2025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 w:val="0"/>
                <w:spacing w:val="0"/>
              </w:rPr>
              <w:t>2030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</w:t>
            </w:r>
          </w:p>
        </w:tc>
        <w:tc>
          <w:tcPr>
            <w:tcW w:w="954" w:type="dxa"/>
            <w:vMerge w:val="restart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绿色低碳发展指标</w:t>
            </w: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工业增加值平均增长率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16.0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15.0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2</w:t>
            </w:r>
          </w:p>
        </w:tc>
        <w:tc>
          <w:tcPr>
            <w:tcW w:w="954" w:type="dxa"/>
            <w:vMerge w:val="continue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单位工业增加值综合能耗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吨标准煤/万元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0.90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0.8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0.6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3</w:t>
            </w:r>
          </w:p>
        </w:tc>
        <w:tc>
          <w:tcPr>
            <w:tcW w:w="954" w:type="dxa"/>
            <w:vMerge w:val="continue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单位工业增加值二氧化碳排放量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吨/万元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1.19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1.06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完成市下达目标任务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4</w:t>
            </w:r>
          </w:p>
        </w:tc>
        <w:tc>
          <w:tcPr>
            <w:tcW w:w="954" w:type="dxa"/>
            <w:vMerge w:val="restart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能源绿色低碳转型指标</w:t>
            </w: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非化石能源消费占比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6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15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5</w:t>
            </w:r>
          </w:p>
        </w:tc>
        <w:tc>
          <w:tcPr>
            <w:tcW w:w="954" w:type="dxa"/>
            <w:vMerge w:val="continue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可再生能源使用比例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5.5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15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6</w:t>
            </w:r>
          </w:p>
        </w:tc>
        <w:tc>
          <w:tcPr>
            <w:tcW w:w="954" w:type="dxa"/>
            <w:vMerge w:val="continue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工业余热回收利用率</w:t>
            </w:r>
            <w:r>
              <w:rPr>
                <w:rFonts w:hint="default" w:ascii="Times New Roman" w:hAnsi="Times New Roman" w:cs="Times New Roman"/>
                <w:spacing w:val="0"/>
                <w:vertAlign w:val="superscript"/>
              </w:rPr>
              <w:t>&amp;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15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25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7</w:t>
            </w:r>
          </w:p>
        </w:tc>
        <w:tc>
          <w:tcPr>
            <w:tcW w:w="954" w:type="dxa"/>
            <w:vMerge w:val="restart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建筑领域绿色发展指标</w:t>
            </w: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新建建筑中星级绿色建筑占比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27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30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8</w:t>
            </w:r>
          </w:p>
        </w:tc>
        <w:tc>
          <w:tcPr>
            <w:tcW w:w="954" w:type="dxa"/>
            <w:vMerge w:val="continue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新建厂房屋顶光伏覆盖率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30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60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9</w:t>
            </w:r>
          </w:p>
        </w:tc>
        <w:tc>
          <w:tcPr>
            <w:tcW w:w="954" w:type="dxa"/>
            <w:vMerge w:val="continue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公共建筑单位面积能耗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kgce/m</w:t>
            </w:r>
            <w:r>
              <w:rPr>
                <w:rFonts w:hint="default" w:ascii="Times New Roman" w:hAnsi="Times New Roman" w:cs="Times New Roman"/>
                <w:spacing w:val="0"/>
                <w:vertAlign w:val="superscript"/>
              </w:rPr>
              <w:t>2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9.5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8.7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10</w:t>
            </w:r>
          </w:p>
        </w:tc>
        <w:tc>
          <w:tcPr>
            <w:tcW w:w="954" w:type="dxa"/>
            <w:vMerge w:val="restart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交通领域绿色发展指标</w:t>
            </w: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工业企业清洁运输比例</w:t>
            </w:r>
            <w:r>
              <w:rPr>
                <w:rFonts w:hint="default" w:ascii="Times New Roman" w:hAnsi="Times New Roman" w:cs="Times New Roman"/>
                <w:spacing w:val="0"/>
                <w:vertAlign w:val="superscript"/>
              </w:rPr>
              <w:t>*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40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50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11</w:t>
            </w:r>
          </w:p>
        </w:tc>
        <w:tc>
          <w:tcPr>
            <w:tcW w:w="954" w:type="dxa"/>
            <w:vMerge w:val="continue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园区新能源、清洁能源动力交通工具保有量（或占比）</w:t>
            </w:r>
            <w:r>
              <w:rPr>
                <w:rFonts w:hint="default" w:ascii="Times New Roman" w:hAnsi="Times New Roman" w:cs="Times New Roman"/>
                <w:spacing w:val="0"/>
                <w:vertAlign w:val="superscript"/>
              </w:rPr>
              <w:t>#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辆（%）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77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90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12</w:t>
            </w:r>
          </w:p>
        </w:tc>
        <w:tc>
          <w:tcPr>
            <w:tcW w:w="954" w:type="dxa"/>
            <w:vMerge w:val="restart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循环发展指标</w:t>
            </w: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一般工业固体废物综合利用率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12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30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13</w:t>
            </w:r>
          </w:p>
        </w:tc>
        <w:tc>
          <w:tcPr>
            <w:tcW w:w="954" w:type="dxa"/>
            <w:vMerge w:val="continue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工业用水重复利用率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92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95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22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14</w:t>
            </w:r>
          </w:p>
        </w:tc>
        <w:tc>
          <w:tcPr>
            <w:tcW w:w="95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绿色低碳创新指标</w:t>
            </w:r>
          </w:p>
        </w:tc>
        <w:tc>
          <w:tcPr>
            <w:tcW w:w="2944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绿色低碳技术研究与试验发展经费投入强度</w:t>
            </w:r>
          </w:p>
        </w:tc>
        <w:tc>
          <w:tcPr>
            <w:tcW w:w="185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%</w:t>
            </w:r>
          </w:p>
        </w:tc>
        <w:tc>
          <w:tcPr>
            <w:tcW w:w="953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4.5</w:t>
            </w:r>
          </w:p>
        </w:tc>
        <w:tc>
          <w:tcPr>
            <w:tcW w:w="847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5.0</w:t>
            </w:r>
          </w:p>
        </w:tc>
        <w:tc>
          <w:tcPr>
            <w:tcW w:w="1416" w:type="dxa"/>
            <w:vAlign w:val="center"/>
          </w:tcPr>
          <w:p>
            <w:pPr>
              <w:pStyle w:val="7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exact"/>
              <w:ind w:right="0"/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5.5</w:t>
            </w:r>
          </w:p>
        </w:tc>
      </w:tr>
    </w:tbl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00" w:lineRule="exact"/>
        <w:ind w:right="0" w:rightChars="0" w:firstLine="420" w:firstLineChars="200"/>
        <w:rPr>
          <w:rFonts w:hint="default" w:ascii="Times New Roman" w:hAnsi="Times New Roman" w:cs="Times New Roman"/>
          <w:spacing w:val="0"/>
          <w:sz w:val="21"/>
          <w:szCs w:val="21"/>
        </w:rPr>
      </w:pPr>
      <w:bookmarkStart w:id="3" w:name="_Hlk156322227"/>
      <w:bookmarkEnd w:id="3"/>
      <w:bookmarkStart w:id="4" w:name="_Hlk156322222"/>
      <w:bookmarkEnd w:id="4"/>
      <w:r>
        <w:rPr>
          <w:rFonts w:hint="default" w:ascii="Times New Roman" w:hAnsi="Times New Roman" w:cs="Times New Roman"/>
          <w:spacing w:val="0"/>
          <w:sz w:val="21"/>
          <w:szCs w:val="21"/>
        </w:rPr>
        <w:t>注：&amp;园区余热利用的企业为水泥厂，现状统计水泥厂的余热利用情况；*指在生产服务领域，大宗物料货车、渣土车、商砼车新能源车占比；#指园区内公共交通（公交车、出租车、网约车）新能源车占比。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/>
        <w:rPr>
          <w:rFonts w:hint="default" w:ascii="Times New Roman" w:hAnsi="Times New Roman" w:cs="Times New Roman"/>
          <w:b/>
          <w:bCs w:val="0"/>
          <w:spacing w:val="0"/>
        </w:rPr>
      </w:pPr>
      <w:bookmarkStart w:id="5" w:name="_Toc157780736"/>
      <w:bookmarkStart w:id="6" w:name="_Toc165193084"/>
      <w:bookmarkStart w:id="7" w:name="_Toc159167717"/>
    </w:p>
    <w:bookmarkEnd w:id="5"/>
    <w:bookmarkEnd w:id="6"/>
    <w:bookmarkEnd w:id="7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/>
        <w:rPr>
          <w:rFonts w:hint="default" w:ascii="Times New Roman" w:hAnsi="Times New Roman" w:cs="Times New Roman"/>
          <w:b/>
          <w:bCs w:val="0"/>
          <w:spacing w:val="0"/>
        </w:rPr>
      </w:pPr>
      <w:r>
        <w:rPr>
          <w:rFonts w:hint="default" w:ascii="Times New Roman" w:hAnsi="Times New Roman" w:cs="Times New Roman"/>
          <w:b/>
          <w:bCs w:val="0"/>
          <w:spacing w:val="0"/>
        </w:rPr>
        <w:t>二、主要任务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8" w:name="_Toc157162364"/>
      <w:bookmarkEnd w:id="8"/>
      <w:bookmarkStart w:id="9" w:name="_Toc159167718"/>
      <w:bookmarkEnd w:id="9"/>
      <w:bookmarkStart w:id="10" w:name="_Toc157780737"/>
      <w:bookmarkEnd w:id="10"/>
      <w:bookmarkStart w:id="11" w:name="_Toc165193085"/>
      <w:bookmarkEnd w:id="11"/>
      <w:r>
        <w:rPr>
          <w:rFonts w:hint="default" w:ascii="Times New Roman" w:hAnsi="Times New Roman" w:cs="Times New Roman"/>
          <w:spacing w:val="0"/>
        </w:rPr>
        <w:t>（一）实施能源绿色低碳转型行动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default" w:ascii="Times New Roman" w:hAnsi="Times New Roman" w:cs="Times New Roman"/>
          <w:spacing w:val="0"/>
        </w:rPr>
        <w:t>1.构建可再生能源供应体系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发挥长治地区风、光资源丰富的优势，投资建设风能发电站，建设一批分布式光伏项目，开展“新能源+储能”试点示范</w:t>
      </w:r>
      <w:r>
        <w:rPr>
          <w:rFonts w:hint="eastAsia" w:cs="Times New Roman"/>
          <w:b w:val="0"/>
          <w:bCs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探索建设“源网荷储一体化”项目，联同虚拟电厂、换电重卡等综合智慧能源项目，</w:t>
      </w:r>
      <w:r>
        <w:rPr>
          <w:rFonts w:hint="eastAsia" w:cs="Times New Roman"/>
          <w:b w:val="0"/>
          <w:bCs/>
          <w:spacing w:val="0"/>
          <w:lang w:val="en-US" w:eastAsia="zh-CN"/>
        </w:rPr>
        <w:t>构建完善的</w:t>
      </w:r>
      <w:r>
        <w:rPr>
          <w:rFonts w:hint="default" w:ascii="Times New Roman" w:hAnsi="Times New Roman" w:cs="Times New Roman"/>
          <w:b w:val="0"/>
          <w:bCs/>
          <w:spacing w:val="0"/>
        </w:rPr>
        <w:t>新能源供应体系。推进绿色电力项目建档立卡和绿色电力证书核发，探索针对园区锂电池、光伏光电、电容制造等项目的高耗电用能特性，通过购买可再生能源绿色电力或绿证，提高可再生能源电力消纳比例。到2025年，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非化石能源消费占比达到15%以上</w:t>
      </w:r>
      <w:r>
        <w:rPr>
          <w:rFonts w:hint="eastAsia" w:cs="Times New Roman"/>
          <w:b w:val="0"/>
          <w:bCs/>
          <w:spacing w:val="0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/>
          <w:spacing w:val="0"/>
        </w:rPr>
        <w:t>到2030年，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清洁能源使用率达到50%。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default" w:ascii="Times New Roman" w:hAnsi="Times New Roman" w:cs="Times New Roman"/>
          <w:spacing w:val="0"/>
        </w:rPr>
        <w:t>2.加强绿色低碳先进技术示范引领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鼓励园区开展高效超低温空气源热泵、蝶式太阳能及曲面镜研发生产、空气源热泵及热电联产、智慧低碳采暖系统等技术应用。实施工业清洁供气改造工程，鼓励园区企业现有天然气锅炉改为电、太阳能等清洁能源，对具备工业余热供热的工业企业，鼓励其采用余热储存利用等技术对外供暖。加快“水、电、气、热、冷”多能互补控制、高效协同，实现太阳能+地热能+空气热能+工业余热+再生水热能等低碳能源综合利用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r>
        <w:rPr>
          <w:rFonts w:hint="default" w:ascii="Times New Roman" w:hAnsi="Times New Roman" w:cs="Times New Roman"/>
          <w:spacing w:val="0"/>
        </w:rPr>
        <w:t>3.开展新能源应用示范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eastAsia" w:cs="Times New Roman"/>
          <w:b w:val="0"/>
          <w:bCs/>
          <w:spacing w:val="0"/>
          <w:lang w:val="en-US" w:eastAsia="zh-CN"/>
        </w:rPr>
        <w:t>加快</w:t>
      </w:r>
      <w:r>
        <w:rPr>
          <w:rFonts w:hint="default" w:ascii="Times New Roman" w:hAnsi="Times New Roman" w:cs="Times New Roman"/>
          <w:b w:val="0"/>
          <w:bCs/>
          <w:spacing w:val="0"/>
        </w:rPr>
        <w:t>推进分布式光伏系统、风力发电、光储直柔、智能微网建设，推动既有公共建筑屋顶加装太阳能光伏系统</w:t>
      </w:r>
      <w:r>
        <w:rPr>
          <w:rFonts w:hint="eastAsia" w:cs="Times New Roman"/>
          <w:b w:val="0"/>
          <w:bCs/>
          <w:spacing w:val="0"/>
          <w:lang w:eastAsia="zh-CN"/>
        </w:rPr>
        <w:t>，</w:t>
      </w:r>
      <w:r>
        <w:rPr>
          <w:rFonts w:hint="eastAsia" w:cs="Times New Roman"/>
          <w:b w:val="0"/>
          <w:bCs/>
          <w:spacing w:val="0"/>
          <w:lang w:val="en-US" w:eastAsia="zh-CN"/>
        </w:rPr>
        <w:t>推动在园区</w:t>
      </w:r>
      <w:r>
        <w:rPr>
          <w:rFonts w:hint="default" w:ascii="Times New Roman" w:hAnsi="Times New Roman" w:cs="Times New Roman"/>
          <w:b w:val="0"/>
          <w:bCs/>
          <w:spacing w:val="0"/>
        </w:rPr>
        <w:t>范围建设50MW屋顶光伏电站、储能和充电桩系统，同步构建直流微电网</w:t>
      </w:r>
      <w:r>
        <w:rPr>
          <w:rFonts w:hint="eastAsia" w:cs="Times New Roman"/>
          <w:b w:val="0"/>
          <w:bCs/>
          <w:spacing w:val="0"/>
          <w:lang w:eastAsia="zh-CN"/>
        </w:rPr>
        <w:t>，</w:t>
      </w:r>
      <w:r>
        <w:rPr>
          <w:rFonts w:hint="default" w:ascii="Times New Roman" w:hAnsi="Times New Roman" w:cs="Times New Roman"/>
          <w:b w:val="0"/>
          <w:bCs/>
          <w:spacing w:val="0"/>
        </w:rPr>
        <w:t>到2025年，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新建公共机构建筑、新建厂房屋顶光伏覆盖率达到60%</w:t>
      </w:r>
      <w:r>
        <w:rPr>
          <w:rFonts w:hint="eastAsia" w:cs="Times New Roman"/>
          <w:b w:val="0"/>
          <w:bCs/>
          <w:spacing w:val="0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default" w:ascii="Times New Roman" w:hAnsi="Times New Roman" w:cs="Times New Roman"/>
          <w:spacing w:val="0"/>
        </w:rPr>
        <w:t>4.打造碳达峰数字化管理平台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eastAsia" w:cs="Times New Roman"/>
          <w:b w:val="0"/>
          <w:bCs/>
          <w:spacing w:val="0"/>
          <w:lang w:val="en-US" w:eastAsia="zh-CN"/>
        </w:rPr>
        <w:t>加强园区</w:t>
      </w:r>
      <w:r>
        <w:rPr>
          <w:rFonts w:hint="default" w:ascii="Times New Roman" w:hAnsi="Times New Roman" w:cs="Times New Roman"/>
          <w:b w:val="0"/>
          <w:bCs/>
          <w:spacing w:val="0"/>
        </w:rPr>
        <w:t>数字赋能，</w:t>
      </w:r>
      <w:r>
        <w:rPr>
          <w:rFonts w:hint="eastAsia" w:cs="Times New Roman"/>
          <w:b w:val="0"/>
          <w:bCs/>
          <w:spacing w:val="0"/>
          <w:lang w:val="en-US" w:eastAsia="zh-CN"/>
        </w:rPr>
        <w:t>推动</w:t>
      </w:r>
      <w:r>
        <w:rPr>
          <w:rFonts w:hint="default" w:ascii="Times New Roman" w:hAnsi="Times New Roman" w:cs="Times New Roman"/>
          <w:b w:val="0"/>
          <w:bCs/>
          <w:spacing w:val="0"/>
        </w:rPr>
        <w:t>数字化、智能化技术和双碳管理有序结合，</w:t>
      </w:r>
      <w:r>
        <w:rPr>
          <w:rFonts w:hint="eastAsia" w:cs="Times New Roman"/>
          <w:b w:val="0"/>
          <w:bCs/>
          <w:spacing w:val="0"/>
          <w:lang w:val="en-US" w:eastAsia="zh-CN"/>
        </w:rPr>
        <w:t>建设集</w:t>
      </w:r>
      <w:r>
        <w:rPr>
          <w:rFonts w:hint="default" w:ascii="Times New Roman" w:hAnsi="Times New Roman" w:cs="Times New Roman"/>
          <w:b w:val="0"/>
          <w:bCs/>
          <w:spacing w:val="0"/>
        </w:rPr>
        <w:t>碳排放监测、碳达峰预测、碳足迹核算、碳资产管理等</w:t>
      </w:r>
      <w:r>
        <w:rPr>
          <w:rFonts w:hint="eastAsia" w:cs="Times New Roman"/>
          <w:b w:val="0"/>
          <w:bCs/>
          <w:spacing w:val="0"/>
          <w:lang w:val="en-US" w:eastAsia="zh-CN"/>
        </w:rPr>
        <w:t>为一体的</w:t>
      </w:r>
      <w:r>
        <w:rPr>
          <w:rFonts w:hint="default" w:ascii="Times New Roman" w:hAnsi="Times New Roman" w:cs="Times New Roman"/>
          <w:b w:val="0"/>
          <w:bCs/>
          <w:spacing w:val="0"/>
        </w:rPr>
        <w:t>数字化技术支撑平台，将重点企业、建筑、交通等碳达峰重点领域纳入平台管理，实现能源生产、传输、消费、管控等全过程管理应用。强化重点企业用能在线监测管理，鼓励能耗大户构建智慧能源系统。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12" w:name="_Toc157780738"/>
      <w:bookmarkEnd w:id="12"/>
      <w:bookmarkStart w:id="13" w:name="_Toc165193086"/>
      <w:bookmarkEnd w:id="13"/>
      <w:bookmarkStart w:id="14" w:name="_Toc159167719"/>
      <w:bookmarkEnd w:id="14"/>
      <w:r>
        <w:rPr>
          <w:rFonts w:hint="default" w:ascii="Times New Roman" w:hAnsi="Times New Roman" w:cs="Times New Roman"/>
          <w:spacing w:val="0"/>
        </w:rPr>
        <w:t>（二）实施产业链低碳发展行动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5</w:t>
      </w:r>
      <w:r>
        <w:rPr>
          <w:rFonts w:hint="default" w:ascii="Times New Roman" w:hAnsi="Times New Roman" w:cs="Times New Roman"/>
          <w:spacing w:val="0"/>
        </w:rPr>
        <w:t>.推动电子信息产业碳达峰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围绕电子元器件及材料产业链、应用电子产业链“两大链条”定向招商，以凯松电子、华耀亿嘉为龙头引领，全力促进高端电容材料、集成电路等一批电子项目建成投产，打造百亿级电子产业集群。实施链上工艺降碳计划，以线路板、电子材料、半导体及元器件等细分行业为重点，推广应用节能技术装备，降低单位产值能源消耗。以电子材料、元器件、典型电子整机产品为重点，改进锂电材料、电容器等生产工艺，加快推广清洁生产技术等研发和产业化应用。支持专业化回收处理企业发展，形成循环经济产业链条。到2030年，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电子信息行业能源利用效率达到国内先进，电子材料、电子整机产品制造能耗显著下降。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lang w:eastAsia="zh-CN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6</w:t>
      </w:r>
      <w:r>
        <w:rPr>
          <w:rFonts w:hint="default" w:ascii="Times New Roman" w:hAnsi="Times New Roman" w:cs="Times New Roman"/>
          <w:spacing w:val="0"/>
        </w:rPr>
        <w:t>.推动新能源产业碳达峰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 w:val="0"/>
          <w:spacing w:val="0"/>
          <w:sz w:val="32"/>
        </w:rPr>
        <w:t>紧跟光伏技术迭代更新，支持新一代TOPCON电池片项目建设，支持上下游企业实施</w:t>
      </w:r>
      <w:r>
        <w:rPr>
          <w:rFonts w:hint="eastAsia" w:cs="Times New Roman"/>
          <w:b w:val="0"/>
          <w:bCs w:val="0"/>
          <w:spacing w:val="0"/>
          <w:sz w:val="32"/>
          <w:lang w:val="en-US" w:eastAsia="zh-CN"/>
        </w:rPr>
        <w:t>绿色低碳</w:t>
      </w:r>
      <w:r>
        <w:rPr>
          <w:rFonts w:hint="default" w:ascii="Times New Roman" w:hAnsi="Times New Roman" w:cs="Times New Roman"/>
          <w:b w:val="0"/>
          <w:bCs w:val="0"/>
          <w:spacing w:val="0"/>
          <w:sz w:val="32"/>
        </w:rPr>
        <w:t>技术改造，</w:t>
      </w:r>
      <w:r>
        <w:rPr>
          <w:rFonts w:hint="eastAsia" w:cs="Times New Roman"/>
          <w:b w:val="0"/>
          <w:bCs w:val="0"/>
          <w:spacing w:val="0"/>
          <w:sz w:val="32"/>
          <w:lang w:val="en-US" w:eastAsia="zh-CN"/>
        </w:rPr>
        <w:t>提升</w:t>
      </w:r>
      <w:r>
        <w:rPr>
          <w:rFonts w:hint="default" w:ascii="Times New Roman" w:hAnsi="Times New Roman" w:cs="Times New Roman"/>
          <w:b w:val="0"/>
          <w:bCs w:val="0"/>
          <w:spacing w:val="0"/>
          <w:sz w:val="32"/>
        </w:rPr>
        <w:t>光伏产业链</w:t>
      </w:r>
      <w:r>
        <w:rPr>
          <w:rFonts w:hint="eastAsia" w:cs="Times New Roman"/>
          <w:b w:val="0"/>
          <w:bCs w:val="0"/>
          <w:spacing w:val="0"/>
          <w:sz w:val="32"/>
          <w:lang w:val="en-US" w:eastAsia="zh-CN"/>
        </w:rPr>
        <w:t>竞争力</w:t>
      </w:r>
      <w:r>
        <w:rPr>
          <w:rFonts w:hint="default" w:ascii="Times New Roman" w:hAnsi="Times New Roman" w:cs="Times New Roman"/>
          <w:b w:val="0"/>
          <w:bCs w:val="0"/>
          <w:spacing w:val="0"/>
          <w:sz w:val="32"/>
        </w:rPr>
        <w:t>。加快磷酸锰铁锂正极材料项目和负极材料一体化项目建设，</w:t>
      </w:r>
      <w:r>
        <w:rPr>
          <w:rFonts w:hint="eastAsia" w:cs="Times New Roman"/>
          <w:b w:val="0"/>
          <w:bCs w:val="0"/>
          <w:spacing w:val="0"/>
          <w:sz w:val="32"/>
          <w:lang w:val="en-US" w:eastAsia="zh-CN"/>
        </w:rPr>
        <w:t>推动</w:t>
      </w:r>
      <w:r>
        <w:rPr>
          <w:rFonts w:hint="default" w:ascii="Times New Roman" w:hAnsi="Times New Roman" w:cs="Times New Roman"/>
          <w:b w:val="0"/>
          <w:bCs w:val="0"/>
          <w:spacing w:val="0"/>
          <w:sz w:val="32"/>
        </w:rPr>
        <w:t>形成一体化锂电材料产业格局。</w:t>
      </w:r>
      <w:r>
        <w:rPr>
          <w:rFonts w:hint="eastAsia" w:cs="Times New Roman"/>
          <w:b w:val="0"/>
          <w:bCs w:val="0"/>
          <w:spacing w:val="0"/>
          <w:sz w:val="32"/>
          <w:lang w:val="en-US" w:eastAsia="zh-CN"/>
        </w:rPr>
        <w:t>推动</w:t>
      </w:r>
      <w:r>
        <w:rPr>
          <w:rFonts w:hint="default" w:ascii="Times New Roman" w:hAnsi="Times New Roman" w:cs="Times New Roman"/>
          <w:b w:val="0"/>
          <w:bCs w:val="0"/>
          <w:spacing w:val="0"/>
          <w:sz w:val="32"/>
        </w:rPr>
        <w:t>建设新能源研发中心，引进一批锂电上下游项目，延伸产业链，打造成华北地区重要的新能源产业集聚区。鼓励采用低碳工艺流程、推动实施节能技术改造，推广应用先进适用绿色低碳技术，到2025年</w:t>
      </w:r>
      <w:r>
        <w:rPr>
          <w:rFonts w:hint="eastAsia" w:cs="Times New Roman"/>
          <w:b w:val="0"/>
          <w:bCs w:val="0"/>
          <w:spacing w:val="0"/>
          <w:sz w:val="32"/>
          <w:lang w:eastAsia="zh-CN"/>
        </w:rPr>
        <w:t>，</w:t>
      </w:r>
      <w:r>
        <w:rPr>
          <w:rFonts w:hint="eastAsia" w:cs="Times New Roman"/>
          <w:b w:val="0"/>
          <w:bCs w:val="0"/>
          <w:spacing w:val="0"/>
          <w:sz w:val="32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 w:val="0"/>
          <w:spacing w:val="0"/>
          <w:sz w:val="32"/>
        </w:rPr>
        <w:t>光伏光电单位产品综合能耗水平明显降低</w:t>
      </w:r>
      <w:r>
        <w:rPr>
          <w:rFonts w:hint="eastAsia" w:cs="Times New Roman"/>
          <w:b w:val="0"/>
          <w:bCs w:val="0"/>
          <w:spacing w:val="0"/>
          <w:sz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7</w:t>
      </w:r>
      <w:r>
        <w:rPr>
          <w:rFonts w:hint="default" w:ascii="Times New Roman" w:hAnsi="Times New Roman" w:cs="Times New Roman"/>
          <w:spacing w:val="0"/>
        </w:rPr>
        <w:t>.推动生物医药与大健康产业碳达峰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以康宝生物、安博泰克药业为引领，加快3款国家一类新药临床试验，推动创新药物研发和产业化项目建设，转化生产7款抗体药物。以奥泰医疗为引领，加快高端医疗设备项目投产达效，培育高端国产医疗设备研发生产的链主企业，促进产业向高端发力。聚焦纳安健康、智华生物等公司牡丹优势产品的开发利用，重点研发植物萃取技术，培育开发相关保健食品及健康化妆品。鼓励支持重点企业低碳技术研发，大力推进节能低碳技术研发推广应用，深入推动生物医药行业污染物近零排放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8</w:t>
      </w:r>
      <w:r>
        <w:rPr>
          <w:rFonts w:hint="default" w:ascii="Times New Roman" w:hAnsi="Times New Roman" w:cs="Times New Roman"/>
          <w:spacing w:val="0"/>
        </w:rPr>
        <w:t>.推动装备制造产业碳达峰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加快建设高端装备制造产业园二期、三期、四期项目建设，加快中小企业制造园区建成投产，推动点状分布的中小制造企业集散成群、集聚发展。</w:t>
      </w:r>
      <w:r>
        <w:rPr>
          <w:rFonts w:hint="eastAsia" w:cs="Times New Roman"/>
          <w:b w:val="0"/>
          <w:bCs/>
          <w:spacing w:val="0"/>
          <w:lang w:val="en-US" w:eastAsia="zh-CN"/>
        </w:rPr>
        <w:t>推动</w:t>
      </w:r>
      <w:r>
        <w:rPr>
          <w:rFonts w:hint="default" w:ascii="Times New Roman" w:hAnsi="Times New Roman" w:cs="Times New Roman"/>
          <w:b w:val="0"/>
          <w:bCs/>
          <w:spacing w:val="0"/>
        </w:rPr>
        <w:t>德式工业园、科技工业园</w:t>
      </w:r>
      <w:r>
        <w:rPr>
          <w:rFonts w:hint="eastAsia" w:ascii="Times New Roman" w:hAnsi="Times New Roman" w:cs="Times New Roman"/>
          <w:b w:val="0"/>
          <w:bCs/>
          <w:spacing w:val="0"/>
          <w:lang w:val="en-US" w:eastAsia="zh-CN"/>
        </w:rPr>
        <w:t>内</w:t>
      </w:r>
      <w:r>
        <w:rPr>
          <w:rFonts w:hint="default" w:ascii="Times New Roman" w:hAnsi="Times New Roman" w:cs="Times New Roman"/>
          <w:b w:val="0"/>
          <w:bCs/>
          <w:spacing w:val="0"/>
        </w:rPr>
        <w:t>零散装备制造企业退城入园，优化城市空间布局，促进土地集约节约利用，提升产业上下游配套能力。以宏达聚益公司为龙头，</w:t>
      </w:r>
      <w:r>
        <w:rPr>
          <w:rFonts w:hint="eastAsia" w:cs="Times New Roman"/>
          <w:b w:val="0"/>
          <w:bCs/>
          <w:spacing w:val="0"/>
          <w:lang w:val="en-US" w:eastAsia="zh-CN"/>
        </w:rPr>
        <w:t>推动</w:t>
      </w:r>
      <w:r>
        <w:rPr>
          <w:rFonts w:hint="default" w:ascii="Times New Roman" w:hAnsi="Times New Roman" w:cs="Times New Roman"/>
          <w:b w:val="0"/>
          <w:bCs/>
          <w:spacing w:val="0"/>
        </w:rPr>
        <w:t>建设从热处理、机床研发制造、机械加工到表面处理的全产业链大型精密机械制造综合体，有效填补长治数控机床产业空白。鼓励装备制造企业开展数字化改造，应用工业互联网平台，探索建设智能生产线、数字化车间和智能工厂试点示范，开展系统优化、预警维护、节能降耗，推动产业向高端化智能化绿色化发展。到2030年，研发创新一批先进适用绿色低碳工艺，绿色制造能力不断增强，生产能耗大幅降低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eastAsia="仿宋_GB2312" w:cs="Times New Roman"/>
          <w:b w:val="0"/>
          <w:bCs/>
          <w:spacing w:val="0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pacing w:val="0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bCs w:val="0"/>
          <w:spacing w:val="0"/>
        </w:rPr>
        <w:t>.推动建材产业碳达峰</w:t>
      </w:r>
      <w:r>
        <w:rPr>
          <w:rFonts w:hint="eastAsia" w:ascii="Times New Roman" w:hAnsi="Times New Roman" w:cs="Times New Roman"/>
          <w:b/>
          <w:bCs w:val="0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严格执行建材行业有关标准、政策，加强监督检查，引导低效产能有序退出。严禁新增水泥熟料产能，引导建材行业向轻型化、集约化、制品化转型。严格落实水泥常态化错峰生产政策，建设涵盖水泥、骨料、混凝土、水泥制品的产业链条，引导行业融合发展。推动各类建材企业使用工业炉窑的能源品种多元化，鼓励使用粉煤灰、工业废渣、尾矿渣等作为原料或水泥混合材料，加快电石渣、磷石膏、氟石膏等非碳酸盐含钙原料替代，实施一批建材类企业节能改造技术</w:t>
      </w:r>
      <w:r>
        <w:rPr>
          <w:rFonts w:hint="eastAsia" w:cs="Times New Roman"/>
          <w:b w:val="0"/>
          <w:bCs/>
          <w:spacing w:val="0"/>
          <w:lang w:val="en-US" w:eastAsia="zh-CN"/>
        </w:rPr>
        <w:t>项目，</w:t>
      </w:r>
      <w:r>
        <w:rPr>
          <w:rFonts w:hint="default" w:ascii="Times New Roman" w:hAnsi="Times New Roman" w:cs="Times New Roman"/>
          <w:b w:val="0"/>
          <w:bCs/>
          <w:spacing w:val="0"/>
        </w:rPr>
        <w:t>降低水泥生产工艺过程的二氧化碳排放，实现煤炭消费减量，逐步实现煤耗清零。到2030年，</w:t>
      </w:r>
      <w:r>
        <w:rPr>
          <w:rFonts w:hint="eastAsia" w:cs="Times New Roman"/>
          <w:b w:val="0"/>
          <w:bCs/>
          <w:spacing w:val="0"/>
          <w:lang w:val="en-US" w:eastAsia="zh-CN"/>
        </w:rPr>
        <w:t>园区新建</w:t>
      </w:r>
      <w:r>
        <w:rPr>
          <w:rFonts w:hint="default" w:ascii="Times New Roman" w:hAnsi="Times New Roman" w:cs="Times New Roman"/>
          <w:b w:val="0"/>
          <w:bCs/>
          <w:spacing w:val="0"/>
        </w:rPr>
        <w:t>一批减污降碳协同增效的绿色低碳生产线</w:t>
      </w:r>
      <w:r>
        <w:rPr>
          <w:rFonts w:hint="eastAsia" w:cs="Times New Roman"/>
          <w:b w:val="0"/>
          <w:bCs/>
          <w:spacing w:val="0"/>
          <w:lang w:eastAsia="zh-CN"/>
        </w:rPr>
        <w:t>，</w:t>
      </w:r>
      <w:r>
        <w:rPr>
          <w:rFonts w:hint="eastAsia" w:cs="Times New Roman"/>
          <w:b w:val="0"/>
          <w:bCs/>
          <w:spacing w:val="0"/>
          <w:lang w:val="en-US" w:eastAsia="zh-CN"/>
        </w:rPr>
        <w:t>能耗水平达到国内先进水平。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15" w:name="_Toc165193087"/>
      <w:bookmarkEnd w:id="15"/>
      <w:bookmarkStart w:id="16" w:name="_Toc159167720"/>
      <w:bookmarkEnd w:id="16"/>
      <w:r>
        <w:rPr>
          <w:rFonts w:hint="default" w:ascii="Times New Roman" w:hAnsi="Times New Roman" w:cs="Times New Roman"/>
          <w:spacing w:val="0"/>
        </w:rPr>
        <w:t>（三）实施节能降碳协同增效行动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10</w:t>
      </w:r>
      <w:r>
        <w:rPr>
          <w:rFonts w:hint="default" w:ascii="Times New Roman" w:hAnsi="Times New Roman" w:cs="Times New Roman"/>
          <w:spacing w:val="0"/>
        </w:rPr>
        <w:t>.提升节能管理能力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加强固定资产投资项目节能审查，从源头提升能源利用效率和节能降碳水平。</w:t>
      </w:r>
      <w:r>
        <w:rPr>
          <w:rFonts w:hint="eastAsia" w:cs="Times New Roman"/>
          <w:b w:val="0"/>
          <w:bCs/>
          <w:spacing w:val="0"/>
          <w:lang w:val="en-US" w:eastAsia="zh-CN"/>
        </w:rPr>
        <w:t>推动</w:t>
      </w:r>
      <w:r>
        <w:rPr>
          <w:rFonts w:hint="default" w:ascii="Times New Roman" w:hAnsi="Times New Roman" w:cs="Times New Roman"/>
          <w:b w:val="0"/>
          <w:bCs/>
          <w:spacing w:val="0"/>
        </w:rPr>
        <w:t>将用能预算管理与碳排放预算管理相结合，形成一体化管理体系。开展能源管理培训，提高企业能源管理工作水平，加快推进重点用能企业能耗在线监测系统建设，尽早实现能耗数据全面监测。建立效益评价综合机制，依据评价结果实施差别化资源要素配置，引导企业开展技术改造和落后产能退出。到2025年，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单位工业增加值能耗、单位工业增加值二氧化碳排放持续下降，重点耗能企业碳排放强度</w:t>
      </w:r>
      <w:r>
        <w:rPr>
          <w:rFonts w:hint="eastAsia" w:cs="Times New Roman"/>
          <w:b w:val="0"/>
          <w:bCs/>
          <w:spacing w:val="0"/>
          <w:lang w:val="en-US" w:eastAsia="zh-CN"/>
        </w:rPr>
        <w:t>显著</w:t>
      </w:r>
      <w:r>
        <w:rPr>
          <w:rFonts w:hint="default" w:ascii="Times New Roman" w:hAnsi="Times New Roman" w:cs="Times New Roman"/>
          <w:b w:val="0"/>
          <w:bCs/>
          <w:spacing w:val="0"/>
        </w:rPr>
        <w:t>下降。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11</w:t>
      </w:r>
      <w:r>
        <w:rPr>
          <w:rFonts w:hint="default" w:ascii="Times New Roman" w:hAnsi="Times New Roman" w:cs="Times New Roman"/>
          <w:spacing w:val="0"/>
        </w:rPr>
        <w:t>.推动重点领域节能降碳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组织实施重点领域节能降碳工程，率先推动园区企业燃气锅炉低氮改造，结合烟气末端治理等技术路线，削减氮氧化物排放量。重点开展水泥建材、金属及设备制造等行业VOCs废气治理工程，从源头替代和末端治理相结合，消减VOCs排放量。严格落实能效约束，科学有序推进光伏、锂电材料、建材等高耗能行业开展节能降碳改造，分行业制定改造目标，提升能源资源利用效率。实施园区循环化改造，推进节能降碳工程，实施节能降碳技术示范工程，支持新型能源技术和低碳技术示范应用和推广，促进园区综合能效水平提升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12</w:t>
      </w:r>
      <w:r>
        <w:rPr>
          <w:rFonts w:hint="default" w:ascii="Times New Roman" w:hAnsi="Times New Roman" w:cs="Times New Roman"/>
          <w:spacing w:val="0"/>
        </w:rPr>
        <w:t>.推进重点用能设备节能增效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以电机、风机、泵、压缩机、变压器、换热器、工业锅炉等设备为重点，严格执行能效标准。深入推进能效诊断，实施产品设备能效普查，推动企业实施产品设备更新改造，鼓励更新改造后达到能效节能水平，力争达到能效先进水平。完善园区绿色采购相关政策，加大对能效达到节能水平产品的采购支持力度。加强重点用能设备日常监管，强化生产、经营、销售、使用、报废全链条管理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13</w:t>
      </w:r>
      <w:r>
        <w:rPr>
          <w:rFonts w:hint="default" w:ascii="Times New Roman" w:hAnsi="Times New Roman" w:cs="Times New Roman"/>
          <w:spacing w:val="0"/>
        </w:rPr>
        <w:t>.</w:t>
      </w:r>
      <w:r>
        <w:rPr>
          <w:rFonts w:hint="eastAsia" w:ascii="Times New Roman" w:hAnsi="Times New Roman" w:cs="Times New Roman"/>
          <w:spacing w:val="0"/>
          <w:lang w:val="en-US" w:eastAsia="zh-CN"/>
        </w:rPr>
        <w:t>全面推行</w:t>
      </w:r>
      <w:r>
        <w:rPr>
          <w:rFonts w:hint="default" w:ascii="Times New Roman" w:hAnsi="Times New Roman" w:cs="Times New Roman"/>
          <w:spacing w:val="0"/>
        </w:rPr>
        <w:t>清洁生产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依法对重点行业企业实施强制性清洁生产审核，支持企业开展自愿性清洁生产审核。探索建立高耗能高排放低水平的存量、增量项目清洁生产评价制度。全面开展清洁生产审核和评价认证，深入开展节能减排诊断，建立能效、污染物排放先进和落后清单，系统推进节能改造升级和污染物深度治理，提高生产工艺和技术装备绿色化水平。加快企业及园区节能、节水、节材、减污、降碳等系统性清洁生产改造，推动产业循环式组合、企业循环式生产，积极创建无废企业、无废园区和生态工业示范园区。到20</w:t>
      </w:r>
      <w:r>
        <w:rPr>
          <w:rFonts w:hint="default" w:ascii="Times New Roman" w:hAnsi="Times New Roman" w:cs="Times New Roman"/>
          <w:b w:val="0"/>
          <w:bCs/>
          <w:spacing w:val="0"/>
          <w:lang w:val="en-US" w:eastAsia="zh-CN"/>
        </w:rPr>
        <w:t>30</w:t>
      </w:r>
      <w:r>
        <w:rPr>
          <w:rFonts w:hint="default" w:ascii="Times New Roman" w:hAnsi="Times New Roman" w:cs="Times New Roman"/>
          <w:b w:val="0"/>
          <w:bCs/>
          <w:spacing w:val="0"/>
        </w:rPr>
        <w:t>年，</w:t>
      </w:r>
      <w:r>
        <w:rPr>
          <w:rFonts w:hint="default" w:ascii="Times New Roman" w:hAnsi="Times New Roman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工业领域清洁生产全面深入推行，清洁生产整体水平走在全国前列。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14</w:t>
      </w:r>
      <w:r>
        <w:rPr>
          <w:rFonts w:hint="default" w:ascii="Times New Roman" w:hAnsi="Times New Roman" w:cs="Times New Roman"/>
          <w:spacing w:val="0"/>
        </w:rPr>
        <w:t>.</w:t>
      </w:r>
      <w:r>
        <w:rPr>
          <w:rFonts w:hint="eastAsia" w:ascii="Times New Roman" w:hAnsi="Times New Roman" w:cs="Times New Roman"/>
          <w:spacing w:val="0"/>
          <w:lang w:val="en-US" w:eastAsia="zh-CN"/>
        </w:rPr>
        <w:t>加快</w:t>
      </w:r>
      <w:r>
        <w:rPr>
          <w:rFonts w:hint="default" w:ascii="Times New Roman" w:hAnsi="Times New Roman" w:cs="Times New Roman"/>
          <w:spacing w:val="0"/>
        </w:rPr>
        <w:t>建设</w:t>
      </w:r>
      <w:r>
        <w:rPr>
          <w:rFonts w:hint="eastAsia" w:ascii="Times New Roman" w:hAnsi="Times New Roman" w:cs="Times New Roman"/>
          <w:spacing w:val="0"/>
          <w:lang w:val="en-US" w:eastAsia="zh-CN"/>
        </w:rPr>
        <w:t>污染物</w:t>
      </w:r>
      <w:r>
        <w:rPr>
          <w:rFonts w:hint="default" w:ascii="Times New Roman" w:hAnsi="Times New Roman" w:cs="Times New Roman"/>
          <w:spacing w:val="0"/>
        </w:rPr>
        <w:t>监测平台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eastAsia" w:cs="Times New Roman"/>
          <w:b w:val="0"/>
          <w:bCs/>
          <w:spacing w:val="0"/>
          <w:lang w:val="en-US" w:eastAsia="zh-CN"/>
        </w:rPr>
        <w:t>推动园区</w:t>
      </w:r>
      <w:r>
        <w:rPr>
          <w:rFonts w:hint="default" w:ascii="Times New Roman" w:hAnsi="Times New Roman" w:cs="Times New Roman"/>
          <w:b w:val="0"/>
          <w:bCs/>
          <w:spacing w:val="0"/>
        </w:rPr>
        <w:t>污染物在线监测系统和监测联网平台</w:t>
      </w:r>
      <w:r>
        <w:rPr>
          <w:rFonts w:hint="eastAsia" w:cs="Times New Roman"/>
          <w:b w:val="0"/>
          <w:bCs/>
          <w:spacing w:val="0"/>
          <w:lang w:val="en-US" w:eastAsia="zh-CN"/>
        </w:rPr>
        <w:t>建设</w:t>
      </w:r>
      <w:r>
        <w:rPr>
          <w:rFonts w:hint="default" w:ascii="Times New Roman" w:hAnsi="Times New Roman" w:cs="Times New Roman"/>
          <w:b w:val="0"/>
          <w:bCs/>
          <w:spacing w:val="0"/>
        </w:rPr>
        <w:t>，实现环境数据标准化收集、智能分析、智能化发布和智能化预警，有效监管生态环境重点污染源、生态环境动态变化，为园区</w:t>
      </w:r>
      <w:r>
        <w:rPr>
          <w:rFonts w:hint="eastAsia" w:cs="Times New Roman"/>
          <w:b w:val="0"/>
          <w:bCs/>
          <w:spacing w:val="0"/>
          <w:lang w:val="en-US" w:eastAsia="zh-CN"/>
        </w:rPr>
        <w:t>碳达峰</w:t>
      </w:r>
      <w:r>
        <w:rPr>
          <w:rFonts w:hint="default" w:ascii="Times New Roman" w:hAnsi="Times New Roman" w:cs="Times New Roman"/>
          <w:b w:val="0"/>
          <w:bCs/>
          <w:spacing w:val="0"/>
        </w:rPr>
        <w:t>管理提供科学决策辅助。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17" w:name="_Toc157780741"/>
      <w:bookmarkEnd w:id="17"/>
      <w:bookmarkStart w:id="18" w:name="_Toc159167721"/>
      <w:bookmarkEnd w:id="18"/>
      <w:bookmarkStart w:id="19" w:name="_Toc165193088"/>
      <w:bookmarkEnd w:id="19"/>
      <w:bookmarkStart w:id="20" w:name="_Toc157162366"/>
      <w:bookmarkEnd w:id="20"/>
      <w:r>
        <w:rPr>
          <w:rFonts w:hint="default" w:ascii="Times New Roman" w:hAnsi="Times New Roman" w:cs="Times New Roman"/>
          <w:spacing w:val="0"/>
        </w:rPr>
        <w:t>（四）实施园区建设绿色低碳行动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15</w:t>
      </w:r>
      <w:r>
        <w:rPr>
          <w:rFonts w:hint="default" w:ascii="Times New Roman" w:hAnsi="Times New Roman" w:cs="Times New Roman"/>
          <w:spacing w:val="0"/>
        </w:rPr>
        <w:t>.</w:t>
      </w:r>
      <w:r>
        <w:rPr>
          <w:rFonts w:hint="eastAsia" w:ascii="Times New Roman" w:hAnsi="Times New Roman" w:cs="Times New Roman"/>
          <w:spacing w:val="0"/>
          <w:lang w:val="en-US" w:eastAsia="zh-CN"/>
        </w:rPr>
        <w:t>大力</w:t>
      </w:r>
      <w:r>
        <w:rPr>
          <w:rFonts w:hint="default" w:ascii="Times New Roman" w:hAnsi="Times New Roman" w:cs="Times New Roman"/>
          <w:spacing w:val="0"/>
        </w:rPr>
        <w:t>推广绿色建筑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推动新型建筑工业化全产业链发展，鼓励企业采用绿色建筑技术开展厂房改造，实现工厂绿色发展。发展装配式建筑，推广绿色建材，推动建材循环利用，将绿色发展理念融入工程策划、设计、生产、运输、施工、交付等建造全过程。到2025年，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新建建筑中绿色建筑占比90%，装配式建筑占新建建筑面积的比例达到30%且装配率不低于30%。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eastAsia" w:ascii="Times New Roman" w:hAnsi="Times New Roman" w:eastAsia="仿宋_GB2312" w:cs="Times New Roman"/>
          <w:b w:val="0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16</w:t>
      </w:r>
      <w:r>
        <w:rPr>
          <w:rFonts w:hint="default" w:ascii="Times New Roman" w:hAnsi="Times New Roman" w:cs="Times New Roman"/>
          <w:spacing w:val="0"/>
        </w:rPr>
        <w:t>.优化建筑用能结构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因地制宜推进太阳能、地热能、空气能等可再生能源在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园区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建筑中的应用，提升可再生能源在建筑用能中的比重。深化太阳能建筑光电、光热一体化应用，利用地源热泵技术，收集工业余热用于采暖地区的供热热源，提高清洁供暖规模</w:t>
      </w:r>
      <w:r>
        <w:rPr>
          <w:rFonts w:hint="eastAsia" w:eastAsia="仿宋_GB2312" w:cs="Times New Roman"/>
          <w:b w:val="0"/>
          <w:spacing w:val="0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提升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清洁取暖比例。到2030年，实现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园区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公共机构清洁取暖全覆盖</w:t>
      </w:r>
      <w:r>
        <w:rPr>
          <w:rFonts w:hint="eastAsia" w:eastAsia="仿宋_GB2312" w:cs="Times New Roman"/>
          <w:b w:val="0"/>
          <w:spacing w:val="0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17</w:t>
      </w:r>
      <w:r>
        <w:rPr>
          <w:rFonts w:hint="default" w:ascii="Times New Roman" w:hAnsi="Times New Roman" w:cs="Times New Roman"/>
          <w:spacing w:val="0"/>
        </w:rPr>
        <w:t>.提高公共机构节能水平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组织开展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园区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节约型公共机构示范单位创建活动，推进公共机构节能改造。充分发挥公共机构节能示范带动作用，</w:t>
      </w:r>
      <w:r>
        <w:rPr>
          <w:rFonts w:hint="eastAsia" w:ascii="Times New Roman" w:hAnsi="Times New Roman" w:cs="Times New Roman"/>
          <w:b w:val="0"/>
          <w:spacing w:val="0"/>
          <w:sz w:val="32"/>
          <w:szCs w:val="32"/>
          <w:lang w:val="en-US" w:eastAsia="zh-CN"/>
        </w:rPr>
        <w:t>增强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园区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节能环保意识，形成良好的节能环保氛围。到20</w:t>
      </w:r>
      <w:r>
        <w:rPr>
          <w:rFonts w:hint="eastAsia" w:ascii="Times New Roman" w:hAnsi="Times New Roman" w:eastAsia="仿宋_GB2312" w:cs="Times New Roman"/>
          <w:b w:val="0"/>
          <w:spacing w:val="0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年，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园区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公共机构单位建筑面积能耗、人均综合能耗和人均用水量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显著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下降。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21" w:name="_Toc159167722"/>
      <w:bookmarkEnd w:id="21"/>
      <w:bookmarkStart w:id="22" w:name="_Toc165193089"/>
      <w:bookmarkEnd w:id="22"/>
      <w:r>
        <w:rPr>
          <w:rFonts w:hint="default" w:ascii="Times New Roman" w:hAnsi="Times New Roman" w:cs="Times New Roman"/>
          <w:spacing w:val="0"/>
        </w:rPr>
        <w:t>（五）实施交通运输绿色低碳行动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18</w:t>
      </w:r>
      <w:r>
        <w:rPr>
          <w:rFonts w:hint="default" w:ascii="Times New Roman" w:hAnsi="Times New Roman" w:cs="Times New Roman"/>
          <w:spacing w:val="0"/>
        </w:rPr>
        <w:t>.建设绿色交通路网体系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坚持海绵型道路建设理念，采用绿色生态道路建设技术，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重点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建设新扩区范围的园区路网系统，加快西环路、延安北路等主干道、支干线、园区微循环道路建设，打造园区绿色道路体系。积极推进总长14公里的高新大道、长潞线、威远门北路和顺泽街四条综合管廊建设</w:t>
      </w:r>
      <w:r>
        <w:rPr>
          <w:rFonts w:hint="eastAsia" w:eastAsia="仿宋_GB2312" w:cs="Times New Roman"/>
          <w:b w:val="0"/>
          <w:spacing w:val="0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形成园区综合管廊系统。规划建设生态廊道，串联老顶山、漳泽湖绿道，构建 特色慢行绿道，织补生活和生产空间。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</w:pPr>
      <w:bookmarkStart w:id="23" w:name="_Toc159167723"/>
      <w:r>
        <w:rPr>
          <w:rFonts w:hint="eastAsia" w:ascii="Times New Roman" w:hAnsi="Times New Roman" w:cs="Times New Roman"/>
          <w:spacing w:val="0"/>
          <w:lang w:val="en-US" w:eastAsia="zh-CN"/>
        </w:rPr>
        <w:t>19</w:t>
      </w:r>
      <w:r>
        <w:rPr>
          <w:rFonts w:hint="default" w:ascii="Times New Roman" w:hAnsi="Times New Roman" w:cs="Times New Roman"/>
          <w:spacing w:val="0"/>
        </w:rPr>
        <w:t>.提升园区绿色交通承载力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大力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发展低碳物流，规划建设工贸物流基地、智慧物流基地、快件枢纽。推动辖区内标准厂房、写字楼、商圈内公共充电基础设施建设，合理配置公用充电桩。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在大型城市综合体、商场、交通枢纽建设“光储充”一体化停车场，构建新能源、储能、智能充电互相协调支撑的绿色充电模式。推进LNG加气站、充（换）电站、加氢站等清洁能源设施建设，支持建设“油气电氢”联合加注站试点。提高公共服务领域锂电池车、氢燃料电池车等新能源交通工具使用比例，鼓励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园区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企事业单位使用新能源运输工具，扩大民用新能源汽车应用规模。到2025年，建成区范围具备条件的公共车位实现充电桩全覆盖</w:t>
      </w:r>
      <w:r>
        <w:rPr>
          <w:rFonts w:hint="eastAsia" w:eastAsia="仿宋_GB2312" w:cs="Times New Roman"/>
          <w:b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到2030年，基本建成互联互通、智能高效的充电基础设施服务体系。</w:t>
      </w:r>
    </w:p>
    <w:bookmarkEnd w:id="23"/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24" w:name="_Toc165193090"/>
      <w:bookmarkEnd w:id="24"/>
      <w:r>
        <w:rPr>
          <w:rFonts w:hint="default" w:ascii="Times New Roman" w:hAnsi="Times New Roman" w:cs="Times New Roman"/>
          <w:spacing w:val="0"/>
        </w:rPr>
        <w:t>（六）实施循环经济助力降碳行动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20</w:t>
      </w:r>
      <w:r>
        <w:rPr>
          <w:rFonts w:hint="default" w:ascii="Times New Roman" w:hAnsi="Times New Roman" w:cs="Times New Roman"/>
          <w:spacing w:val="0"/>
        </w:rPr>
        <w:t>.推进固废资源化利用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深入推进园区循环化改造，支持产生工业固废的重点行业开展技术改造，减少工业固废产生量。探索一般工业固废第三方治理服务模式，加强边角料、废屑、焊渣、除尘灰等一般工业固废旧物资回收利用，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矿物油、废活性炭、废油桶、废油漆桶等危险废物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由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再生资源回收公司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集中回收利用。到2025年，园区工业一般固体废物综合利用率达30%以上。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21</w:t>
      </w:r>
      <w:r>
        <w:rPr>
          <w:rFonts w:hint="default" w:ascii="Times New Roman" w:hAnsi="Times New Roman" w:cs="Times New Roman"/>
          <w:spacing w:val="0"/>
        </w:rPr>
        <w:t>.强化水资源循环利用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引导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区内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企业建立内部水微循环系统，推广冷却水循环利用、余热转化系统等技术工艺，最大限度减少单位工业产值新鲜水用水量和废水产生量。推动医药、食品、金属、电子信息等企业开展节水改造和水效对标，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提升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企业内部工业用水循环利用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水平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。加快废水处理研发技术产业化</w:t>
      </w:r>
      <w:r>
        <w:rPr>
          <w:rFonts w:hint="eastAsia" w:eastAsia="仿宋_GB2312" w:cs="Times New Roman"/>
          <w:b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推广特许经营、委托营运等专业化节水模式，实行水资源梯级优化利用和废水集中处理回用。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加快推动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漳泽、翟店两个再生水厂及配套管网设施建设</w:t>
      </w:r>
      <w:r>
        <w:rPr>
          <w:rFonts w:hint="eastAsia" w:eastAsia="仿宋_GB2312" w:cs="Times New Roman"/>
          <w:b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实施污水“近零排放”科技创新试点工程。到2025年，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园区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工业废水排放达标率达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到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100%，污水处理率达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到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100%，实现工业废水“近零排放”。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</w:pPr>
      <w:bookmarkStart w:id="25" w:name="_Toc157162369"/>
      <w:bookmarkStart w:id="26" w:name="_Toc157780744"/>
      <w:r>
        <w:rPr>
          <w:rFonts w:hint="eastAsia" w:ascii="Times New Roman" w:hAnsi="Times New Roman" w:cs="Times New Roman"/>
          <w:spacing w:val="0"/>
          <w:lang w:val="en-US" w:eastAsia="zh-CN"/>
        </w:rPr>
        <w:t>22</w:t>
      </w:r>
      <w:r>
        <w:rPr>
          <w:rFonts w:hint="default" w:ascii="Times New Roman" w:hAnsi="Times New Roman" w:cs="Times New Roman"/>
          <w:spacing w:val="0"/>
        </w:rPr>
        <w:t>.推进园区循环化改造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深入推进园区循环化改造进程，开展企业循环化改造示范试点，遴选一批试点企业在政策上给予重点支持。创新利用膜浓缩分离、蒸发结晶、机械再压缩等技术，重点发展工矿企业水污染防治材料及设备。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积极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发展节能电机、专用电气系统、高效节能商用设备，延伸布局空气净化设备、烟气处理设备、低氮燃烧设备等节能环保装备。</w:t>
      </w:r>
      <w:r>
        <w:rPr>
          <w:rFonts w:hint="eastAsia" w:eastAsia="仿宋_GB2312" w:cs="Times New Roman"/>
          <w:b w:val="0"/>
          <w:spacing w:val="0"/>
          <w:sz w:val="32"/>
          <w:szCs w:val="32"/>
          <w:lang w:val="en-US" w:eastAsia="zh-CN"/>
        </w:rPr>
        <w:t>稳步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发展以煤为原料的基础油、润滑油，开发煤基润滑油在工业领域及民用领域的应用。鼓励现有建材企业申报绿色建材星级评定，打造绿色建材使用示范试点，引进绿色墙体材料、保温隔热材料及绿色装饰材料等新型环保材料企业。</w:t>
      </w:r>
    </w:p>
    <w:bookmarkEnd w:id="25"/>
    <w:bookmarkEnd w:id="26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/>
        <w:rPr>
          <w:rFonts w:hint="default" w:ascii="Times New Roman" w:hAnsi="Times New Roman" w:cs="Times New Roman"/>
          <w:b/>
          <w:bCs w:val="0"/>
          <w:spacing w:val="0"/>
        </w:rPr>
      </w:pPr>
      <w:bookmarkStart w:id="27" w:name="_Toc159167724"/>
      <w:bookmarkEnd w:id="27"/>
      <w:bookmarkStart w:id="28" w:name="_Toc165193091"/>
      <w:bookmarkEnd w:id="28"/>
      <w:r>
        <w:rPr>
          <w:rFonts w:hint="default" w:ascii="Times New Roman" w:hAnsi="Times New Roman" w:cs="Times New Roman"/>
          <w:b/>
          <w:bCs w:val="0"/>
          <w:spacing w:val="0"/>
        </w:rPr>
        <w:t>三、重大工程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both"/>
        <w:rPr>
          <w:rFonts w:hint="default" w:ascii="Times New Roman" w:hAnsi="Times New Roman" w:cs="Times New Roman"/>
          <w:spacing w:val="0"/>
        </w:rPr>
      </w:pPr>
      <w:bookmarkStart w:id="29" w:name="_Toc159167725"/>
      <w:bookmarkEnd w:id="29"/>
      <w:bookmarkStart w:id="30" w:name="_Toc165193092"/>
      <w:bookmarkEnd w:id="30"/>
      <w:r>
        <w:rPr>
          <w:rFonts w:hint="default" w:ascii="Times New Roman" w:hAnsi="Times New Roman" w:cs="Times New Roman"/>
          <w:spacing w:val="0"/>
        </w:rPr>
        <w:t>（一）实施能源基础设施工程</w:t>
      </w:r>
    </w:p>
    <w:p>
      <w:pPr>
        <w:keepNext w:val="0"/>
        <w:keepLines w:val="0"/>
        <w:pageBreakBefore w:val="0"/>
        <w:widowControl w:val="0"/>
        <w:tabs>
          <w:tab w:val="clear" w:pos="7797"/>
        </w:tabs>
        <w:kinsoku/>
        <w:wordWrap/>
        <w:overflowPunct/>
        <w:topLinePunct w:val="0"/>
        <w:bidi w:val="0"/>
        <w:snapToGrid/>
        <w:spacing w:line="600" w:lineRule="exact"/>
        <w:ind w:right="0" w:firstLine="640" w:firstLineChars="200"/>
        <w:jc w:val="both"/>
        <w:rPr>
          <w:rFonts w:hint="default" w:ascii="Times New Roman" w:hAnsi="Times New Roman" w:eastAsia="仿宋_GB2312" w:cs="Times New Roman"/>
          <w:b w:val="0"/>
          <w:spacing w:val="0"/>
          <w:sz w:val="32"/>
          <w:szCs w:val="21"/>
        </w:rPr>
      </w:pPr>
      <w:bookmarkStart w:id="31" w:name="_Hlk158231900"/>
      <w:bookmarkEnd w:id="31"/>
      <w:r>
        <w:rPr>
          <w:rFonts w:hint="eastAsia" w:eastAsia="仿宋_GB2312" w:cs="Times New Roman"/>
          <w:b w:val="0"/>
          <w:spacing w:val="0"/>
          <w:sz w:val="32"/>
          <w:szCs w:val="21"/>
          <w:lang w:val="en-US" w:eastAsia="zh-CN"/>
        </w:rPr>
        <w:t>23.聚焦能源综合利用、数智赋能提效、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21"/>
        </w:rPr>
        <w:t>光储充储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一体</w:t>
      </w:r>
      <w:r>
        <w:rPr>
          <w:rFonts w:hint="eastAsia" w:eastAsia="仿宋_GB2312" w:cs="Times New Roman"/>
          <w:b w:val="0"/>
          <w:spacing w:val="0"/>
          <w:sz w:val="32"/>
          <w:szCs w:val="21"/>
          <w:lang w:val="en-US" w:eastAsia="zh-CN"/>
        </w:rPr>
        <w:t>等领域，谋划实施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21"/>
        </w:rPr>
        <w:t>低碳可再生能源综合利用、碳达峰综合能碳管理平台、零碳物流重卡光储充换一体站、智慧充储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一体化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21"/>
        </w:rPr>
        <w:t>充电桩</w:t>
      </w:r>
      <w:r>
        <w:rPr>
          <w:rFonts w:hint="eastAsia" w:eastAsia="仿宋_GB2312" w:cs="Times New Roman"/>
          <w:b w:val="0"/>
          <w:spacing w:val="0"/>
          <w:sz w:val="32"/>
          <w:szCs w:val="21"/>
          <w:lang w:val="en-US" w:eastAsia="zh-CN"/>
        </w:rPr>
        <w:t>等四个方面的重大项目，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21"/>
        </w:rPr>
        <w:t>有效形成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32"/>
        </w:rPr>
        <w:t>分布式光伏、分散式风电、多元储能、高效热泵、余热余压利用、智慧能源管控等一体化新型能源体系</w:t>
      </w:r>
      <w:r>
        <w:rPr>
          <w:rFonts w:hint="default" w:ascii="Times New Roman" w:hAnsi="Times New Roman" w:eastAsia="仿宋_GB2312" w:cs="Times New Roman"/>
          <w:b w:val="0"/>
          <w:spacing w:val="0"/>
          <w:sz w:val="32"/>
          <w:szCs w:val="21"/>
        </w:rPr>
        <w:t xml:space="preserve">。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both"/>
        <w:rPr>
          <w:rFonts w:hint="default" w:ascii="Times New Roman" w:hAnsi="Times New Roman" w:cs="Times New Roman"/>
          <w:spacing w:val="0"/>
        </w:rPr>
      </w:pPr>
      <w:bookmarkStart w:id="32" w:name="_Toc165193093"/>
      <w:bookmarkEnd w:id="32"/>
      <w:bookmarkStart w:id="33" w:name="_Toc159167726"/>
      <w:bookmarkEnd w:id="33"/>
      <w:r>
        <w:rPr>
          <w:rFonts w:hint="default" w:ascii="Times New Roman" w:hAnsi="Times New Roman" w:cs="Times New Roman"/>
          <w:spacing w:val="0"/>
        </w:rPr>
        <w:t>（二）实施节能降碳改造工程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jc w:val="both"/>
        <w:rPr>
          <w:rFonts w:hint="default" w:ascii="Times New Roman" w:hAnsi="Times New Roman" w:cs="Times New Roman"/>
          <w:color w:val="auto"/>
          <w:spacing w:val="0"/>
        </w:rPr>
      </w:pPr>
      <w:r>
        <w:rPr>
          <w:rFonts w:hint="eastAsia" w:cs="Times New Roman"/>
          <w:color w:val="auto"/>
          <w:spacing w:val="0"/>
          <w:lang w:val="en-US" w:eastAsia="zh-CN"/>
        </w:rPr>
        <w:t>24.以节能降碳为导向，聚焦重点企业实施工艺流程绿色低碳再造，谋划实施SCR脱硝技改项目、电子生产线节能工艺技术开发等一批重点项目，加快</w:t>
      </w:r>
      <w:r>
        <w:rPr>
          <w:rFonts w:hint="default" w:ascii="Times New Roman" w:hAnsi="Times New Roman" w:cs="Times New Roman"/>
          <w:color w:val="auto"/>
          <w:spacing w:val="0"/>
        </w:rPr>
        <w:t>对原有设备、装置或生产工艺</w:t>
      </w:r>
      <w:r>
        <w:rPr>
          <w:rFonts w:hint="eastAsia" w:cs="Times New Roman"/>
          <w:color w:val="auto"/>
          <w:spacing w:val="0"/>
          <w:lang w:val="en-US" w:eastAsia="zh-CN"/>
        </w:rPr>
        <w:t>开展</w:t>
      </w:r>
      <w:r>
        <w:rPr>
          <w:rFonts w:hint="default" w:ascii="Times New Roman" w:hAnsi="Times New Roman" w:cs="Times New Roman"/>
          <w:color w:val="auto"/>
          <w:spacing w:val="0"/>
        </w:rPr>
        <w:t>改造升级，提升产品工艺路线，优化相关排污系统，同步减少烟气污染物和二氧化碳排放量，推动园区重点用能企业实现节能15%以上。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both"/>
        <w:rPr>
          <w:rFonts w:hint="default" w:ascii="Times New Roman" w:hAnsi="Times New Roman" w:cs="Times New Roman"/>
          <w:spacing w:val="0"/>
        </w:rPr>
      </w:pPr>
      <w:bookmarkStart w:id="34" w:name="_Toc165193094"/>
      <w:bookmarkEnd w:id="34"/>
      <w:r>
        <w:rPr>
          <w:rFonts w:hint="default" w:ascii="Times New Roman" w:hAnsi="Times New Roman" w:cs="Times New Roman"/>
          <w:spacing w:val="0"/>
        </w:rPr>
        <w:t>（三）实施产业高质量发展工程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jc w:val="both"/>
        <w:rPr>
          <w:rFonts w:hint="default" w:ascii="Times New Roman" w:hAnsi="Times New Roman" w:cs="Times New Roman"/>
          <w:color w:val="auto"/>
          <w:spacing w:val="0"/>
        </w:rPr>
      </w:pPr>
      <w:r>
        <w:rPr>
          <w:rFonts w:hint="eastAsia" w:cs="Times New Roman"/>
          <w:color w:val="auto"/>
          <w:spacing w:val="0"/>
          <w:lang w:val="en-US" w:eastAsia="zh-CN"/>
        </w:rPr>
        <w:t>25.</w:t>
      </w:r>
      <w:r>
        <w:rPr>
          <w:rFonts w:hint="default" w:ascii="Times New Roman" w:hAnsi="Times New Roman" w:cs="Times New Roman"/>
          <w:color w:val="auto"/>
          <w:spacing w:val="0"/>
        </w:rPr>
        <w:t>聚焦园区主导产业，</w:t>
      </w:r>
      <w:r>
        <w:rPr>
          <w:rFonts w:hint="eastAsia" w:cs="Times New Roman"/>
          <w:color w:val="auto"/>
          <w:spacing w:val="0"/>
          <w:lang w:val="en-US" w:eastAsia="zh-CN"/>
        </w:rPr>
        <w:t>以全产业链绿色低碳发展为牵引</w:t>
      </w:r>
      <w:r>
        <w:rPr>
          <w:rFonts w:hint="default" w:ascii="Times New Roman" w:hAnsi="Times New Roman" w:cs="Times New Roman"/>
          <w:color w:val="auto"/>
          <w:spacing w:val="0"/>
        </w:rPr>
        <w:t>，</w:t>
      </w:r>
      <w:r>
        <w:rPr>
          <w:rFonts w:hint="eastAsia" w:cs="Times New Roman"/>
          <w:color w:val="auto"/>
          <w:spacing w:val="0"/>
          <w:lang w:val="en-US" w:eastAsia="zh-CN"/>
        </w:rPr>
        <w:t>谋划</w:t>
      </w:r>
      <w:r>
        <w:rPr>
          <w:rFonts w:hint="default" w:ascii="Times New Roman" w:hAnsi="Times New Roman" w:cs="Times New Roman"/>
          <w:color w:val="auto"/>
          <w:spacing w:val="0"/>
        </w:rPr>
        <w:t>磷酸锰铁锂正极材料</w:t>
      </w:r>
      <w:r>
        <w:rPr>
          <w:rFonts w:hint="eastAsia" w:cs="Times New Roman"/>
          <w:color w:val="auto"/>
          <w:spacing w:val="0"/>
          <w:lang w:val="en-US" w:eastAsia="zh-CN"/>
        </w:rPr>
        <w:t>绿色提质</w:t>
      </w:r>
      <w:r>
        <w:rPr>
          <w:rFonts w:hint="eastAsia" w:cs="Times New Roman"/>
          <w:color w:val="auto"/>
          <w:spacing w:val="0"/>
          <w:lang w:eastAsia="zh-CN"/>
        </w:rPr>
        <w:t>、电子科技产业园、智能终端高端玻璃盖板、创新生物制品研发和产业化</w:t>
      </w:r>
      <w:r>
        <w:rPr>
          <w:rFonts w:hint="eastAsia" w:cs="Times New Roman"/>
          <w:color w:val="auto"/>
          <w:spacing w:val="0"/>
          <w:lang w:val="en-US" w:eastAsia="zh-CN"/>
        </w:rPr>
        <w:t>等一批重点</w:t>
      </w:r>
      <w:r>
        <w:rPr>
          <w:rFonts w:hint="eastAsia" w:cs="Times New Roman"/>
          <w:color w:val="auto"/>
          <w:spacing w:val="0"/>
          <w:lang w:eastAsia="zh-CN"/>
        </w:rPr>
        <w:t>项目，</w:t>
      </w:r>
      <w:r>
        <w:rPr>
          <w:rFonts w:hint="eastAsia" w:cs="Times New Roman"/>
          <w:color w:val="auto"/>
          <w:spacing w:val="0"/>
          <w:lang w:val="en-US" w:eastAsia="zh-CN"/>
        </w:rPr>
        <w:t>推动</w:t>
      </w:r>
      <w:r>
        <w:rPr>
          <w:rFonts w:hint="default" w:ascii="Times New Roman" w:hAnsi="Times New Roman" w:cs="Times New Roman"/>
          <w:color w:val="auto"/>
          <w:spacing w:val="0"/>
        </w:rPr>
        <w:t>形成产业协同降碳效应。到2030年，</w:t>
      </w:r>
      <w:r>
        <w:rPr>
          <w:rFonts w:hint="eastAsia" w:cs="Times New Roman"/>
          <w:color w:val="auto"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color w:val="auto"/>
          <w:spacing w:val="0"/>
        </w:rPr>
        <w:t>工业总产值突破600亿元，工业增加值综合能效较2021年降低50%。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both"/>
        <w:rPr>
          <w:rFonts w:hint="default" w:ascii="Times New Roman" w:hAnsi="Times New Roman" w:cs="Times New Roman"/>
          <w:spacing w:val="0"/>
        </w:rPr>
      </w:pPr>
      <w:bookmarkStart w:id="35" w:name="_Toc165193095"/>
      <w:bookmarkEnd w:id="35"/>
      <w:bookmarkStart w:id="36" w:name="_Hlk149988688"/>
      <w:bookmarkEnd w:id="36"/>
      <w:bookmarkStart w:id="37" w:name="_Toc159167727"/>
      <w:bookmarkEnd w:id="37"/>
      <w:r>
        <w:rPr>
          <w:rFonts w:hint="default" w:ascii="Times New Roman" w:hAnsi="Times New Roman" w:cs="Times New Roman"/>
          <w:spacing w:val="0"/>
        </w:rPr>
        <w:t>（四）实施绿色低碳先进技术示范工程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jc w:val="both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26.聚焦“双碳”前沿科技，以技术攻关、平台建设、成果转化为重点，</w:t>
      </w:r>
      <w:r>
        <w:rPr>
          <w:rFonts w:hint="default" w:ascii="Times New Roman" w:hAnsi="Times New Roman" w:cs="Times New Roman"/>
          <w:spacing w:val="0"/>
        </w:rPr>
        <w:t>引进一批先进绿色低碳技术成果，推动一批示范项目落地实施，</w:t>
      </w:r>
      <w:r>
        <w:rPr>
          <w:rFonts w:hint="eastAsia" w:cs="Times New Roman"/>
          <w:spacing w:val="0"/>
          <w:lang w:val="en-US" w:eastAsia="zh-CN"/>
        </w:rPr>
        <w:t>谋划实施</w:t>
      </w:r>
      <w:r>
        <w:rPr>
          <w:rFonts w:hint="default" w:ascii="Times New Roman" w:hAnsi="Times New Roman" w:cs="Times New Roman"/>
          <w:spacing w:val="0"/>
        </w:rPr>
        <w:t>煤基合成润滑材料（院士）联合研发平台、超级电容储能</w:t>
      </w:r>
      <w:r>
        <w:rPr>
          <w:rFonts w:hint="eastAsia" w:cs="Times New Roman"/>
          <w:spacing w:val="0"/>
          <w:lang w:val="en-US" w:eastAsia="zh-CN"/>
        </w:rPr>
        <w:t>技术攻关</w:t>
      </w:r>
      <w:r>
        <w:rPr>
          <w:rFonts w:hint="default" w:ascii="Times New Roman" w:hAnsi="Times New Roman" w:cs="Times New Roman"/>
          <w:spacing w:val="0"/>
        </w:rPr>
        <w:t>、高压高效隔爆型三相异步电动机开发</w:t>
      </w:r>
      <w:r>
        <w:rPr>
          <w:rFonts w:hint="eastAsia" w:cs="Times New Roman"/>
          <w:spacing w:val="0"/>
          <w:lang w:val="en-US" w:eastAsia="zh-CN"/>
        </w:rPr>
        <w:t>等重点项目，为重点领域降碳探索有效路径。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both"/>
        <w:rPr>
          <w:rFonts w:hint="default" w:ascii="Times New Roman" w:hAnsi="Times New Roman" w:cs="Times New Roman"/>
          <w:spacing w:val="0"/>
        </w:rPr>
      </w:pPr>
      <w:bookmarkStart w:id="38" w:name="_Toc165193096"/>
      <w:bookmarkEnd w:id="38"/>
      <w:bookmarkStart w:id="39" w:name="_Toc159167728"/>
      <w:bookmarkEnd w:id="39"/>
      <w:r>
        <w:rPr>
          <w:rFonts w:hint="default" w:ascii="Times New Roman" w:hAnsi="Times New Roman" w:cs="Times New Roman"/>
          <w:spacing w:val="0"/>
        </w:rPr>
        <w:t>（五）实施环境基础设施工程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jc w:val="both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27.围绕</w:t>
      </w:r>
      <w:r>
        <w:rPr>
          <w:rFonts w:hint="default" w:ascii="Times New Roman" w:hAnsi="Times New Roman" w:cs="Times New Roman"/>
          <w:spacing w:val="0"/>
        </w:rPr>
        <w:t>绿色交通、污水处理、雨水调蓄及回用、工业给水厂等</w:t>
      </w:r>
      <w:r>
        <w:rPr>
          <w:rFonts w:hint="eastAsia" w:cs="Times New Roman"/>
          <w:spacing w:val="0"/>
          <w:lang w:val="en-US" w:eastAsia="zh-CN"/>
        </w:rPr>
        <w:t>领域，谋划实施绿色交通和海绵城市示范、污水处理雨水调蓄及回用等一批重点项目</w:t>
      </w:r>
      <w:r>
        <w:rPr>
          <w:rFonts w:hint="default" w:ascii="Times New Roman" w:hAnsi="Times New Roman" w:cs="Times New Roman"/>
          <w:spacing w:val="0"/>
        </w:rPr>
        <w:t>，建设园区供排水一体化系统，改善园区用地开发、出行条件和交通环境，提升园区承载力和服务力。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both"/>
        <w:rPr>
          <w:rFonts w:hint="default" w:ascii="Times New Roman" w:hAnsi="Times New Roman" w:cs="Times New Roman"/>
          <w:spacing w:val="0"/>
        </w:rPr>
      </w:pPr>
      <w:bookmarkStart w:id="40" w:name="_Toc159167729"/>
      <w:bookmarkEnd w:id="40"/>
      <w:bookmarkStart w:id="41" w:name="_Toc165193097"/>
      <w:bookmarkEnd w:id="41"/>
      <w:r>
        <w:rPr>
          <w:rFonts w:hint="default" w:ascii="Times New Roman" w:hAnsi="Times New Roman" w:cs="Times New Roman"/>
          <w:spacing w:val="0"/>
        </w:rPr>
        <w:t>（六）实施循环经济发展工程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jc w:val="both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28.</w:t>
      </w:r>
      <w:r>
        <w:rPr>
          <w:rFonts w:hint="default" w:ascii="Times New Roman" w:hAnsi="Times New Roman" w:cs="Times New Roman"/>
          <w:spacing w:val="0"/>
        </w:rPr>
        <w:t>依托落地</w:t>
      </w:r>
      <w:r>
        <w:rPr>
          <w:rFonts w:hint="eastAsia" w:cs="Times New Roman"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spacing w:val="0"/>
        </w:rPr>
        <w:t>的科研院所和重点企业，发挥工业固废、余热等资源丰富的优势，</w:t>
      </w:r>
      <w:r>
        <w:rPr>
          <w:rFonts w:hint="eastAsia" w:cs="Times New Roman"/>
          <w:spacing w:val="0"/>
          <w:lang w:val="en-US" w:eastAsia="zh-CN"/>
        </w:rPr>
        <w:t>聚焦园区循环化改造、循环链打造、绿岛建设，谋划实施多固废协同制备固废基道路材料生产示范、工业固废综合利用研发及产业化示范基地、工业余热回收利用等一批重点项目，</w:t>
      </w:r>
      <w:r>
        <w:rPr>
          <w:rFonts w:hint="default" w:ascii="Times New Roman" w:hAnsi="Times New Roman" w:cs="Times New Roman"/>
          <w:spacing w:val="0"/>
        </w:rPr>
        <w:t>推进园区经济循环发展。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 w:firstLineChars="200"/>
        <w:jc w:val="both"/>
        <w:rPr>
          <w:rFonts w:hint="default" w:ascii="Times New Roman" w:hAnsi="Times New Roman" w:cs="Times New Roman"/>
          <w:spacing w:val="0"/>
        </w:rPr>
      </w:pPr>
      <w:bookmarkStart w:id="42" w:name="_Toc159167730"/>
      <w:bookmarkEnd w:id="42"/>
      <w:bookmarkStart w:id="43" w:name="_Toc165193098"/>
      <w:bookmarkEnd w:id="43"/>
      <w:r>
        <w:rPr>
          <w:rFonts w:hint="default" w:ascii="Times New Roman" w:hAnsi="Times New Roman" w:cs="Times New Roman"/>
          <w:spacing w:val="0"/>
        </w:rPr>
        <w:t>（七）实施生态保护修复工程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jc w:val="both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29.聚焦</w:t>
      </w:r>
      <w:r>
        <w:rPr>
          <w:rFonts w:hint="default" w:ascii="Times New Roman" w:hAnsi="Times New Roman" w:cs="Times New Roman"/>
          <w:spacing w:val="0"/>
        </w:rPr>
        <w:t>水、气、土壤以及生态环境保护和资源利用</w:t>
      </w:r>
      <w:r>
        <w:rPr>
          <w:rFonts w:hint="eastAsia" w:cs="Times New Roman"/>
          <w:spacing w:val="0"/>
          <w:lang w:eastAsia="zh-CN"/>
        </w:rPr>
        <w:t>，</w:t>
      </w:r>
      <w:r>
        <w:rPr>
          <w:rFonts w:hint="eastAsia" w:cs="Times New Roman"/>
          <w:spacing w:val="0"/>
          <w:lang w:val="en-US" w:eastAsia="zh-CN"/>
        </w:rPr>
        <w:t>谋划实施一批重点项目，为园区生态保护修复提供</w:t>
      </w:r>
      <w:r>
        <w:rPr>
          <w:rFonts w:hint="default" w:ascii="Times New Roman" w:hAnsi="Times New Roman" w:cs="Times New Roman"/>
          <w:spacing w:val="0"/>
        </w:rPr>
        <w:t>一站式、全方位、个性化的整体解决方案，</w:t>
      </w:r>
      <w:r>
        <w:rPr>
          <w:rFonts w:hint="eastAsia" w:cs="Times New Roman"/>
          <w:spacing w:val="0"/>
          <w:lang w:val="en-US" w:eastAsia="zh-CN"/>
        </w:rPr>
        <w:t>全面改善园区</w:t>
      </w:r>
      <w:r>
        <w:rPr>
          <w:rFonts w:hint="default" w:ascii="Times New Roman" w:hAnsi="Times New Roman" w:cs="Times New Roman"/>
          <w:spacing w:val="0"/>
        </w:rPr>
        <w:t>区域生态环境。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/>
        <w:rPr>
          <w:rFonts w:hint="default" w:ascii="Times New Roman" w:hAnsi="Times New Roman" w:cs="Times New Roman"/>
          <w:b/>
          <w:bCs w:val="0"/>
          <w:spacing w:val="0"/>
        </w:rPr>
      </w:pPr>
      <w:bookmarkStart w:id="44" w:name="_Toc157780747"/>
      <w:bookmarkEnd w:id="44"/>
      <w:bookmarkStart w:id="45" w:name="_Toc159167731"/>
      <w:bookmarkEnd w:id="45"/>
      <w:bookmarkStart w:id="46" w:name="_Toc157162372"/>
      <w:bookmarkEnd w:id="46"/>
      <w:bookmarkStart w:id="47" w:name="_Toc165193099"/>
      <w:bookmarkEnd w:id="47"/>
      <w:r>
        <w:rPr>
          <w:rFonts w:hint="default" w:ascii="Times New Roman" w:hAnsi="Times New Roman" w:cs="Times New Roman"/>
          <w:b/>
          <w:bCs w:val="0"/>
          <w:spacing w:val="0"/>
        </w:rPr>
        <w:t>四、科技创新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48" w:name="_Toc165193100"/>
      <w:bookmarkEnd w:id="48"/>
      <w:bookmarkStart w:id="49" w:name="_Toc157780749"/>
      <w:bookmarkEnd w:id="49"/>
      <w:bookmarkStart w:id="50" w:name="_Toc159167733"/>
      <w:bookmarkEnd w:id="50"/>
      <w:bookmarkStart w:id="51" w:name="_Toc157162374"/>
      <w:bookmarkEnd w:id="51"/>
      <w:r>
        <w:rPr>
          <w:rFonts w:hint="default" w:ascii="Times New Roman" w:hAnsi="Times New Roman" w:cs="Times New Roman"/>
          <w:spacing w:val="0"/>
        </w:rPr>
        <w:t>（一）加强绿色低碳创新能力建设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30</w:t>
      </w:r>
      <w:r>
        <w:rPr>
          <w:rFonts w:hint="default" w:ascii="Times New Roman" w:hAnsi="Times New Roman" w:cs="Times New Roman"/>
          <w:spacing w:val="0"/>
        </w:rPr>
        <w:t>. 加快培育绿色技术创新主体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围绕主导产业升级、节能、低碳、资源综合利用、环境治理等领域，建设一批面向全省创新驱动和产业集群发展的新型研发机构，打造集技术开发、成果转化、技术服务等功能于一体的战略性创新平台。支持企业创建绿色企业技术中心、绿色技术工程中心、绿色技术创新中心等绿色产业领域专业研发机构，鼓励现有省级研发平台积极申报国家级研发平台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31</w:t>
      </w:r>
      <w:r>
        <w:rPr>
          <w:rFonts w:hint="default" w:ascii="Times New Roman" w:hAnsi="Times New Roman" w:cs="Times New Roman"/>
          <w:spacing w:val="0"/>
        </w:rPr>
        <w:t>. 加强绿色低碳技术研发攻关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面向信创、半导体、新能源汽车、高端装备、生物医药大健康、智能制造等产业领域的绿色低碳发展需求，建立以企业为主体、市场为导向、产学研用紧密结合的技术创新体系，统筹推进绿色技术攻关。支持光伏企业加强隧穿氧化层钝化接触（TOPCon）、异质结（HJT）、钙钛矿等下一代电池技术研发。支持企业在碳封存、碳捕捉等技术方面的研发合作，争取科技成果在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落地转化。支持企业、高校院所在余热余压利用、脱硫脱硝、固废/危废处理等领域联合开发一批节能环保装备和产品。鼓励企业积极参与国家级绿色系统集成项目、山西省重大科技专项项目，开展以资源综合利用和节能环保为重点的绿色技术改造项目，争取地方财政给予配套支持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32</w:t>
      </w:r>
      <w:r>
        <w:rPr>
          <w:rFonts w:hint="default" w:ascii="Times New Roman" w:hAnsi="Times New Roman" w:cs="Times New Roman"/>
          <w:spacing w:val="0"/>
        </w:rPr>
        <w:t>. 搭建绿色低碳技术服务平台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eastAsia" w:cs="Times New Roman"/>
          <w:b w:val="0"/>
          <w:bCs/>
          <w:spacing w:val="0"/>
          <w:lang w:val="en-US" w:eastAsia="zh-CN"/>
        </w:rPr>
        <w:t>支持园区</w:t>
      </w:r>
      <w:r>
        <w:rPr>
          <w:rFonts w:hint="default" w:ascii="Times New Roman" w:hAnsi="Times New Roman" w:cs="Times New Roman"/>
          <w:b w:val="0"/>
          <w:bCs/>
          <w:spacing w:val="0"/>
        </w:rPr>
        <w:t>领军企业</w:t>
      </w:r>
      <w:r>
        <w:rPr>
          <w:rFonts w:hint="eastAsia" w:cs="Times New Roman"/>
          <w:b w:val="0"/>
          <w:bCs/>
          <w:spacing w:val="0"/>
          <w:lang w:val="en-US" w:eastAsia="zh-CN"/>
        </w:rPr>
        <w:t>联合</w:t>
      </w:r>
      <w:r>
        <w:rPr>
          <w:rFonts w:hint="default" w:ascii="Times New Roman" w:hAnsi="Times New Roman" w:cs="Times New Roman"/>
          <w:b w:val="0"/>
          <w:bCs/>
          <w:spacing w:val="0"/>
        </w:rPr>
        <w:t>高校、科研机构共同组建绿色技术产学研合作联盟，构建面向企业需求导向的产学研协同发展机制。支持光伏、氢能、节能环保等行业领军企业搭建绿色产业公共技术服务平台，为园区中小企业提供研发设计、检验检测、设备共享等一系列技术服务。引进一批知识产权运营服务机构，鼓励清洁生产、清洁能源、碳服务等领域企业开展知识产权贯标。到2025年，新引进培育绿色产业领域各类科技服务机构3家以上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52" w:name="_Toc165193101"/>
      <w:bookmarkEnd w:id="52"/>
      <w:bookmarkStart w:id="53" w:name="_Toc159167734"/>
      <w:bookmarkEnd w:id="53"/>
      <w:bookmarkStart w:id="54" w:name="_Toc157780750"/>
      <w:bookmarkEnd w:id="54"/>
      <w:bookmarkStart w:id="55" w:name="_Toc157162375"/>
      <w:bookmarkEnd w:id="55"/>
      <w:bookmarkStart w:id="56" w:name="_Hlk155259417"/>
      <w:r>
        <w:rPr>
          <w:rFonts w:hint="default" w:ascii="Times New Roman" w:hAnsi="Times New Roman" w:cs="Times New Roman"/>
          <w:spacing w:val="0"/>
        </w:rPr>
        <w:t>（二）强化绿色低碳创新人才培养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33</w:t>
      </w:r>
      <w:r>
        <w:rPr>
          <w:rFonts w:hint="default" w:ascii="Times New Roman" w:hAnsi="Times New Roman" w:cs="Times New Roman"/>
          <w:spacing w:val="0"/>
        </w:rPr>
        <w:t>.引进绿色产业高层次人才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实施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绿色产业人才战略，建立绿色产业高端人才数据库，重点引进一批高层次领军人才团队。围绕第三代半导体、大数据、新能源、新材料、生物医药、高端装备制造等领域，推进建立绿色低碳高层次人才工作服务基地、产学研中心，加强人才小高地、博士后工作站建设，吸引绿色低碳领域高层次人才入驻。创新“候鸟型”人才引进和使用机制，培育和引进一批绿色低碳领域的领军人才、高层次创新人才和团队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r>
        <w:rPr>
          <w:rFonts w:hint="eastAsia" w:ascii="Times New Roman" w:hAnsi="Times New Roman" w:cs="Times New Roman"/>
          <w:spacing w:val="0"/>
          <w:lang w:val="en-US" w:eastAsia="zh-CN"/>
        </w:rPr>
        <w:t>34</w:t>
      </w:r>
      <w:r>
        <w:rPr>
          <w:rFonts w:hint="default" w:ascii="Times New Roman" w:hAnsi="Times New Roman" w:cs="Times New Roman"/>
          <w:spacing w:val="0"/>
        </w:rPr>
        <w:t>.促进绿色产业人才产教融合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深化产教融合、科教融合，面向绿色低碳发展需求开展应用基础研究和应用研究，鼓励校企联合开展产学合作协同育人项目。发挥市高端装备制造产教联合体作用，促进教育链、人才链与创新链、产业链深度融合，为加快装备制造产业发展全面赋能。鼓励绿色产业骨干企业创新企校双师带徒、定向培养、以赛代培、以赛促训等模式，培育一批新型技术技能型人才。</w:t>
      </w:r>
    </w:p>
    <w:bookmarkEnd w:id="56"/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b w:val="0"/>
          <w:bCs/>
          <w:spacing w:val="0"/>
        </w:rPr>
      </w:pPr>
      <w:bookmarkStart w:id="57" w:name="_Toc157779254"/>
      <w:bookmarkEnd w:id="57"/>
      <w:r>
        <w:rPr>
          <w:rFonts w:hint="eastAsia" w:ascii="Times New Roman" w:hAnsi="Times New Roman" w:cs="Times New Roman"/>
          <w:spacing w:val="0"/>
          <w:lang w:val="en-US" w:eastAsia="zh-CN"/>
        </w:rPr>
        <w:t>35</w:t>
      </w:r>
      <w:r>
        <w:rPr>
          <w:rFonts w:hint="default" w:ascii="Times New Roman" w:hAnsi="Times New Roman" w:cs="Times New Roman"/>
          <w:spacing w:val="0"/>
        </w:rPr>
        <w:t>.发挥企业家“探路者”和“领跑者”作用</w:t>
      </w:r>
      <w:r>
        <w:rPr>
          <w:rFonts w:hint="eastAsia" w:ascii="Times New Roman" w:hAnsi="Times New Roman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b w:val="0"/>
          <w:bCs/>
          <w:spacing w:val="0"/>
        </w:rPr>
        <w:t>鼓励企业家加强双碳人才培育和引进，推动企业技术创新和管理创新，应用新技术、开发新产品、发展新业态，促进企业绿色低碳可持续发展。以招商引资为突破，吸引一批致力绿色低碳发展的优质企业家到</w:t>
      </w:r>
      <w:r>
        <w:rPr>
          <w:rFonts w:hint="eastAsia" w:cs="Times New Roman"/>
          <w:b w:val="0"/>
          <w:bCs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b w:val="0"/>
          <w:bCs/>
          <w:spacing w:val="0"/>
        </w:rPr>
        <w:t>投资兴业，壮大企业家队伍。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/>
        <w:rPr>
          <w:rFonts w:hint="default" w:ascii="Times New Roman" w:hAnsi="Times New Roman" w:cs="Times New Roman"/>
          <w:b/>
          <w:bCs w:val="0"/>
          <w:spacing w:val="0"/>
        </w:rPr>
      </w:pPr>
      <w:bookmarkStart w:id="58" w:name="_Toc157780751"/>
      <w:bookmarkEnd w:id="58"/>
      <w:bookmarkStart w:id="59" w:name="_Toc157162376"/>
      <w:bookmarkEnd w:id="59"/>
      <w:bookmarkStart w:id="60" w:name="_Toc159167735"/>
      <w:bookmarkEnd w:id="60"/>
      <w:bookmarkStart w:id="61" w:name="_Toc165193102"/>
      <w:bookmarkEnd w:id="61"/>
      <w:r>
        <w:rPr>
          <w:rFonts w:hint="default" w:ascii="Times New Roman" w:hAnsi="Times New Roman" w:cs="Times New Roman"/>
          <w:b/>
          <w:bCs w:val="0"/>
          <w:spacing w:val="0"/>
        </w:rPr>
        <w:t>五、政策创新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62" w:name="_Toc159167736"/>
      <w:bookmarkEnd w:id="62"/>
      <w:bookmarkStart w:id="63" w:name="_Toc165193103"/>
      <w:bookmarkEnd w:id="63"/>
      <w:bookmarkStart w:id="64" w:name="_Toc157780752"/>
      <w:bookmarkEnd w:id="64"/>
      <w:bookmarkStart w:id="65" w:name="_Toc157162377"/>
      <w:bookmarkEnd w:id="65"/>
      <w:r>
        <w:rPr>
          <w:rFonts w:hint="default" w:ascii="Times New Roman" w:hAnsi="Times New Roman" w:cs="Times New Roman"/>
          <w:spacing w:val="0"/>
        </w:rPr>
        <w:t>（一）</w:t>
      </w:r>
      <w:r>
        <w:rPr>
          <w:rFonts w:hint="eastAsia" w:cs="Times New Roman"/>
          <w:spacing w:val="0"/>
          <w:lang w:val="en-US" w:eastAsia="zh-CN"/>
        </w:rPr>
        <w:t>稳妥推进</w:t>
      </w:r>
      <w:r>
        <w:rPr>
          <w:rFonts w:hint="default" w:ascii="Times New Roman" w:hAnsi="Times New Roman" w:cs="Times New Roman"/>
          <w:spacing w:val="0"/>
        </w:rPr>
        <w:t>碳金融市场创新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36.</w:t>
      </w:r>
      <w:r>
        <w:rPr>
          <w:rFonts w:hint="default" w:ascii="Times New Roman" w:hAnsi="Times New Roman" w:cs="Times New Roman"/>
          <w:spacing w:val="0"/>
        </w:rPr>
        <w:t>发挥国家气候投融资试点建设城市优势，</w:t>
      </w:r>
      <w:r>
        <w:rPr>
          <w:rFonts w:hint="eastAsia" w:cs="Times New Roman"/>
          <w:spacing w:val="0"/>
          <w:lang w:val="en-US" w:eastAsia="zh-CN"/>
        </w:rPr>
        <w:t>依托</w:t>
      </w:r>
      <w:r>
        <w:rPr>
          <w:rFonts w:hint="default" w:ascii="Times New Roman" w:hAnsi="Times New Roman" w:cs="Times New Roman"/>
          <w:spacing w:val="0"/>
        </w:rPr>
        <w:t>碳金融为园区拓宽融资渠道、降低融资成本。开展气候投融资产品创新，丰富与气候效益相挂钩的产品和服务，为试点建设引流资金。探索建立完善的绿色信贷体系，通过建立绿色发展基金、低碳转型基金、生态保护基金等撬动社会资金。完善针对市场主体的政策，如绿色金融、绿色税收、绿色补贴、碳排放交易等，发挥市场在要素资源配置中的决定性作用，提高市场主体绿色创新、投资、生产和经营的积极性和主动性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66" w:name="_Toc157162378"/>
      <w:bookmarkEnd w:id="66"/>
      <w:bookmarkStart w:id="67" w:name="_Toc165193104"/>
      <w:bookmarkEnd w:id="67"/>
      <w:bookmarkStart w:id="68" w:name="_Toc159167737"/>
      <w:bookmarkEnd w:id="68"/>
      <w:bookmarkStart w:id="69" w:name="_Toc157780753"/>
      <w:bookmarkEnd w:id="69"/>
      <w:r>
        <w:rPr>
          <w:rFonts w:hint="default" w:ascii="Times New Roman" w:hAnsi="Times New Roman" w:cs="Times New Roman"/>
          <w:spacing w:val="0"/>
        </w:rPr>
        <w:t>（二）</w:t>
      </w:r>
      <w:r>
        <w:rPr>
          <w:rFonts w:hint="eastAsia" w:cs="Times New Roman"/>
          <w:spacing w:val="0"/>
          <w:lang w:val="en-US" w:eastAsia="zh-CN"/>
        </w:rPr>
        <w:t>推动建立</w:t>
      </w:r>
      <w:r>
        <w:rPr>
          <w:rFonts w:hint="default" w:ascii="Times New Roman" w:hAnsi="Times New Roman" w:cs="Times New Roman"/>
          <w:spacing w:val="0"/>
        </w:rPr>
        <w:t>碳排放披露制度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color w:val="auto"/>
          <w:spacing w:val="0"/>
        </w:rPr>
      </w:pPr>
      <w:bookmarkStart w:id="70" w:name="_Hlk164203936"/>
      <w:bookmarkEnd w:id="70"/>
      <w:r>
        <w:rPr>
          <w:rFonts w:hint="eastAsia" w:cs="Times New Roman"/>
          <w:spacing w:val="0"/>
          <w:lang w:val="en-US" w:eastAsia="zh-CN"/>
        </w:rPr>
        <w:t>37.</w:t>
      </w:r>
      <w:r>
        <w:rPr>
          <w:rFonts w:hint="default" w:ascii="Times New Roman" w:hAnsi="Times New Roman" w:cs="Times New Roman"/>
          <w:spacing w:val="0"/>
        </w:rPr>
        <w:t>开展覆盖园区重点企业、建筑、交通等设施的全口径碳足迹核算，摸清园区碳排放家底。</w:t>
      </w:r>
      <w:r>
        <w:rPr>
          <w:rFonts w:hint="default" w:ascii="Times New Roman" w:hAnsi="Times New Roman" w:cs="Times New Roman"/>
          <w:color w:val="auto"/>
          <w:spacing w:val="0"/>
        </w:rPr>
        <w:t>构建碳检测与碳核算系统，探索建立园区重点行业碳足迹背景数据库，为企业开展产品碳足迹核算提供公共服务。鼓励企业按照市场化原则自愿开展产品碳标识认证，引导其在产品或包装物、广告等位置标注和使用碳标识，开展碳足迹、碳标签的溯源认证体系，开展重点产品的碳足迹管理。启动重点出口产品零碳评价标准和认证技术规范试点，建成省内首个开展产品碳标签试点园区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71" w:name="_Toc157780754"/>
      <w:bookmarkEnd w:id="71"/>
      <w:bookmarkStart w:id="72" w:name="_Toc165193105"/>
      <w:bookmarkEnd w:id="72"/>
      <w:bookmarkStart w:id="73" w:name="_Toc159167738"/>
      <w:bookmarkEnd w:id="73"/>
      <w:bookmarkStart w:id="74" w:name="_Toc157162379"/>
      <w:bookmarkEnd w:id="74"/>
      <w:r>
        <w:rPr>
          <w:rFonts w:hint="default" w:ascii="Times New Roman" w:hAnsi="Times New Roman" w:cs="Times New Roman"/>
          <w:spacing w:val="0"/>
        </w:rPr>
        <w:t>（三）</w:t>
      </w:r>
      <w:r>
        <w:rPr>
          <w:rFonts w:hint="eastAsia" w:cs="Times New Roman"/>
          <w:spacing w:val="0"/>
          <w:lang w:val="en-US" w:eastAsia="zh-CN"/>
        </w:rPr>
        <w:t>完善</w:t>
      </w:r>
      <w:r>
        <w:rPr>
          <w:rFonts w:hint="default" w:ascii="Times New Roman" w:hAnsi="Times New Roman" w:cs="Times New Roman"/>
          <w:spacing w:val="0"/>
        </w:rPr>
        <w:t>能源管理</w:t>
      </w:r>
      <w:r>
        <w:rPr>
          <w:rFonts w:hint="eastAsia" w:cs="Times New Roman"/>
          <w:spacing w:val="0"/>
          <w:lang w:val="en-US" w:eastAsia="zh-CN"/>
        </w:rPr>
        <w:t>和监测</w:t>
      </w:r>
      <w:r>
        <w:rPr>
          <w:rFonts w:hint="default" w:ascii="Times New Roman" w:hAnsi="Times New Roman" w:cs="Times New Roman"/>
          <w:spacing w:val="0"/>
        </w:rPr>
        <w:t>制度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color w:val="auto"/>
          <w:spacing w:val="0"/>
          <w:lang w:val="en-US" w:eastAsia="zh-CN"/>
        </w:rPr>
        <w:t>38.</w:t>
      </w:r>
      <w:r>
        <w:rPr>
          <w:rFonts w:hint="default" w:ascii="Times New Roman" w:hAnsi="Times New Roman" w:cs="Times New Roman"/>
          <w:color w:val="auto"/>
          <w:spacing w:val="0"/>
        </w:rPr>
        <w:t>开展区域节能评价审查管理</w:t>
      </w:r>
      <w:r>
        <w:rPr>
          <w:rFonts w:hint="eastAsia" w:cs="Times New Roman"/>
          <w:color w:val="auto"/>
          <w:spacing w:val="0"/>
          <w:lang w:eastAsia="zh-CN"/>
        </w:rPr>
        <w:t>，</w:t>
      </w:r>
      <w:r>
        <w:rPr>
          <w:rFonts w:hint="default" w:ascii="Times New Roman" w:hAnsi="Times New Roman" w:cs="Times New Roman"/>
          <w:color w:val="auto"/>
          <w:spacing w:val="0"/>
        </w:rPr>
        <w:t>完善区域能源管理制度，设立企业能源管理体制、区域能耗监测预警机制、区域能源管理信息系统，落实能源计量管理，开展能效对标管理等一系列体制机制创新</w:t>
      </w:r>
      <w:r>
        <w:rPr>
          <w:rFonts w:hint="default" w:ascii="Times New Roman" w:hAnsi="Times New Roman" w:cs="Times New Roman"/>
          <w:spacing w:val="0"/>
        </w:rPr>
        <w:t>。建立完善公共机构能源审计、能效公示和能耗定额管理制度，加强能耗监测平台和节能监管体系建设。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75" w:name="_Toc157780755"/>
      <w:bookmarkEnd w:id="75"/>
      <w:bookmarkStart w:id="76" w:name="_Toc157162380"/>
      <w:bookmarkEnd w:id="76"/>
      <w:bookmarkStart w:id="77" w:name="_Toc159167739"/>
      <w:bookmarkEnd w:id="77"/>
      <w:bookmarkStart w:id="78" w:name="_Toc165193106"/>
      <w:bookmarkEnd w:id="78"/>
      <w:r>
        <w:rPr>
          <w:rFonts w:hint="default" w:ascii="Times New Roman" w:hAnsi="Times New Roman" w:cs="Times New Roman"/>
          <w:spacing w:val="0"/>
        </w:rPr>
        <w:t>（四）</w:t>
      </w:r>
      <w:r>
        <w:rPr>
          <w:rFonts w:hint="eastAsia" w:cs="Times New Roman"/>
          <w:spacing w:val="0"/>
          <w:lang w:val="en-US" w:eastAsia="zh-CN"/>
        </w:rPr>
        <w:t>建立健全</w:t>
      </w:r>
      <w:r>
        <w:rPr>
          <w:rFonts w:hint="default" w:ascii="Times New Roman" w:hAnsi="Times New Roman" w:cs="Times New Roman"/>
          <w:spacing w:val="0"/>
        </w:rPr>
        <w:t>科技和人才政策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39.</w:t>
      </w:r>
      <w:r>
        <w:rPr>
          <w:rFonts w:hint="default" w:ascii="Times New Roman" w:hAnsi="Times New Roman" w:cs="Times New Roman"/>
          <w:spacing w:val="0"/>
        </w:rPr>
        <w:t>完善低碳科研成果转化机制、奖励机制、监督评估机制、科技信息咨询服务机制以及国际合作交流机制。</w:t>
      </w:r>
      <w:r>
        <w:rPr>
          <w:rFonts w:hint="eastAsia" w:cs="Times New Roman"/>
          <w:spacing w:val="0"/>
          <w:lang w:val="en-US" w:eastAsia="zh-CN"/>
        </w:rPr>
        <w:t>支持</w:t>
      </w:r>
      <w:r>
        <w:rPr>
          <w:rFonts w:hint="default" w:ascii="Times New Roman" w:hAnsi="Times New Roman" w:cs="Times New Roman"/>
          <w:spacing w:val="0"/>
        </w:rPr>
        <w:t>通过设立博士后工作站、新能源工程研究中心和人才基地等方式，推进低碳经济学研用相结合。</w:t>
      </w:r>
      <w:r>
        <w:rPr>
          <w:rFonts w:hint="eastAsia" w:cs="Times New Roman"/>
          <w:spacing w:val="0"/>
          <w:lang w:val="en-US" w:eastAsia="zh-CN"/>
        </w:rPr>
        <w:t>加强</w:t>
      </w:r>
      <w:r>
        <w:rPr>
          <w:rFonts w:hint="default" w:ascii="Times New Roman" w:hAnsi="Times New Roman" w:cs="Times New Roman"/>
          <w:spacing w:val="0"/>
        </w:rPr>
        <w:t>与国内外</w:t>
      </w:r>
      <w:r>
        <w:rPr>
          <w:rFonts w:hint="eastAsia" w:cs="Times New Roman"/>
          <w:spacing w:val="0"/>
          <w:lang w:val="en-US" w:eastAsia="zh-CN"/>
        </w:rPr>
        <w:t>知名</w:t>
      </w:r>
      <w:r>
        <w:rPr>
          <w:rFonts w:hint="default" w:ascii="Times New Roman" w:hAnsi="Times New Roman" w:cs="Times New Roman"/>
          <w:spacing w:val="0"/>
        </w:rPr>
        <w:t>高校、智库</w:t>
      </w:r>
      <w:r>
        <w:rPr>
          <w:rFonts w:hint="eastAsia" w:cs="Times New Roman"/>
          <w:spacing w:val="0"/>
          <w:lang w:val="en-US" w:eastAsia="zh-CN"/>
        </w:rPr>
        <w:t>的合作，</w:t>
      </w:r>
      <w:r>
        <w:rPr>
          <w:rFonts w:hint="default" w:ascii="Times New Roman" w:hAnsi="Times New Roman" w:cs="Times New Roman"/>
          <w:spacing w:val="0"/>
        </w:rPr>
        <w:t>联合开展低碳领域高端人才培养。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/>
        <w:rPr>
          <w:rFonts w:hint="default" w:ascii="Times New Roman" w:hAnsi="Times New Roman" w:cs="Times New Roman"/>
          <w:b/>
          <w:bCs w:val="0"/>
          <w:spacing w:val="0"/>
        </w:rPr>
      </w:pPr>
      <w:bookmarkStart w:id="79" w:name="_Toc159167741"/>
      <w:bookmarkEnd w:id="79"/>
      <w:bookmarkStart w:id="80" w:name="_Toc157162382"/>
      <w:bookmarkEnd w:id="80"/>
      <w:bookmarkStart w:id="81" w:name="_Toc165193108"/>
      <w:bookmarkEnd w:id="81"/>
      <w:bookmarkStart w:id="82" w:name="_Toc157780757"/>
      <w:bookmarkEnd w:id="82"/>
      <w:r>
        <w:rPr>
          <w:rFonts w:hint="default" w:ascii="Times New Roman" w:hAnsi="Times New Roman" w:cs="Times New Roman"/>
          <w:b/>
          <w:bCs w:val="0"/>
          <w:spacing w:val="0"/>
        </w:rPr>
        <w:t>六、全民行动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83" w:name="_Toc159167742"/>
      <w:bookmarkEnd w:id="83"/>
      <w:bookmarkStart w:id="84" w:name="_Toc157162383"/>
      <w:bookmarkEnd w:id="84"/>
      <w:bookmarkStart w:id="85" w:name="_Toc165193109"/>
      <w:bookmarkEnd w:id="85"/>
      <w:bookmarkStart w:id="86" w:name="_Toc157780758"/>
      <w:bookmarkEnd w:id="86"/>
      <w:r>
        <w:rPr>
          <w:rFonts w:hint="default" w:ascii="Times New Roman" w:hAnsi="Times New Roman" w:cs="Times New Roman"/>
          <w:spacing w:val="0"/>
        </w:rPr>
        <w:t>（一）生活低碳行动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40.</w:t>
      </w:r>
      <w:r>
        <w:rPr>
          <w:rFonts w:hint="default" w:ascii="Times New Roman" w:hAnsi="Times New Roman" w:cs="Times New Roman"/>
          <w:spacing w:val="0"/>
        </w:rPr>
        <w:t>发布</w:t>
      </w:r>
      <w:r>
        <w:rPr>
          <w:rFonts w:hint="eastAsia" w:cs="Times New Roman"/>
          <w:spacing w:val="0"/>
          <w:lang w:val="en-US" w:eastAsia="zh-CN"/>
        </w:rPr>
        <w:t>园区</w:t>
      </w:r>
      <w:r>
        <w:rPr>
          <w:rFonts w:hint="default" w:ascii="Times New Roman" w:hAnsi="Times New Roman" w:cs="Times New Roman"/>
          <w:spacing w:val="0"/>
        </w:rPr>
        <w:t>绿色生产生活行为公约，打造一批绿色企业、绿色家庭、绿色</w:t>
      </w:r>
      <w:r>
        <w:rPr>
          <w:rFonts w:hint="default" w:ascii="Times New Roman" w:hAnsi="Times New Roman" w:cs="Times New Roman"/>
          <w:color w:val="auto"/>
          <w:spacing w:val="0"/>
        </w:rPr>
        <w:t>单位。推动吃、穿、住、行、用等各领域消费绿色转型，积极倡导全社会践行绿色出行方式，加强绿色消费理念，减少一次性用品（包括一次性餐具、塑料袋）使用。引入</w:t>
      </w:r>
      <w:r>
        <w:rPr>
          <w:rFonts w:hint="default" w:ascii="Times New Roman" w:hAnsi="Times New Roman" w:cs="Times New Roman"/>
          <w:spacing w:val="0"/>
        </w:rPr>
        <w:t>碳普惠机制，</w:t>
      </w:r>
      <w:r>
        <w:rPr>
          <w:rFonts w:hint="eastAsia" w:cs="Times New Roman"/>
          <w:spacing w:val="0"/>
          <w:lang w:val="en-US" w:eastAsia="zh-CN"/>
        </w:rPr>
        <w:t>建设</w:t>
      </w:r>
      <w:r>
        <w:rPr>
          <w:rFonts w:hint="default" w:ascii="Times New Roman" w:hAnsi="Times New Roman" w:cs="Times New Roman"/>
          <w:spacing w:val="0"/>
        </w:rPr>
        <w:t>园区碳普惠平台，引导园区民众绿色生活方式。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87" w:name="_Toc157162384"/>
      <w:bookmarkEnd w:id="87"/>
      <w:bookmarkStart w:id="88" w:name="_Toc159167743"/>
      <w:bookmarkEnd w:id="88"/>
      <w:bookmarkStart w:id="89" w:name="_Toc165193110"/>
      <w:bookmarkEnd w:id="89"/>
      <w:bookmarkStart w:id="90" w:name="_Toc157780759"/>
      <w:bookmarkEnd w:id="90"/>
      <w:r>
        <w:rPr>
          <w:rFonts w:hint="default" w:ascii="Times New Roman" w:hAnsi="Times New Roman" w:cs="Times New Roman"/>
          <w:spacing w:val="0"/>
        </w:rPr>
        <w:t>（二）企业低碳行动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41.</w:t>
      </w:r>
      <w:r>
        <w:rPr>
          <w:rFonts w:hint="default" w:ascii="Times New Roman" w:hAnsi="Times New Roman" w:cs="Times New Roman"/>
          <w:spacing w:val="0"/>
        </w:rPr>
        <w:t>制定区域内重点用能单位碳减排路径和工作方案</w:t>
      </w:r>
      <w:r>
        <w:rPr>
          <w:rFonts w:hint="eastAsia" w:cs="Times New Roman"/>
          <w:spacing w:val="0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  <w:spacing w:val="0"/>
        </w:rPr>
        <w:t>开展低碳、零碳先进技术和工艺的应用示范。推</w:t>
      </w:r>
      <w:r>
        <w:rPr>
          <w:rFonts w:hint="default" w:ascii="Times New Roman" w:hAnsi="Times New Roman" w:cs="Times New Roman"/>
          <w:spacing w:val="0"/>
        </w:rPr>
        <w:t>进节能低碳技术研发推广应用，</w:t>
      </w:r>
      <w:r>
        <w:rPr>
          <w:rFonts w:hint="eastAsia" w:cs="Times New Roman"/>
          <w:spacing w:val="0"/>
          <w:lang w:val="en-US" w:eastAsia="zh-CN"/>
        </w:rPr>
        <w:t>支持</w:t>
      </w:r>
      <w:r>
        <w:rPr>
          <w:rFonts w:hint="default" w:ascii="Times New Roman" w:hAnsi="Times New Roman" w:cs="Times New Roman"/>
          <w:spacing w:val="0"/>
        </w:rPr>
        <w:t>数字化信息化技术在节能、清洁能源领域的创新融合。持续开展污染物近零排放工作，分行业做好废水零排、废气治理及固废综合利用工作。积极开展绿色工厂、绿色供应链、智能制造示范等建设。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91" w:name="_Toc157162385"/>
      <w:bookmarkEnd w:id="91"/>
      <w:bookmarkStart w:id="92" w:name="_Toc159167744"/>
      <w:bookmarkEnd w:id="92"/>
      <w:bookmarkStart w:id="93" w:name="_Toc165193111"/>
      <w:bookmarkEnd w:id="93"/>
      <w:bookmarkStart w:id="94" w:name="_Toc157780760"/>
      <w:bookmarkEnd w:id="94"/>
      <w:r>
        <w:rPr>
          <w:rFonts w:hint="default" w:ascii="Times New Roman" w:hAnsi="Times New Roman" w:cs="Times New Roman"/>
          <w:spacing w:val="0"/>
        </w:rPr>
        <w:t>（三）科普培训行动</w:t>
      </w:r>
    </w:p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42.</w:t>
      </w:r>
      <w:r>
        <w:rPr>
          <w:rFonts w:hint="default" w:ascii="Times New Roman" w:hAnsi="Times New Roman" w:cs="Times New Roman"/>
          <w:spacing w:val="0"/>
        </w:rPr>
        <w:t>强化领导干部教育培训，切实增强推动绿色低碳发展的本领。每年定期举办节能宣传周活动，开展节能降耗宣传活动</w:t>
      </w:r>
      <w:r>
        <w:rPr>
          <w:rFonts w:hint="eastAsia" w:cs="Times New Roman"/>
          <w:spacing w:val="0"/>
          <w:lang w:eastAsia="zh-CN"/>
        </w:rPr>
        <w:t>。</w:t>
      </w:r>
      <w:r>
        <w:rPr>
          <w:rFonts w:hint="eastAsia" w:cs="Times New Roman"/>
          <w:spacing w:val="0"/>
          <w:lang w:val="en-US" w:eastAsia="zh-CN"/>
        </w:rPr>
        <w:t>支持</w:t>
      </w:r>
      <w:r>
        <w:rPr>
          <w:rFonts w:hint="default" w:ascii="Times New Roman" w:hAnsi="Times New Roman" w:cs="Times New Roman"/>
          <w:spacing w:val="0"/>
        </w:rPr>
        <w:t>企事业单位、群团组织、园区企业开展生态文明科普教育，普及碳达峰碳中和基础知识。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/>
        <w:rPr>
          <w:rFonts w:hint="default" w:ascii="Times New Roman" w:hAnsi="Times New Roman" w:cs="Times New Roman"/>
          <w:spacing w:val="0"/>
        </w:rPr>
      </w:pPr>
      <w:bookmarkStart w:id="95" w:name="_Toc159167745"/>
      <w:bookmarkEnd w:id="95"/>
      <w:bookmarkStart w:id="96" w:name="_Toc157780761"/>
      <w:bookmarkEnd w:id="96"/>
      <w:bookmarkStart w:id="97" w:name="_Toc157162386"/>
      <w:bookmarkEnd w:id="97"/>
      <w:bookmarkStart w:id="98" w:name="_Toc165193112"/>
      <w:bookmarkEnd w:id="98"/>
      <w:r>
        <w:rPr>
          <w:rFonts w:hint="default" w:ascii="Times New Roman" w:hAnsi="Times New Roman" w:cs="Times New Roman"/>
          <w:spacing w:val="0"/>
        </w:rPr>
        <w:t>七、保障措施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99" w:name="_Toc159167746"/>
      <w:bookmarkEnd w:id="99"/>
      <w:bookmarkStart w:id="100" w:name="_Toc157162387"/>
      <w:bookmarkEnd w:id="100"/>
      <w:bookmarkStart w:id="101" w:name="_Toc165193113"/>
      <w:bookmarkEnd w:id="101"/>
      <w:bookmarkStart w:id="102" w:name="_Toc157780762"/>
      <w:bookmarkEnd w:id="102"/>
      <w:bookmarkStart w:id="103" w:name="_Toc157980736"/>
      <w:bookmarkStart w:id="104" w:name="_Toc157980820"/>
      <w:r>
        <w:rPr>
          <w:rFonts w:hint="default" w:ascii="Times New Roman" w:hAnsi="Times New Roman" w:cs="Times New Roman"/>
          <w:spacing w:val="0"/>
        </w:rPr>
        <w:t>（一）加强组织领导</w:t>
      </w:r>
    </w:p>
    <w:bookmarkEnd w:id="103"/>
    <w:bookmarkEnd w:id="104"/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/>
        </w:rPr>
      </w:pPr>
      <w:r>
        <w:rPr>
          <w:rFonts w:hint="eastAsia" w:cs="Times New Roman"/>
          <w:spacing w:val="0"/>
          <w:lang w:val="en-US" w:eastAsia="zh-CN"/>
        </w:rPr>
        <w:t>43.</w:t>
      </w:r>
      <w:r>
        <w:rPr>
          <w:rFonts w:hint="default"/>
        </w:rPr>
        <w:t>长治市政府加强对高新区碳达峰试点创建工作的统一领导</w:t>
      </w:r>
      <w:r>
        <w:rPr>
          <w:rFonts w:hint="eastAsia"/>
          <w:lang w:eastAsia="zh-CN"/>
        </w:rPr>
        <w:t>，</w:t>
      </w:r>
      <w:r>
        <w:rPr>
          <w:rFonts w:hint="default"/>
        </w:rPr>
        <w:t>成立以市长为组长，常务副市长、分管副市长为副组长，市发改、工信、能源等职能部门为成员的领导组，办公室设在长治市</w:t>
      </w:r>
      <w:r>
        <w:rPr>
          <w:rFonts w:hint="eastAsia"/>
          <w:lang w:val="en-US" w:eastAsia="zh-CN"/>
        </w:rPr>
        <w:t>发展改革</w:t>
      </w:r>
      <w:r>
        <w:rPr>
          <w:rFonts w:hint="default"/>
        </w:rPr>
        <w:t>委。专班领导组办公室加强统筹协调，定期对重点领域、重点行业工作进展情况进行调度，督促各项目标任务落实落细。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105" w:name="_Toc165193114"/>
      <w:bookmarkEnd w:id="105"/>
      <w:bookmarkStart w:id="106" w:name="_Toc159167747"/>
      <w:bookmarkEnd w:id="106"/>
      <w:bookmarkStart w:id="107" w:name="_Toc157162388"/>
      <w:bookmarkEnd w:id="107"/>
      <w:bookmarkStart w:id="108" w:name="_Toc157780763"/>
      <w:bookmarkEnd w:id="108"/>
      <w:bookmarkStart w:id="109" w:name="_Toc157980737"/>
      <w:bookmarkStart w:id="110" w:name="_Toc157980821"/>
      <w:r>
        <w:rPr>
          <w:rFonts w:hint="default" w:ascii="Times New Roman" w:hAnsi="Times New Roman" w:cs="Times New Roman"/>
          <w:spacing w:val="0"/>
        </w:rPr>
        <w:t>（二）压实工作责任</w:t>
      </w:r>
    </w:p>
    <w:bookmarkEnd w:id="109"/>
    <w:bookmarkEnd w:id="110"/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44.各部门和高新区要</w:t>
      </w:r>
      <w:r>
        <w:rPr>
          <w:rFonts w:hint="default" w:ascii="Times New Roman" w:hAnsi="Times New Roman" w:cs="Times New Roman"/>
          <w:spacing w:val="0"/>
        </w:rPr>
        <w:t>深刻认识碳达峰碳中和工作的重要性、紧迫性、复杂性，按照本方案确定的工作目标和重点任务，严格落实工作责任。专班成员单位</w:t>
      </w:r>
      <w:r>
        <w:rPr>
          <w:rFonts w:hint="eastAsia" w:cs="Times New Roman"/>
          <w:spacing w:val="0"/>
          <w:lang w:val="en-US" w:eastAsia="zh-CN"/>
        </w:rPr>
        <w:t>要</w:t>
      </w:r>
      <w:r>
        <w:rPr>
          <w:rFonts w:hint="default" w:ascii="Times New Roman" w:hAnsi="Times New Roman" w:cs="Times New Roman"/>
          <w:spacing w:val="0"/>
        </w:rPr>
        <w:t>按照职责分工，切实扛起责任，制定具体工作方案并分解落实到每个年度，明确推进措施，扎实抓好落地落实。专班各成员单位根据本方案制定并上报分年度目标任务和工作计划，专班办公室要及时做好相关工作的协调落实、监管服务和汇总上报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111" w:name="_Toc157162390"/>
      <w:bookmarkEnd w:id="111"/>
      <w:bookmarkStart w:id="112" w:name="_Toc165193115"/>
      <w:bookmarkEnd w:id="112"/>
      <w:bookmarkStart w:id="113" w:name="_Toc159167748"/>
      <w:bookmarkEnd w:id="113"/>
      <w:bookmarkStart w:id="114" w:name="_Toc157780764"/>
      <w:bookmarkEnd w:id="114"/>
      <w:bookmarkStart w:id="115" w:name="_Toc157980738"/>
      <w:bookmarkStart w:id="116" w:name="_Toc157980822"/>
      <w:r>
        <w:rPr>
          <w:rFonts w:hint="default" w:ascii="Times New Roman" w:hAnsi="Times New Roman" w:cs="Times New Roman"/>
          <w:spacing w:val="0"/>
        </w:rPr>
        <w:t>（三）强化资金保障</w:t>
      </w:r>
    </w:p>
    <w:bookmarkEnd w:id="115"/>
    <w:bookmarkEnd w:id="116"/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45.</w:t>
      </w:r>
      <w:r>
        <w:rPr>
          <w:rFonts w:hint="default" w:ascii="Times New Roman" w:hAnsi="Times New Roman" w:cs="Times New Roman"/>
          <w:spacing w:val="0"/>
        </w:rPr>
        <w:t>抓住建设国家碳达峰试点的机遇，积极争取国家、省级碳达峰相关的扶持资金。整合现有节能、环保等各领域财政资金，设立绿色低碳发展专项资金，统筹利用绿色基金、绿色债券、绿色信贷、碳交易等绿色金融工具，持续加大财政对碳达峰碳中和重大项目、重点企业的支持力度。按市场化方式探索创建高新区绿色产业投资基金，发挥基金杠杆放大作用，引入各类社会资本，支持绿色产业发展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117" w:name="_Toc159167749"/>
      <w:bookmarkEnd w:id="117"/>
      <w:bookmarkStart w:id="118" w:name="_Toc157162391"/>
      <w:bookmarkEnd w:id="118"/>
      <w:bookmarkStart w:id="119" w:name="_Toc157780765"/>
      <w:bookmarkEnd w:id="119"/>
      <w:bookmarkStart w:id="120" w:name="_Toc165193116"/>
      <w:bookmarkEnd w:id="120"/>
      <w:bookmarkStart w:id="121" w:name="_Toc157980739"/>
      <w:bookmarkStart w:id="122" w:name="_Toc157980823"/>
      <w:r>
        <w:rPr>
          <w:rFonts w:hint="default" w:ascii="Times New Roman" w:hAnsi="Times New Roman" w:cs="Times New Roman"/>
          <w:spacing w:val="0"/>
        </w:rPr>
        <w:t>（四）加大宣传教育</w:t>
      </w:r>
    </w:p>
    <w:bookmarkEnd w:id="121"/>
    <w:bookmarkEnd w:id="122"/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46.</w:t>
      </w:r>
      <w:r>
        <w:rPr>
          <w:rFonts w:hint="default" w:ascii="Times New Roman" w:hAnsi="Times New Roman" w:cs="Times New Roman"/>
          <w:spacing w:val="0"/>
        </w:rPr>
        <w:t>及时总结推进碳达峰、碳中和工作的做法成效，充分利用电视、广播、报刊、互联网、微信公众号等媒体，加强宣传报道，协同推广成功经验做法。利用世界地球日、世界环境日、节能宣传周、全国低碳日、无车日等共同开展主题宣传活动，宣传普及生态环境保护知识，大力推广绿色低碳生产生活方式，增强公众生态环境意识和责任意识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3"/>
        <w:rPr>
          <w:rFonts w:hint="default" w:ascii="Times New Roman" w:hAnsi="Times New Roman" w:cs="Times New Roman"/>
          <w:spacing w:val="0"/>
        </w:rPr>
      </w:pPr>
      <w:bookmarkStart w:id="123" w:name="_Toc165193117"/>
      <w:bookmarkEnd w:id="123"/>
      <w:bookmarkStart w:id="124" w:name="_Toc157780766"/>
      <w:bookmarkEnd w:id="124"/>
      <w:bookmarkStart w:id="125" w:name="_Toc159167750"/>
      <w:bookmarkEnd w:id="125"/>
      <w:bookmarkStart w:id="126" w:name="_Toc157162392"/>
      <w:bookmarkEnd w:id="126"/>
      <w:bookmarkStart w:id="127" w:name="_Toc157980740"/>
      <w:bookmarkStart w:id="128" w:name="_Hlk150113285"/>
      <w:bookmarkStart w:id="129" w:name="_Toc157980824"/>
      <w:r>
        <w:rPr>
          <w:rFonts w:hint="default" w:ascii="Times New Roman" w:hAnsi="Times New Roman" w:cs="Times New Roman"/>
          <w:spacing w:val="0"/>
        </w:rPr>
        <w:t>（五）严格监督考核</w:t>
      </w:r>
    </w:p>
    <w:bookmarkEnd w:id="127"/>
    <w:bookmarkEnd w:id="128"/>
    <w:bookmarkEnd w:id="129"/>
    <w:p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rightChars="0" w:firstLine="640" w:firstLineChars="200"/>
        <w:rPr>
          <w:rFonts w:hint="default" w:ascii="Times New Roman" w:hAnsi="Times New Roman" w:cs="Times New Roman"/>
          <w:spacing w:val="0"/>
        </w:rPr>
      </w:pPr>
      <w:r>
        <w:rPr>
          <w:rFonts w:hint="eastAsia" w:cs="Times New Roman"/>
          <w:spacing w:val="0"/>
          <w:lang w:val="en-US" w:eastAsia="zh-CN"/>
        </w:rPr>
        <w:t>47.</w:t>
      </w:r>
      <w:r>
        <w:rPr>
          <w:rFonts w:hint="default" w:ascii="Times New Roman" w:hAnsi="Times New Roman" w:cs="Times New Roman"/>
          <w:spacing w:val="0"/>
        </w:rPr>
        <w:t>建立园区碳达峰总体考核评价指标体系，并将指标细化量化具体化，明确考核范围、方法、指标制定和重点企业奖励机制设计。对碳达峰工作成效进行考核评价，成绩突出的单位和个人给予表彰奖励，对未完成目标任务的单位实行通报批评和约谈问责。</w:t>
      </w:r>
      <w:r>
        <w:rPr>
          <w:rFonts w:hint="default"/>
        </w:rPr>
        <w:t>专班领导组办公室</w:t>
      </w:r>
      <w:r>
        <w:rPr>
          <w:rFonts w:hint="eastAsia" w:cs="Times New Roman"/>
          <w:spacing w:val="0"/>
          <w:lang w:val="en-US" w:eastAsia="zh-CN"/>
        </w:rPr>
        <w:t>要</w:t>
      </w:r>
      <w:r>
        <w:rPr>
          <w:rFonts w:hint="default" w:ascii="Times New Roman" w:hAnsi="Times New Roman" w:cs="Times New Roman"/>
          <w:spacing w:val="0"/>
        </w:rPr>
        <w:t>组织开展碳达峰目标任务年度评估，制定年度重点任务和督办检查清单，不定期进行专项督查，有关工作进展和重大问题要及时向</w:t>
      </w:r>
      <w:r>
        <w:rPr>
          <w:rFonts w:hint="eastAsia" w:cs="Times New Roman"/>
          <w:spacing w:val="0"/>
          <w:lang w:val="en-US" w:eastAsia="zh-CN"/>
        </w:rPr>
        <w:t>试点</w:t>
      </w:r>
      <w:r>
        <w:rPr>
          <w:rFonts w:hint="default" w:ascii="Times New Roman" w:hAnsi="Times New Roman" w:cs="Times New Roman"/>
          <w:spacing w:val="0"/>
        </w:rPr>
        <w:t>领导组报告</w:t>
      </w:r>
      <w:bookmarkStart w:id="130" w:name="_Toc165193118"/>
      <w:bookmarkEnd w:id="130"/>
      <w:r>
        <w:rPr>
          <w:rFonts w:hint="eastAsia" w:cs="Times New Roman"/>
          <w:spacing w:val="0"/>
          <w:lang w:eastAsia="zh-CN"/>
        </w:rPr>
        <w:t>。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06F" w:usb1="1200FBEF" w:usb2="0004C000" w:usb3="00000000" w:csb0="00000001" w:csb1="4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left="130" w:right="196" w:hanging="17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1NDNhNjc1NzBjY2FlOGU2YjllYmQ2NGJmY2QzMTQifQ=="/>
  </w:docVars>
  <w:rsids>
    <w:rsidRoot w:val="008338D8"/>
    <w:rsid w:val="001842BF"/>
    <w:rsid w:val="002F415B"/>
    <w:rsid w:val="00542E1B"/>
    <w:rsid w:val="00633275"/>
    <w:rsid w:val="0067670F"/>
    <w:rsid w:val="006C72A0"/>
    <w:rsid w:val="006D358D"/>
    <w:rsid w:val="006E783A"/>
    <w:rsid w:val="007D521F"/>
    <w:rsid w:val="008338D8"/>
    <w:rsid w:val="00917381"/>
    <w:rsid w:val="00944E5F"/>
    <w:rsid w:val="00981D4A"/>
    <w:rsid w:val="00A94792"/>
    <w:rsid w:val="00C238AE"/>
    <w:rsid w:val="00C55448"/>
    <w:rsid w:val="00C72432"/>
    <w:rsid w:val="00DA2DAD"/>
    <w:rsid w:val="00DF3F7D"/>
    <w:rsid w:val="00E42796"/>
    <w:rsid w:val="00E84D8D"/>
    <w:rsid w:val="00EA39B2"/>
    <w:rsid w:val="00EB3F00"/>
    <w:rsid w:val="00FA0704"/>
    <w:rsid w:val="00FB1DAE"/>
    <w:rsid w:val="00FC1941"/>
    <w:rsid w:val="05F32F84"/>
    <w:rsid w:val="071F6B1B"/>
    <w:rsid w:val="0875400D"/>
    <w:rsid w:val="0B677C7C"/>
    <w:rsid w:val="0EF33A09"/>
    <w:rsid w:val="166D077F"/>
    <w:rsid w:val="1868595F"/>
    <w:rsid w:val="19DD358D"/>
    <w:rsid w:val="1BAE5700"/>
    <w:rsid w:val="1C7104B7"/>
    <w:rsid w:val="1DCF1239"/>
    <w:rsid w:val="201F5263"/>
    <w:rsid w:val="20D64231"/>
    <w:rsid w:val="22AF4D3A"/>
    <w:rsid w:val="24BB44A0"/>
    <w:rsid w:val="2A7F29B1"/>
    <w:rsid w:val="2ADB155F"/>
    <w:rsid w:val="2CF9552F"/>
    <w:rsid w:val="2D12121D"/>
    <w:rsid w:val="2EE002F3"/>
    <w:rsid w:val="30D32CE3"/>
    <w:rsid w:val="30D87BE2"/>
    <w:rsid w:val="381E0AF6"/>
    <w:rsid w:val="3CCF5BBF"/>
    <w:rsid w:val="3FBD4244"/>
    <w:rsid w:val="41664311"/>
    <w:rsid w:val="42631478"/>
    <w:rsid w:val="43A90509"/>
    <w:rsid w:val="44414698"/>
    <w:rsid w:val="45380094"/>
    <w:rsid w:val="45F57F36"/>
    <w:rsid w:val="478B4B7E"/>
    <w:rsid w:val="4F103E8C"/>
    <w:rsid w:val="4F310A65"/>
    <w:rsid w:val="51C05DDC"/>
    <w:rsid w:val="521B1D05"/>
    <w:rsid w:val="529A5574"/>
    <w:rsid w:val="56464D24"/>
    <w:rsid w:val="56746B8D"/>
    <w:rsid w:val="58E65065"/>
    <w:rsid w:val="59103752"/>
    <w:rsid w:val="5EED7EBD"/>
    <w:rsid w:val="61530701"/>
    <w:rsid w:val="65024A69"/>
    <w:rsid w:val="6594526C"/>
    <w:rsid w:val="666618FF"/>
    <w:rsid w:val="6F263C26"/>
    <w:rsid w:val="717A78A8"/>
    <w:rsid w:val="77C70B12"/>
    <w:rsid w:val="78206F50"/>
    <w:rsid w:val="7888138E"/>
    <w:rsid w:val="7BDF74C9"/>
    <w:rsid w:val="7D1B3071"/>
    <w:rsid w:val="7DAEC8F9"/>
    <w:rsid w:val="7DEB1174"/>
    <w:rsid w:val="7EFF1A65"/>
    <w:rsid w:val="7F2525F0"/>
    <w:rsid w:val="B7357CBA"/>
    <w:rsid w:val="BDCE4663"/>
    <w:rsid w:val="BEFB93E4"/>
    <w:rsid w:val="F7DFC7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99" w:semiHidden="0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7797"/>
      </w:tabs>
      <w:ind w:right="30"/>
      <w:jc w:val="both"/>
    </w:pPr>
    <w:rPr>
      <w:rFonts w:ascii="Times New Roman" w:hAnsi="Times New Roman" w:eastAsia="Times New Roman" w:cs="Times New Roman"/>
      <w:b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link w:val="39"/>
    <w:qFormat/>
    <w:uiPriority w:val="0"/>
    <w:pPr>
      <w:keepNext/>
      <w:keepLines/>
      <w:widowControl w:val="0"/>
      <w:tabs>
        <w:tab w:val="clear" w:pos="7797"/>
      </w:tabs>
      <w:spacing w:line="600" w:lineRule="exact"/>
      <w:ind w:right="0" w:firstLine="883" w:firstLineChars="200"/>
      <w:jc w:val="left"/>
      <w:outlineLvl w:val="0"/>
    </w:pPr>
    <w:rPr>
      <w:rFonts w:ascii="黑体" w:hAnsi="黑体" w:eastAsia="黑体" w:cs="Arial"/>
      <w:b w:val="0"/>
      <w:bCs/>
      <w:kern w:val="44"/>
      <w:sz w:val="32"/>
      <w:szCs w:val="20"/>
      <w:lang w:val="zh-CN" w:bidi="zh-CN"/>
    </w:rPr>
  </w:style>
  <w:style w:type="paragraph" w:styleId="3">
    <w:name w:val="heading 2"/>
    <w:basedOn w:val="1"/>
    <w:link w:val="45"/>
    <w:qFormat/>
    <w:uiPriority w:val="0"/>
    <w:pPr>
      <w:widowControl w:val="0"/>
      <w:tabs>
        <w:tab w:val="clear" w:pos="7797"/>
      </w:tabs>
      <w:spacing w:line="600" w:lineRule="exact"/>
      <w:ind w:right="0" w:firstLine="883" w:firstLineChars="200"/>
      <w:outlineLvl w:val="1"/>
    </w:pPr>
    <w:rPr>
      <w:rFonts w:eastAsia="楷体_GB2312"/>
      <w:bCs/>
      <w:sz w:val="32"/>
    </w:rPr>
  </w:style>
  <w:style w:type="paragraph" w:styleId="4">
    <w:name w:val="heading 3"/>
    <w:basedOn w:val="1"/>
    <w:link w:val="46"/>
    <w:qFormat/>
    <w:uiPriority w:val="0"/>
    <w:pPr>
      <w:keepNext/>
      <w:keepLines/>
      <w:widowControl w:val="0"/>
      <w:tabs>
        <w:tab w:val="clear" w:pos="7797"/>
      </w:tabs>
      <w:spacing w:line="600" w:lineRule="exact"/>
      <w:ind w:right="0" w:firstLine="883" w:firstLineChars="200"/>
      <w:outlineLvl w:val="2"/>
    </w:pPr>
    <w:rPr>
      <w:rFonts w:ascii="仿宋_GB2312" w:hAnsi="仿宋_GB2312" w:eastAsia="仿宋_GB2312"/>
      <w:sz w:val="32"/>
    </w:rPr>
  </w:style>
  <w:style w:type="paragraph" w:styleId="5">
    <w:name w:val="heading 4"/>
    <w:basedOn w:val="1"/>
    <w:link w:val="67"/>
    <w:qFormat/>
    <w:uiPriority w:val="9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Cs/>
      <w:sz w:val="28"/>
      <w:szCs w:val="28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qFormat/>
    <w:uiPriority w:val="39"/>
    <w:pPr>
      <w:widowControl w:val="0"/>
      <w:tabs>
        <w:tab w:val="clear" w:pos="7797"/>
      </w:tabs>
      <w:ind w:left="2520" w:leftChars="1200" w:right="0"/>
    </w:pPr>
    <w:rPr>
      <w:rFonts w:ascii="Calibri" w:hAnsi="Calibri" w:eastAsia="宋体" w:cs="宋体"/>
      <w:b w:val="0"/>
      <w:szCs w:val="22"/>
    </w:rPr>
  </w:style>
  <w:style w:type="paragraph" w:styleId="7">
    <w:name w:val="table of authorities"/>
    <w:basedOn w:val="1"/>
    <w:qFormat/>
    <w:uiPriority w:val="0"/>
    <w:pPr>
      <w:ind w:left="420" w:leftChars="200"/>
    </w:pPr>
    <w:rPr>
      <w:sz w:val="32"/>
      <w:szCs w:val="32"/>
    </w:rPr>
  </w:style>
  <w:style w:type="paragraph" w:styleId="8">
    <w:name w:val="index 8"/>
    <w:basedOn w:val="1"/>
    <w:qFormat/>
    <w:uiPriority w:val="99"/>
    <w:pPr>
      <w:tabs>
        <w:tab w:val="clear" w:pos="7797"/>
      </w:tabs>
      <w:ind w:left="1400" w:leftChars="1400"/>
    </w:pPr>
  </w:style>
  <w:style w:type="paragraph" w:styleId="9">
    <w:name w:val="Document Map"/>
    <w:basedOn w:val="1"/>
    <w:link w:val="99"/>
    <w:qFormat/>
    <w:uiPriority w:val="99"/>
    <w:rPr>
      <w:rFonts w:ascii="宋体" w:eastAsia="宋体"/>
      <w:sz w:val="18"/>
      <w:szCs w:val="18"/>
    </w:rPr>
  </w:style>
  <w:style w:type="paragraph" w:styleId="10">
    <w:name w:val="annotation text"/>
    <w:basedOn w:val="1"/>
    <w:link w:val="47"/>
    <w:qFormat/>
    <w:uiPriority w:val="0"/>
    <w:pPr>
      <w:spacing w:before="120" w:after="120"/>
      <w:ind w:left="282" w:leftChars="134"/>
    </w:pPr>
    <w:rPr>
      <w:rFonts w:ascii="仿宋_GB2312" w:hAnsi="Calibri" w:eastAsia="仿宋_GB2312" w:cs="Arial"/>
      <w:b w:val="0"/>
      <w:bCs/>
    </w:rPr>
  </w:style>
  <w:style w:type="paragraph" w:styleId="11">
    <w:name w:val="Body Text"/>
    <w:basedOn w:val="1"/>
    <w:link w:val="44"/>
    <w:qFormat/>
    <w:uiPriority w:val="0"/>
    <w:pPr>
      <w:widowControl w:val="0"/>
      <w:tabs>
        <w:tab w:val="clear" w:pos="7797"/>
      </w:tabs>
      <w:autoSpaceDE w:val="0"/>
      <w:autoSpaceDN w:val="0"/>
      <w:spacing w:after="120" w:line="560" w:lineRule="exact"/>
      <w:ind w:right="0"/>
      <w:jc w:val="center"/>
    </w:pPr>
    <w:rPr>
      <w:rFonts w:ascii="仿宋_GB2312" w:hAnsi="Calibri" w:eastAsia="仿宋_GB2312"/>
      <w:b w:val="0"/>
      <w:sz w:val="30"/>
      <w:szCs w:val="30"/>
    </w:rPr>
  </w:style>
  <w:style w:type="paragraph" w:styleId="12">
    <w:name w:val="Body Text Indent"/>
    <w:basedOn w:val="1"/>
    <w:link w:val="53"/>
    <w:qFormat/>
    <w:uiPriority w:val="0"/>
    <w:pPr>
      <w:spacing w:after="120"/>
      <w:ind w:left="420" w:leftChars="200"/>
    </w:pPr>
  </w:style>
  <w:style w:type="paragraph" w:styleId="13">
    <w:name w:val="toc 5"/>
    <w:basedOn w:val="1"/>
    <w:qFormat/>
    <w:uiPriority w:val="39"/>
    <w:pPr>
      <w:widowControl w:val="0"/>
      <w:tabs>
        <w:tab w:val="clear" w:pos="7797"/>
      </w:tabs>
      <w:ind w:left="1680" w:leftChars="800" w:right="0"/>
    </w:pPr>
    <w:rPr>
      <w:rFonts w:ascii="Calibri" w:hAnsi="Calibri" w:eastAsia="宋体" w:cs="宋体"/>
      <w:b w:val="0"/>
      <w:szCs w:val="22"/>
    </w:rPr>
  </w:style>
  <w:style w:type="paragraph" w:styleId="14">
    <w:name w:val="toc 3"/>
    <w:basedOn w:val="1"/>
    <w:qFormat/>
    <w:uiPriority w:val="39"/>
    <w:pPr>
      <w:tabs>
        <w:tab w:val="clear" w:pos="7797"/>
      </w:tabs>
      <w:ind w:left="840" w:leftChars="400"/>
    </w:pPr>
  </w:style>
  <w:style w:type="paragraph" w:styleId="15">
    <w:name w:val="toc 8"/>
    <w:basedOn w:val="1"/>
    <w:qFormat/>
    <w:uiPriority w:val="39"/>
    <w:pPr>
      <w:widowControl w:val="0"/>
      <w:tabs>
        <w:tab w:val="clear" w:pos="7797"/>
      </w:tabs>
      <w:ind w:left="2940" w:leftChars="1400" w:right="0"/>
    </w:pPr>
    <w:rPr>
      <w:rFonts w:ascii="Calibri" w:hAnsi="Calibri" w:eastAsia="宋体" w:cs="宋体"/>
      <w:b w:val="0"/>
      <w:szCs w:val="22"/>
    </w:rPr>
  </w:style>
  <w:style w:type="paragraph" w:styleId="16">
    <w:name w:val="Date"/>
    <w:basedOn w:val="1"/>
    <w:link w:val="54"/>
    <w:qFormat/>
    <w:uiPriority w:val="99"/>
    <w:pPr>
      <w:ind w:left="100" w:leftChars="2500"/>
    </w:pPr>
  </w:style>
  <w:style w:type="paragraph" w:styleId="17">
    <w:name w:val="Body Text Indent 2"/>
    <w:basedOn w:val="1"/>
    <w:link w:val="55"/>
    <w:qFormat/>
    <w:uiPriority w:val="99"/>
    <w:pPr>
      <w:spacing w:line="360" w:lineRule="auto"/>
      <w:ind w:firstLine="573"/>
    </w:pPr>
    <w:rPr>
      <w:shd w:val="pct10" w:color="auto" w:fill="FFFFFF"/>
    </w:rPr>
  </w:style>
  <w:style w:type="paragraph" w:styleId="18">
    <w:name w:val="Balloon Text"/>
    <w:basedOn w:val="1"/>
    <w:link w:val="41"/>
    <w:qFormat/>
    <w:uiPriority w:val="99"/>
    <w:rPr>
      <w:sz w:val="18"/>
      <w:szCs w:val="18"/>
    </w:rPr>
  </w:style>
  <w:style w:type="paragraph" w:styleId="19">
    <w:name w:val="footer"/>
    <w:basedOn w:val="1"/>
    <w:link w:val="43"/>
    <w:qFormat/>
    <w:uiPriority w:val="99"/>
    <w:pPr>
      <w:tabs>
        <w:tab w:val="clear" w:pos="7797"/>
      </w:tabs>
      <w:snapToGrid w:val="0"/>
      <w:jc w:val="center"/>
    </w:pPr>
    <w:rPr>
      <w:b w:val="0"/>
      <w:bCs/>
      <w:sz w:val="28"/>
      <w:szCs w:val="28"/>
    </w:rPr>
  </w:style>
  <w:style w:type="paragraph" w:styleId="20">
    <w:name w:val="header"/>
    <w:basedOn w:val="1"/>
    <w:link w:val="42"/>
    <w:qFormat/>
    <w:uiPriority w:val="99"/>
    <w:pPr>
      <w:pBdr>
        <w:bottom w:val="single" w:color="auto" w:sz="6" w:space="1"/>
      </w:pBdr>
      <w:tabs>
        <w:tab w:val="clear" w:pos="7797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qFormat/>
    <w:uiPriority w:val="39"/>
    <w:pPr>
      <w:tabs>
        <w:tab w:val="clear" w:pos="7797"/>
      </w:tabs>
      <w:spacing w:line="360" w:lineRule="auto"/>
      <w:ind w:left="152" w:right="-52" w:hanging="10"/>
    </w:pPr>
    <w:rPr>
      <w:rFonts w:ascii="黑体" w:hAnsi="黑体" w:eastAsia="黑体" w:cs="宋体"/>
      <w:b w:val="0"/>
      <w:bCs/>
      <w:sz w:val="30"/>
      <w:szCs w:val="30"/>
      <w:lang w:bidi="zh-CN"/>
    </w:rPr>
  </w:style>
  <w:style w:type="paragraph" w:styleId="22">
    <w:name w:val="toc 4"/>
    <w:basedOn w:val="1"/>
    <w:qFormat/>
    <w:uiPriority w:val="39"/>
    <w:pPr>
      <w:widowControl w:val="0"/>
      <w:tabs>
        <w:tab w:val="clear" w:pos="7797"/>
      </w:tabs>
      <w:ind w:left="1260" w:leftChars="600" w:right="0"/>
    </w:pPr>
    <w:rPr>
      <w:rFonts w:ascii="Calibri" w:hAnsi="Calibri" w:eastAsia="宋体" w:cs="宋体"/>
      <w:b w:val="0"/>
      <w:szCs w:val="22"/>
    </w:rPr>
  </w:style>
  <w:style w:type="paragraph" w:styleId="23">
    <w:name w:val="toc 6"/>
    <w:basedOn w:val="1"/>
    <w:qFormat/>
    <w:uiPriority w:val="39"/>
    <w:pPr>
      <w:widowControl w:val="0"/>
      <w:tabs>
        <w:tab w:val="clear" w:pos="7797"/>
      </w:tabs>
      <w:ind w:left="2100" w:leftChars="1000" w:right="0"/>
    </w:pPr>
    <w:rPr>
      <w:rFonts w:ascii="Calibri" w:hAnsi="Calibri" w:eastAsia="宋体" w:cs="宋体"/>
      <w:b w:val="0"/>
      <w:szCs w:val="22"/>
    </w:rPr>
  </w:style>
  <w:style w:type="paragraph" w:styleId="24">
    <w:name w:val="toc 2"/>
    <w:basedOn w:val="1"/>
    <w:qFormat/>
    <w:uiPriority w:val="39"/>
    <w:pPr>
      <w:tabs>
        <w:tab w:val="clear" w:pos="7797"/>
      </w:tabs>
      <w:ind w:left="422" w:leftChars="200"/>
    </w:pPr>
    <w:rPr>
      <w:rFonts w:ascii="仿宋_GB2312" w:hAnsi="宋体" w:eastAsia="仿宋_GB2312" w:cs="宋体"/>
      <w:sz w:val="30"/>
      <w:szCs w:val="30"/>
    </w:rPr>
  </w:style>
  <w:style w:type="paragraph" w:styleId="25">
    <w:name w:val="toc 9"/>
    <w:basedOn w:val="1"/>
    <w:qFormat/>
    <w:uiPriority w:val="39"/>
    <w:pPr>
      <w:widowControl w:val="0"/>
      <w:tabs>
        <w:tab w:val="clear" w:pos="7797"/>
      </w:tabs>
      <w:ind w:left="3360" w:leftChars="1600" w:right="0"/>
    </w:pPr>
    <w:rPr>
      <w:rFonts w:ascii="Calibri" w:hAnsi="Calibri" w:eastAsia="宋体" w:cs="宋体"/>
      <w:b w:val="0"/>
      <w:szCs w:val="22"/>
    </w:rPr>
  </w:style>
  <w:style w:type="paragraph" w:styleId="2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27">
    <w:name w:val="annotation subject"/>
    <w:basedOn w:val="10"/>
    <w:link w:val="56"/>
    <w:qFormat/>
    <w:uiPriority w:val="0"/>
    <w:pPr>
      <w:spacing w:before="0" w:after="0"/>
    </w:pPr>
    <w:rPr>
      <w:b/>
      <w:bCs w:val="0"/>
    </w:rPr>
  </w:style>
  <w:style w:type="paragraph" w:styleId="28">
    <w:name w:val="Body Text First Indent 2"/>
    <w:basedOn w:val="12"/>
    <w:link w:val="57"/>
    <w:qFormat/>
    <w:uiPriority w:val="0"/>
    <w:pPr>
      <w:ind w:left="0" w:leftChars="0"/>
    </w:pPr>
    <w:rPr>
      <w:rFonts w:eastAsia="宋体" w:cs="Arial"/>
    </w:rPr>
  </w:style>
  <w:style w:type="table" w:styleId="30">
    <w:name w:val="Table Grid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Strong"/>
    <w:basedOn w:val="31"/>
    <w:qFormat/>
    <w:uiPriority w:val="22"/>
    <w:rPr>
      <w:b/>
    </w:rPr>
  </w:style>
  <w:style w:type="character" w:styleId="33">
    <w:name w:val="page number"/>
    <w:basedOn w:val="31"/>
    <w:qFormat/>
    <w:uiPriority w:val="0"/>
  </w:style>
  <w:style w:type="character" w:styleId="34">
    <w:name w:val="FollowedHyperlink"/>
    <w:basedOn w:val="31"/>
    <w:qFormat/>
    <w:uiPriority w:val="99"/>
    <w:rPr>
      <w:color w:val="954F72"/>
      <w:u w:val="single"/>
    </w:rPr>
  </w:style>
  <w:style w:type="character" w:styleId="35">
    <w:name w:val="Emphasis"/>
    <w:basedOn w:val="31"/>
    <w:qFormat/>
    <w:uiPriority w:val="20"/>
    <w:rPr>
      <w:i/>
    </w:rPr>
  </w:style>
  <w:style w:type="character" w:styleId="36">
    <w:name w:val="Hyperlink"/>
    <w:basedOn w:val="31"/>
    <w:qFormat/>
    <w:uiPriority w:val="99"/>
    <w:rPr>
      <w:color w:val="0000FF"/>
      <w:u w:val="single"/>
    </w:rPr>
  </w:style>
  <w:style w:type="character" w:styleId="37">
    <w:name w:val="annotation reference"/>
    <w:basedOn w:val="31"/>
    <w:qFormat/>
    <w:uiPriority w:val="0"/>
    <w:rPr>
      <w:sz w:val="21"/>
      <w:szCs w:val="21"/>
    </w:rPr>
  </w:style>
  <w:style w:type="paragraph" w:customStyle="1" w:styleId="38">
    <w:name w:val="样式1"/>
    <w:basedOn w:val="1"/>
    <w:qFormat/>
    <w:uiPriority w:val="0"/>
    <w:pPr>
      <w:spacing w:line="600" w:lineRule="exact"/>
      <w:ind w:left="422" w:right="216" w:firstLine="562"/>
      <w:jc w:val="center"/>
    </w:pPr>
    <w:rPr>
      <w:rFonts w:ascii="黑体" w:hAnsi="黑体" w:eastAsia="黑体"/>
      <w:b w:val="0"/>
      <w:bCs/>
      <w:sz w:val="24"/>
      <w:szCs w:val="28"/>
    </w:rPr>
  </w:style>
  <w:style w:type="character" w:customStyle="1" w:styleId="39">
    <w:name w:val="标题 1 字符"/>
    <w:basedOn w:val="31"/>
    <w:link w:val="2"/>
    <w:qFormat/>
    <w:uiPriority w:val="0"/>
    <w:rPr>
      <w:rFonts w:ascii="黑体" w:hAnsi="黑体" w:eastAsia="黑体" w:cs="Arial"/>
      <w:bCs/>
      <w:kern w:val="44"/>
      <w:sz w:val="32"/>
      <w:lang w:val="zh-CN" w:bidi="zh-CN"/>
    </w:rPr>
  </w:style>
  <w:style w:type="table" w:customStyle="1" w:styleId="40">
    <w:name w:val="网格型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1">
    <w:name w:val="批注框文本 字符"/>
    <w:basedOn w:val="31"/>
    <w:link w:val="18"/>
    <w:qFormat/>
    <w:uiPriority w:val="99"/>
    <w:rPr>
      <w:rFonts w:ascii="Times New Roman" w:hAnsi="Times New Roman" w:eastAsia="Times New Roman" w:cs="Times New Roman"/>
      <w:b/>
      <w:sz w:val="18"/>
      <w:szCs w:val="18"/>
    </w:rPr>
  </w:style>
  <w:style w:type="character" w:customStyle="1" w:styleId="42">
    <w:name w:val="页眉 字符"/>
    <w:basedOn w:val="31"/>
    <w:link w:val="20"/>
    <w:qFormat/>
    <w:uiPriority w:val="99"/>
    <w:rPr>
      <w:rFonts w:ascii="Times New Roman" w:hAnsi="Times New Roman" w:eastAsia="Times New Roman" w:cs="Times New Roman"/>
      <w:b/>
      <w:sz w:val="18"/>
      <w:szCs w:val="18"/>
    </w:rPr>
  </w:style>
  <w:style w:type="character" w:customStyle="1" w:styleId="43">
    <w:name w:val="页脚 字符"/>
    <w:basedOn w:val="31"/>
    <w:link w:val="19"/>
    <w:qFormat/>
    <w:uiPriority w:val="99"/>
    <w:rPr>
      <w:rFonts w:eastAsia="Times New Roman"/>
      <w:bCs/>
      <w:kern w:val="2"/>
      <w:sz w:val="28"/>
      <w:szCs w:val="28"/>
    </w:rPr>
  </w:style>
  <w:style w:type="character" w:customStyle="1" w:styleId="44">
    <w:name w:val="正文文本 字符"/>
    <w:basedOn w:val="31"/>
    <w:link w:val="11"/>
    <w:qFormat/>
    <w:uiPriority w:val="0"/>
    <w:rPr>
      <w:rFonts w:ascii="仿宋_GB2312" w:hAnsi="Calibri" w:eastAsia="仿宋_GB2312"/>
      <w:kern w:val="2"/>
      <w:sz w:val="30"/>
      <w:szCs w:val="30"/>
    </w:rPr>
  </w:style>
  <w:style w:type="character" w:customStyle="1" w:styleId="45">
    <w:name w:val="标题 2 字符"/>
    <w:basedOn w:val="31"/>
    <w:link w:val="3"/>
    <w:qFormat/>
    <w:uiPriority w:val="0"/>
    <w:rPr>
      <w:rFonts w:eastAsia="楷体_GB2312"/>
      <w:b/>
      <w:bCs/>
      <w:kern w:val="2"/>
      <w:sz w:val="32"/>
      <w:szCs w:val="24"/>
    </w:rPr>
  </w:style>
  <w:style w:type="character" w:customStyle="1" w:styleId="46">
    <w:name w:val="标题 3 字符"/>
    <w:basedOn w:val="31"/>
    <w:link w:val="4"/>
    <w:qFormat/>
    <w:uiPriority w:val="0"/>
    <w:rPr>
      <w:rFonts w:ascii="仿宋_GB2312" w:hAnsi="仿宋_GB2312" w:eastAsia="仿宋_GB2312"/>
      <w:b/>
      <w:kern w:val="2"/>
      <w:sz w:val="32"/>
      <w:szCs w:val="24"/>
    </w:rPr>
  </w:style>
  <w:style w:type="character" w:customStyle="1" w:styleId="47">
    <w:name w:val="批注文字 字符"/>
    <w:basedOn w:val="31"/>
    <w:link w:val="10"/>
    <w:qFormat/>
    <w:uiPriority w:val="0"/>
    <w:rPr>
      <w:rFonts w:ascii="仿宋_GB2312" w:hAnsi="Calibri" w:eastAsia="仿宋_GB2312" w:cs="Arial"/>
      <w:bCs/>
      <w:kern w:val="2"/>
      <w:sz w:val="21"/>
      <w:szCs w:val="24"/>
    </w:rPr>
  </w:style>
  <w:style w:type="paragraph" w:styleId="48">
    <w:name w:val="List Paragraph"/>
    <w:basedOn w:val="1"/>
    <w:link w:val="61"/>
    <w:qFormat/>
    <w:uiPriority w:val="34"/>
    <w:pPr>
      <w:ind w:firstLine="420" w:firstLineChars="200"/>
    </w:pPr>
  </w:style>
  <w:style w:type="table" w:customStyle="1" w:styleId="49">
    <w:name w:val="Table Normal"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0">
    <w:name w:val="TOC 标题1"/>
    <w:basedOn w:val="2"/>
    <w:qFormat/>
    <w:uiPriority w:val="39"/>
    <w:pPr>
      <w:widowControl/>
      <w:spacing w:before="240" w:line="259" w:lineRule="auto"/>
      <w:ind w:firstLine="420"/>
      <w:jc w:val="center"/>
      <w:outlineLvl w:val="9"/>
    </w:pPr>
    <w:rPr>
      <w:rFonts w:ascii="Cambria" w:hAnsi="Cambria" w:eastAsia="宋体" w:cs="宋体"/>
      <w:bCs w:val="0"/>
      <w:color w:val="365F91"/>
      <w:kern w:val="0"/>
      <w:szCs w:val="32"/>
      <w:lang w:val="en-US" w:bidi="ar-SA"/>
    </w:rPr>
  </w:style>
  <w:style w:type="character" w:customStyle="1" w:styleId="51">
    <w:name w:val="未处理的提及1"/>
    <w:basedOn w:val="31"/>
    <w:qFormat/>
    <w:uiPriority w:val="99"/>
    <w:rPr>
      <w:color w:val="605E5C"/>
      <w:shd w:val="clear" w:color="auto" w:fill="E1DFDD"/>
    </w:rPr>
  </w:style>
  <w:style w:type="paragraph" w:customStyle="1" w:styleId="52">
    <w:name w:val="标题 41"/>
    <w:basedOn w:val="1"/>
    <w:qFormat/>
    <w:uiPriority w:val="9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 w:val="0"/>
      <w:bCs/>
      <w:sz w:val="28"/>
      <w:szCs w:val="28"/>
    </w:rPr>
  </w:style>
  <w:style w:type="character" w:customStyle="1" w:styleId="53">
    <w:name w:val="正文文本缩进 字符"/>
    <w:basedOn w:val="31"/>
    <w:link w:val="12"/>
    <w:qFormat/>
    <w:uiPriority w:val="0"/>
    <w:rPr>
      <w:rFonts w:ascii="Times New Roman" w:hAnsi="Times New Roman" w:eastAsia="Times New Roman" w:cs="Times New Roman"/>
      <w:b/>
      <w:szCs w:val="24"/>
    </w:rPr>
  </w:style>
  <w:style w:type="character" w:customStyle="1" w:styleId="54">
    <w:name w:val="日期 字符"/>
    <w:basedOn w:val="31"/>
    <w:link w:val="16"/>
    <w:qFormat/>
    <w:uiPriority w:val="99"/>
    <w:rPr>
      <w:rFonts w:ascii="Times New Roman" w:hAnsi="Times New Roman" w:eastAsia="Times New Roman" w:cs="Times New Roman"/>
      <w:b/>
      <w:szCs w:val="24"/>
    </w:rPr>
  </w:style>
  <w:style w:type="character" w:customStyle="1" w:styleId="55">
    <w:name w:val="正文文本缩进 2 字符"/>
    <w:basedOn w:val="31"/>
    <w:link w:val="17"/>
    <w:qFormat/>
    <w:uiPriority w:val="99"/>
    <w:rPr>
      <w:rFonts w:ascii="Times New Roman" w:hAnsi="Times New Roman" w:eastAsia="Times New Roman" w:cs="Times New Roman"/>
      <w:b/>
      <w:szCs w:val="24"/>
    </w:rPr>
  </w:style>
  <w:style w:type="character" w:customStyle="1" w:styleId="56">
    <w:name w:val="批注主题 字符"/>
    <w:basedOn w:val="47"/>
    <w:link w:val="27"/>
    <w:qFormat/>
    <w:uiPriority w:val="0"/>
    <w:rPr>
      <w:rFonts w:ascii="Calibri" w:hAnsi="Calibri" w:eastAsia="宋体" w:cs="Arial"/>
      <w:b/>
      <w:bCs w:val="0"/>
      <w:kern w:val="2"/>
      <w:sz w:val="21"/>
      <w:szCs w:val="24"/>
    </w:rPr>
  </w:style>
  <w:style w:type="character" w:customStyle="1" w:styleId="57">
    <w:name w:val="正文文本首行缩进 2 字符"/>
    <w:basedOn w:val="53"/>
    <w:link w:val="28"/>
    <w:qFormat/>
    <w:uiPriority w:val="0"/>
    <w:rPr>
      <w:rFonts w:ascii="Times New Roman" w:hAnsi="Times New Roman" w:eastAsia="宋体" w:cs="Arial"/>
      <w:szCs w:val="24"/>
    </w:rPr>
  </w:style>
  <w:style w:type="paragraph" w:customStyle="1" w:styleId="58">
    <w:name w:val="标题1"/>
    <w:basedOn w:val="1"/>
    <w:qFormat/>
    <w:uiPriority w:val="0"/>
    <w:pPr>
      <w:tabs>
        <w:tab w:val="left" w:pos="9193"/>
        <w:tab w:val="left" w:pos="9827"/>
      </w:tabs>
      <w:spacing w:line="700" w:lineRule="atLeast"/>
      <w:jc w:val="center"/>
    </w:pPr>
    <w:rPr>
      <w:rFonts w:ascii="Calibri" w:hAnsi="Calibri" w:eastAsia="方正小标宋_GBK" w:cs="Arial"/>
      <w:sz w:val="44"/>
    </w:rPr>
  </w:style>
  <w:style w:type="paragraph" w:customStyle="1" w:styleId="59">
    <w:name w:val="主送单位"/>
    <w:basedOn w:val="1"/>
    <w:qFormat/>
    <w:uiPriority w:val="0"/>
    <w:pPr>
      <w:adjustRightInd w:val="0"/>
      <w:spacing w:line="567" w:lineRule="atLeast"/>
      <w:jc w:val="left"/>
    </w:pPr>
    <w:rPr>
      <w:rFonts w:ascii="Calibri" w:hAnsi="Calibri" w:eastAsia="仿宋_GB2312" w:cs="Arial"/>
    </w:rPr>
  </w:style>
  <w:style w:type="paragraph" w:customStyle="1" w:styleId="60">
    <w:name w:val="标题3"/>
    <w:basedOn w:val="1"/>
    <w:qFormat/>
    <w:uiPriority w:val="0"/>
    <w:rPr>
      <w:rFonts w:ascii="方正黑体_GBK" w:hAnsi="Calibri" w:eastAsia="方正黑体_GBK" w:cs="Arial"/>
    </w:rPr>
  </w:style>
  <w:style w:type="character" w:customStyle="1" w:styleId="61">
    <w:name w:val="列表段落 字符"/>
    <w:link w:val="48"/>
    <w:qFormat/>
    <w:uiPriority w:val="34"/>
    <w:rPr>
      <w:rFonts w:ascii="Times New Roman" w:hAnsi="Times New Roman" w:eastAsia="Times New Roman" w:cs="Times New Roman"/>
      <w:b/>
      <w:szCs w:val="24"/>
    </w:rPr>
  </w:style>
  <w:style w:type="paragraph" w:customStyle="1" w:styleId="62">
    <w:name w:val="修订1"/>
    <w:qFormat/>
    <w:uiPriority w:val="99"/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3">
    <w:name w:val="修订2"/>
    <w:qFormat/>
    <w:uiPriority w:val="99"/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4">
    <w:name w:val="Default"/>
    <w:qFormat/>
    <w:uiPriority w:val="0"/>
    <w:pPr>
      <w:widowControl w:val="0"/>
      <w:autoSpaceDE w:val="0"/>
      <w:autoSpaceDN w:val="0"/>
      <w:adjustRightInd w:val="0"/>
      <w:spacing w:line="600" w:lineRule="exact"/>
      <w:ind w:right="-57" w:rightChars="-27" w:firstLine="707" w:firstLineChars="221"/>
      <w:jc w:val="both"/>
    </w:pPr>
    <w:rPr>
      <w:rFonts w:ascii="Times New Roman" w:hAnsi="Times New Roman" w:eastAsia="仿宋_GB2312" w:cs="Times New Roman"/>
      <w:color w:val="000000"/>
      <w:sz w:val="32"/>
      <w:szCs w:val="32"/>
      <w:lang w:val="en-US" w:eastAsia="zh-CN" w:bidi="ar-SA"/>
    </w:rPr>
  </w:style>
  <w:style w:type="paragraph" w:customStyle="1" w:styleId="65">
    <w:name w:val="修订3"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customStyle="1" w:styleId="66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lang w:eastAsia="en-US"/>
    </w:rPr>
  </w:style>
  <w:style w:type="character" w:customStyle="1" w:styleId="67">
    <w:name w:val="标题 4 字符"/>
    <w:basedOn w:val="31"/>
    <w:link w:val="5"/>
    <w:qFormat/>
    <w:uiPriority w:val="9"/>
    <w:rPr>
      <w:rFonts w:ascii="等线 Light" w:hAnsi="等线 Light" w:eastAsia="等线 Light" w:cs="Times New Roman"/>
      <w:b/>
      <w:bCs/>
      <w:sz w:val="28"/>
      <w:szCs w:val="28"/>
    </w:rPr>
  </w:style>
  <w:style w:type="paragraph" w:customStyle="1" w:styleId="68">
    <w:name w:val="gei正文"/>
    <w:basedOn w:val="1"/>
    <w:qFormat/>
    <w:uiPriority w:val="0"/>
    <w:pPr>
      <w:spacing w:beforeLines="30" w:afterLines="30" w:line="560" w:lineRule="exact"/>
    </w:pPr>
    <w:rPr>
      <w:szCs w:val="28"/>
    </w:rPr>
  </w:style>
  <w:style w:type="paragraph" w:customStyle="1" w:styleId="69">
    <w:name w:val="专栏/表格-内容"/>
    <w:basedOn w:val="1"/>
    <w:link w:val="70"/>
    <w:qFormat/>
    <w:uiPriority w:val="0"/>
    <w:pPr>
      <w:jc w:val="center"/>
    </w:pPr>
    <w:rPr>
      <w:bCs/>
      <w:kern w:val="0"/>
    </w:rPr>
  </w:style>
  <w:style w:type="character" w:customStyle="1" w:styleId="70">
    <w:name w:val="专栏/表格-内容 字符"/>
    <w:basedOn w:val="31"/>
    <w:link w:val="69"/>
    <w:qFormat/>
    <w:uiPriority w:val="0"/>
    <w:rPr>
      <w:rFonts w:ascii="Times New Roman" w:hAnsi="Times New Roman" w:eastAsia="Times New Roman" w:cs="Times New Roman"/>
      <w:b/>
      <w:bCs/>
      <w:kern w:val="0"/>
      <w:szCs w:val="24"/>
    </w:rPr>
  </w:style>
  <w:style w:type="table" w:customStyle="1" w:styleId="71">
    <w:name w:val="网格型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2">
    <w:name w:val="mso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73">
    <w:name w:val="font5"/>
    <w:basedOn w:val="1"/>
    <w:qFormat/>
    <w:uiPriority w:val="0"/>
    <w:pPr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74">
    <w:name w:val="xl67"/>
    <w:basedOn w:val="1"/>
    <w:qFormat/>
    <w:uiPriority w:val="0"/>
    <w:pPr>
      <w:spacing w:before="100" w:beforeAutospacing="1" w:after="100" w:afterAutospacing="1"/>
      <w:jc w:val="left"/>
    </w:pPr>
    <w:rPr>
      <w:rFonts w:eastAsia="仿宋_GB2312"/>
      <w:b w:val="0"/>
      <w:bCs/>
      <w:kern w:val="0"/>
      <w:sz w:val="24"/>
    </w:rPr>
  </w:style>
  <w:style w:type="paragraph" w:customStyle="1" w:styleId="75">
    <w:name w:val="xl68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76">
    <w:name w:val="xl69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77">
    <w:name w:val="xl70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78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b w:val="0"/>
      <w:bCs/>
      <w:kern w:val="0"/>
      <w:sz w:val="24"/>
    </w:rPr>
  </w:style>
  <w:style w:type="paragraph" w:customStyle="1" w:styleId="79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b w:val="0"/>
      <w:bCs/>
      <w:kern w:val="0"/>
      <w:sz w:val="24"/>
    </w:rPr>
  </w:style>
  <w:style w:type="paragraph" w:customStyle="1" w:styleId="80">
    <w:name w:val="xl73"/>
    <w:basedOn w:val="1"/>
    <w:qFormat/>
    <w:uiPriority w:val="0"/>
    <w:pP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</w:rPr>
  </w:style>
  <w:style w:type="paragraph" w:customStyle="1" w:styleId="81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</w:rPr>
  </w:style>
  <w:style w:type="paragraph" w:customStyle="1" w:styleId="82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" w:hAnsi="仿宋" w:eastAsia="仿宋" w:cs="宋体"/>
      <w:kern w:val="0"/>
      <w:sz w:val="24"/>
    </w:rPr>
  </w:style>
  <w:style w:type="paragraph" w:customStyle="1" w:styleId="83">
    <w:name w:val="xl76"/>
    <w:basedOn w:val="1"/>
    <w:qFormat/>
    <w:uiPriority w:val="0"/>
    <w:pPr>
      <w:spacing w:before="100" w:beforeAutospacing="1" w:after="100" w:afterAutospacing="1"/>
      <w:jc w:val="center"/>
    </w:pPr>
    <w:rPr>
      <w:rFonts w:ascii="仿宋" w:hAnsi="仿宋" w:eastAsia="仿宋" w:cs="宋体"/>
      <w:b w:val="0"/>
      <w:bCs/>
      <w:kern w:val="0"/>
      <w:sz w:val="24"/>
    </w:rPr>
  </w:style>
  <w:style w:type="paragraph" w:customStyle="1" w:styleId="84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</w:rPr>
  </w:style>
  <w:style w:type="paragraph" w:customStyle="1" w:styleId="85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</w:rPr>
  </w:style>
  <w:style w:type="paragraph" w:customStyle="1" w:styleId="86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" w:hAnsi="仿宋" w:eastAsia="仿宋" w:cs="宋体"/>
      <w:kern w:val="0"/>
      <w:sz w:val="24"/>
    </w:rPr>
  </w:style>
  <w:style w:type="paragraph" w:customStyle="1" w:styleId="87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</w:rPr>
  </w:style>
  <w:style w:type="paragraph" w:customStyle="1" w:styleId="88">
    <w:name w:val="xl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" w:hAnsi="仿宋" w:eastAsia="仿宋" w:cs="宋体"/>
      <w:kern w:val="0"/>
      <w:sz w:val="24"/>
    </w:rPr>
  </w:style>
  <w:style w:type="paragraph" w:customStyle="1" w:styleId="89">
    <w:name w:val="xl8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" w:hAnsi="仿宋" w:eastAsia="仿宋" w:cs="宋体"/>
      <w:kern w:val="0"/>
      <w:sz w:val="24"/>
    </w:rPr>
  </w:style>
  <w:style w:type="paragraph" w:customStyle="1" w:styleId="90">
    <w:name w:val="xl8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" w:hAnsi="仿宋" w:eastAsia="仿宋" w:cs="宋体"/>
      <w:b w:val="0"/>
      <w:bCs/>
      <w:kern w:val="0"/>
      <w:sz w:val="24"/>
    </w:rPr>
  </w:style>
  <w:style w:type="paragraph" w:customStyle="1" w:styleId="91">
    <w:name w:val="正文-公1"/>
    <w:basedOn w:val="1"/>
    <w:qFormat/>
    <w:uiPriority w:val="0"/>
    <w:pPr>
      <w:ind w:firstLine="560" w:firstLineChars="200"/>
      <w:jc w:val="center"/>
    </w:pPr>
    <w:rPr>
      <w:rFonts w:ascii="黑体" w:hAnsi="黑体" w:eastAsia="黑体"/>
      <w:b w:val="0"/>
      <w:bCs/>
      <w:sz w:val="28"/>
      <w:szCs w:val="28"/>
    </w:rPr>
  </w:style>
  <w:style w:type="character" w:customStyle="1" w:styleId="92">
    <w:name w:val="标题 4 字符1"/>
    <w:basedOn w:val="31"/>
    <w:qFormat/>
    <w:uiPriority w:val="9"/>
    <w:rPr>
      <w:rFonts w:ascii="Cambria" w:hAnsi="Cambria" w:eastAsia="宋体" w:cs="宋体"/>
      <w:b/>
      <w:bCs/>
      <w:sz w:val="28"/>
      <w:szCs w:val="28"/>
    </w:rPr>
  </w:style>
  <w:style w:type="paragraph" w:customStyle="1" w:styleId="93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table" w:customStyle="1" w:styleId="94">
    <w:name w:val="网格型3"/>
    <w:basedOn w:val="29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">
    <w:name w:val="Table Normal1"/>
    <w:qFormat/>
    <w:uiPriority w:val="2"/>
    <w:pPr>
      <w:widowControl w:val="0"/>
      <w:autoSpaceDE w:val="0"/>
      <w:autoSpaceDN w:val="0"/>
    </w:pPr>
    <w:rPr>
      <w:rFonts w:ascii="等线" w:hAnsi="等线" w:eastAsia="等线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6">
    <w:name w:val="TOC 标题2"/>
    <w:basedOn w:val="2"/>
    <w:qFormat/>
    <w:uiPriority w:val="39"/>
    <w:pPr>
      <w:widowControl/>
      <w:spacing w:before="240" w:line="259" w:lineRule="auto"/>
      <w:ind w:firstLine="0" w:firstLineChars="0"/>
      <w:outlineLvl w:val="9"/>
    </w:pPr>
    <w:rPr>
      <w:rFonts w:ascii="Cambria" w:hAnsi="Cambria" w:eastAsia="宋体" w:cs="宋体"/>
      <w:bCs w:val="0"/>
      <w:color w:val="365F91"/>
      <w:kern w:val="0"/>
      <w:szCs w:val="32"/>
      <w:lang w:val="en-US" w:bidi="ar-SA"/>
    </w:rPr>
  </w:style>
  <w:style w:type="paragraph" w:customStyle="1" w:styleId="97">
    <w:name w:val="样式2"/>
    <w:basedOn w:val="11"/>
    <w:link w:val="98"/>
    <w:qFormat/>
    <w:uiPriority w:val="0"/>
    <w:pPr>
      <w:spacing w:after="0"/>
    </w:pPr>
  </w:style>
  <w:style w:type="character" w:customStyle="1" w:styleId="98">
    <w:name w:val="样式2 字符"/>
    <w:basedOn w:val="44"/>
    <w:link w:val="97"/>
    <w:qFormat/>
    <w:uiPriority w:val="0"/>
    <w:rPr>
      <w:rFonts w:ascii="仿宋_GB2312" w:hAnsi="Calibri" w:eastAsia="仿宋_GB2312"/>
      <w:kern w:val="2"/>
      <w:sz w:val="30"/>
      <w:szCs w:val="30"/>
    </w:rPr>
  </w:style>
  <w:style w:type="character" w:customStyle="1" w:styleId="99">
    <w:name w:val="文档结构图 字符"/>
    <w:basedOn w:val="31"/>
    <w:link w:val="9"/>
    <w:qFormat/>
    <w:uiPriority w:val="99"/>
    <w:rPr>
      <w:rFonts w:ascii="宋体"/>
      <w:b/>
      <w:kern w:val="2"/>
      <w:sz w:val="18"/>
      <w:szCs w:val="18"/>
    </w:rPr>
  </w:style>
  <w:style w:type="paragraph" w:customStyle="1" w:styleId="100">
    <w:name w:val="修订4"/>
    <w:unhideWhenUsed/>
    <w:qFormat/>
    <w:uiPriority w:val="99"/>
    <w:rPr>
      <w:rFonts w:ascii="Times New Roman" w:hAnsi="Times New Roman" w:eastAsia="Times New Roman" w:cs="Times New Roman"/>
      <w:b/>
      <w:kern w:val="2"/>
      <w:sz w:val="21"/>
      <w:szCs w:val="24"/>
      <w:lang w:val="en-US" w:eastAsia="zh-CN" w:bidi="ar-SA"/>
    </w:rPr>
  </w:style>
  <w:style w:type="paragraph" w:customStyle="1" w:styleId="101">
    <w:name w:val="Revision"/>
    <w:unhideWhenUsed/>
    <w:qFormat/>
    <w:uiPriority w:val="99"/>
    <w:rPr>
      <w:rFonts w:ascii="Times New Roman" w:hAnsi="Times New Roman" w:eastAsia="Times New Roman" w:cs="Times New Roman"/>
      <w:b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20</Pages>
  <Words>14395</Words>
  <Characters>15077</Characters>
  <Lines>183</Lines>
  <Paragraphs>51</Paragraphs>
  <TotalTime>96</TotalTime>
  <ScaleCrop>false</ScaleCrop>
  <LinksUpToDate>false</LinksUpToDate>
  <CharactersWithSpaces>15088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2024-04-28T10:39:00Z</dcterms:created>
  <dc:creator>Administrator</dc:creator>
  <cp:lastModifiedBy>李至臻</cp:lastModifiedBy>
  <dcterms:modified xsi:type="dcterms:W3CDTF">2024-06-26T09:39:55Z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9E3D70AD62C24CE38792930B3E9F3239_13</vt:lpwstr>
  </property>
</Properties>
</file>