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4C9C54">
      <w:pPr>
        <w:autoSpaceDE w:val="0"/>
        <w:autoSpaceDN w:val="0"/>
        <w:adjustRightInd w:val="0"/>
        <w:spacing w:line="590" w:lineRule="exact"/>
        <w:jc w:val="both"/>
        <w:rPr>
          <w:rFonts w:hint="eastAsia" w:ascii="黑体" w:hAnsi="黑体" w:eastAsia="黑体" w:cs="黑体"/>
          <w:sz w:val="36"/>
          <w:szCs w:val="36"/>
          <w:lang w:val="en-US" w:eastAsia="zh-CN"/>
        </w:rPr>
      </w:pPr>
      <w:r>
        <w:rPr>
          <w:rFonts w:hint="eastAsia" w:ascii="黑体" w:hAnsi="黑体" w:eastAsia="黑体" w:cs="黑体"/>
          <w:sz w:val="36"/>
          <w:szCs w:val="36"/>
          <w:lang w:val="en-US" w:eastAsia="zh-CN"/>
        </w:rPr>
        <w:t>附件</w:t>
      </w:r>
    </w:p>
    <w:p w14:paraId="12EEF542">
      <w:pPr>
        <w:autoSpaceDE w:val="0"/>
        <w:autoSpaceDN w:val="0"/>
        <w:adjustRightInd w:val="0"/>
        <w:spacing w:line="590" w:lineRule="exact"/>
        <w:jc w:val="center"/>
        <w:rPr>
          <w:rFonts w:hint="eastAsia" w:ascii="方正小标宋简体" w:hAnsi="方正小标宋简体" w:eastAsia="方正小标宋简体" w:cs="方正小标宋简体"/>
          <w:sz w:val="40"/>
          <w:szCs w:val="40"/>
          <w:lang w:eastAsia="zh-CN"/>
        </w:rPr>
      </w:pPr>
      <w:bookmarkStart w:id="0" w:name="_GoBack"/>
      <w:r>
        <w:rPr>
          <w:rFonts w:hint="eastAsia" w:ascii="方正小标宋简体" w:hAnsi="方正小标宋简体" w:eastAsia="方正小标宋简体" w:cs="方正小标宋简体"/>
          <w:sz w:val="40"/>
          <w:szCs w:val="40"/>
          <w:lang w:val="en-US" w:eastAsia="zh-CN"/>
        </w:rPr>
        <w:t>咸阳</w:t>
      </w:r>
      <w:r>
        <w:rPr>
          <w:rFonts w:hint="eastAsia" w:ascii="方正小标宋简体" w:hAnsi="方正小标宋简体" w:eastAsia="方正小标宋简体" w:cs="方正小标宋简体"/>
          <w:sz w:val="40"/>
          <w:szCs w:val="40"/>
        </w:rPr>
        <w:t>市中小企业数字化转型城市试点数字化改造项目投入核定指引</w:t>
      </w:r>
      <w:r>
        <w:rPr>
          <w:rFonts w:hint="eastAsia" w:ascii="方正小标宋简体" w:hAnsi="方正小标宋简体" w:eastAsia="方正小标宋简体" w:cs="方正小标宋简体"/>
          <w:sz w:val="40"/>
          <w:szCs w:val="40"/>
          <w:lang w:eastAsia="zh-CN"/>
        </w:rPr>
        <w:t>（</w:t>
      </w:r>
      <w:r>
        <w:rPr>
          <w:rFonts w:hint="eastAsia" w:ascii="方正小标宋简体" w:hAnsi="方正小标宋简体" w:eastAsia="方正小标宋简体" w:cs="方正小标宋简体"/>
          <w:sz w:val="40"/>
          <w:szCs w:val="40"/>
          <w:lang w:val="en-US" w:eastAsia="zh-CN"/>
        </w:rPr>
        <w:t>暂行</w:t>
      </w:r>
      <w:r>
        <w:rPr>
          <w:rFonts w:hint="eastAsia" w:ascii="方正小标宋简体" w:hAnsi="方正小标宋简体" w:eastAsia="方正小标宋简体" w:cs="方正小标宋简体"/>
          <w:sz w:val="40"/>
          <w:szCs w:val="40"/>
          <w:lang w:eastAsia="zh-CN"/>
        </w:rPr>
        <w:t>）</w:t>
      </w:r>
      <w:bookmarkEnd w:id="0"/>
    </w:p>
    <w:tbl>
      <w:tblPr>
        <w:tblStyle w:val="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786"/>
        <w:gridCol w:w="939"/>
        <w:gridCol w:w="3645"/>
        <w:gridCol w:w="811"/>
        <w:gridCol w:w="5200"/>
        <w:gridCol w:w="2226"/>
      </w:tblGrid>
      <w:tr w14:paraId="6FEC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blHeader/>
        </w:trPr>
        <w:tc>
          <w:tcPr>
            <w:tcW w:w="196" w:type="pct"/>
            <w:noWrap w:val="0"/>
            <w:vAlign w:val="center"/>
          </w:tcPr>
          <w:p w14:paraId="41047E33">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rPr>
            </w:pPr>
            <w:r>
              <w:rPr>
                <w:rFonts w:hint="eastAsia" w:ascii="黑体" w:hAnsi="黑体" w:eastAsia="黑体" w:cs="黑体"/>
                <w:color w:val="000000"/>
                <w:kern w:val="0"/>
                <w:sz w:val="28"/>
                <w:szCs w:val="28"/>
                <w:lang w:bidi="ar"/>
              </w:rPr>
              <w:t>序号</w:t>
            </w:r>
          </w:p>
        </w:tc>
        <w:tc>
          <w:tcPr>
            <w:tcW w:w="277" w:type="pct"/>
            <w:noWrap w:val="0"/>
            <w:vAlign w:val="center"/>
          </w:tcPr>
          <w:p w14:paraId="3A6376C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rPr>
            </w:pPr>
            <w:r>
              <w:rPr>
                <w:rFonts w:hint="eastAsia" w:ascii="黑体" w:hAnsi="黑体" w:eastAsia="黑体" w:cs="黑体"/>
                <w:color w:val="000000"/>
                <w:kern w:val="0"/>
                <w:sz w:val="28"/>
                <w:szCs w:val="28"/>
                <w:lang w:bidi="ar"/>
              </w:rPr>
              <w:t>一级类目</w:t>
            </w:r>
          </w:p>
        </w:tc>
        <w:tc>
          <w:tcPr>
            <w:tcW w:w="331" w:type="pct"/>
            <w:noWrap w:val="0"/>
            <w:vAlign w:val="center"/>
          </w:tcPr>
          <w:p w14:paraId="07330F8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kern w:val="0"/>
                <w:sz w:val="28"/>
                <w:szCs w:val="28"/>
                <w:lang w:bidi="ar"/>
              </w:rPr>
            </w:pPr>
            <w:r>
              <w:rPr>
                <w:rFonts w:hint="eastAsia" w:ascii="黑体" w:hAnsi="黑体" w:eastAsia="黑体" w:cs="黑体"/>
                <w:color w:val="000000"/>
                <w:kern w:val="0"/>
                <w:sz w:val="28"/>
                <w:szCs w:val="28"/>
                <w:lang w:bidi="ar"/>
              </w:rPr>
              <w:t>二级</w:t>
            </w:r>
          </w:p>
          <w:p w14:paraId="0FEF25C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rPr>
            </w:pPr>
            <w:r>
              <w:rPr>
                <w:rFonts w:hint="eastAsia" w:ascii="黑体" w:hAnsi="黑体" w:eastAsia="黑体" w:cs="黑体"/>
                <w:color w:val="000000"/>
                <w:kern w:val="0"/>
                <w:sz w:val="28"/>
                <w:szCs w:val="28"/>
                <w:lang w:bidi="ar"/>
              </w:rPr>
              <w:t>类目</w:t>
            </w:r>
          </w:p>
        </w:tc>
        <w:tc>
          <w:tcPr>
            <w:tcW w:w="1286" w:type="pct"/>
            <w:noWrap w:val="0"/>
            <w:vAlign w:val="center"/>
          </w:tcPr>
          <w:p w14:paraId="78EC324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rPr>
            </w:pPr>
            <w:r>
              <w:rPr>
                <w:rFonts w:hint="eastAsia" w:ascii="黑体" w:hAnsi="黑体" w:eastAsia="黑体" w:cs="黑体"/>
                <w:color w:val="000000"/>
                <w:kern w:val="0"/>
                <w:sz w:val="28"/>
                <w:szCs w:val="28"/>
                <w:lang w:bidi="ar"/>
              </w:rPr>
              <w:t>释义</w:t>
            </w:r>
          </w:p>
        </w:tc>
        <w:tc>
          <w:tcPr>
            <w:tcW w:w="286" w:type="pct"/>
            <w:noWrap w:val="0"/>
            <w:vAlign w:val="center"/>
          </w:tcPr>
          <w:p w14:paraId="346A8804">
            <w:pPr>
              <w:keepNext w:val="0"/>
              <w:keepLines w:val="0"/>
              <w:pageBreakBefore w:val="0"/>
              <w:kinsoku/>
              <w:wordWrap/>
              <w:overflowPunct/>
              <w:topLinePunct w:val="0"/>
              <w:autoSpaceDE/>
              <w:autoSpaceDN/>
              <w:bidi w:val="0"/>
              <w:adjustRightInd/>
              <w:snapToGrid/>
              <w:spacing w:line="440" w:lineRule="exact"/>
              <w:jc w:val="center"/>
              <w:rPr>
                <w:rFonts w:hint="eastAsia" w:ascii="黑体" w:hAnsi="黑体" w:eastAsia="黑体" w:cs="黑体"/>
                <w:color w:val="000000"/>
                <w:sz w:val="28"/>
                <w:szCs w:val="28"/>
              </w:rPr>
            </w:pPr>
          </w:p>
        </w:tc>
        <w:tc>
          <w:tcPr>
            <w:tcW w:w="1835" w:type="pct"/>
            <w:noWrap w:val="0"/>
            <w:vAlign w:val="center"/>
          </w:tcPr>
          <w:p w14:paraId="012DB98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rPr>
            </w:pPr>
            <w:r>
              <w:rPr>
                <w:rFonts w:hint="eastAsia" w:ascii="黑体" w:hAnsi="黑体" w:eastAsia="黑体" w:cs="黑体"/>
                <w:color w:val="000000"/>
                <w:kern w:val="0"/>
                <w:sz w:val="28"/>
                <w:szCs w:val="28"/>
                <w:lang w:bidi="ar"/>
              </w:rPr>
              <w:t>具体内容</w:t>
            </w:r>
          </w:p>
        </w:tc>
        <w:tc>
          <w:tcPr>
            <w:tcW w:w="785" w:type="pct"/>
            <w:noWrap w:val="0"/>
            <w:vAlign w:val="center"/>
          </w:tcPr>
          <w:p w14:paraId="7FC7858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黑体" w:hAnsi="黑体" w:eastAsia="黑体" w:cs="黑体"/>
                <w:color w:val="000000"/>
                <w:sz w:val="28"/>
                <w:szCs w:val="28"/>
                <w:lang w:val="en-US" w:eastAsia="zh-CN"/>
              </w:rPr>
            </w:pPr>
            <w:r>
              <w:rPr>
                <w:rFonts w:hint="eastAsia" w:ascii="黑体" w:hAnsi="黑体" w:eastAsia="黑体" w:cs="黑体"/>
                <w:color w:val="000000"/>
                <w:sz w:val="28"/>
                <w:szCs w:val="28"/>
                <w:lang w:val="en-US" w:eastAsia="zh-CN"/>
              </w:rPr>
              <w:t>备注</w:t>
            </w:r>
          </w:p>
        </w:tc>
      </w:tr>
      <w:tr w14:paraId="6086C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96" w:type="pct"/>
            <w:noWrap w:val="0"/>
            <w:vAlign w:val="center"/>
          </w:tcPr>
          <w:p w14:paraId="03745A0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w:t>
            </w:r>
          </w:p>
        </w:tc>
        <w:tc>
          <w:tcPr>
            <w:tcW w:w="277" w:type="pct"/>
            <w:vMerge w:val="restart"/>
            <w:noWrap w:val="0"/>
            <w:vAlign w:val="center"/>
          </w:tcPr>
          <w:p w14:paraId="6368880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软件</w:t>
            </w:r>
          </w:p>
        </w:tc>
        <w:tc>
          <w:tcPr>
            <w:tcW w:w="331" w:type="pct"/>
            <w:noWrap w:val="0"/>
            <w:vAlign w:val="center"/>
          </w:tcPr>
          <w:p w14:paraId="2A82A40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软件费</w:t>
            </w:r>
          </w:p>
        </w:tc>
        <w:tc>
          <w:tcPr>
            <w:tcW w:w="1286" w:type="pct"/>
            <w:noWrap w:val="0"/>
            <w:vAlign w:val="center"/>
          </w:tcPr>
          <w:p w14:paraId="6DA2BCDB">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企业为购买或授权使用标准化、商业化的计算机软件、基础软件产品所支付的费用</w:t>
            </w:r>
          </w:p>
        </w:tc>
        <w:tc>
          <w:tcPr>
            <w:tcW w:w="286" w:type="pct"/>
            <w:noWrap w:val="0"/>
            <w:vAlign w:val="center"/>
          </w:tcPr>
          <w:p w14:paraId="3E7878C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308E3E16">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研发设计、生产制造、采购供应、营销管理、质量管理、客户服务</w:t>
            </w:r>
            <w:r>
              <w:rPr>
                <w:rFonts w:hint="eastAsia" w:ascii="仿宋_GB2312" w:hAnsi="仿宋_GB2312" w:eastAsia="仿宋_GB2312" w:cs="仿宋_GB2312"/>
                <w:color w:val="000000"/>
                <w:kern w:val="0"/>
                <w:sz w:val="28"/>
                <w:szCs w:val="28"/>
                <w:lang w:eastAsia="zh-CN" w:bidi="ar"/>
              </w:rPr>
              <w:t>、</w:t>
            </w:r>
            <w:r>
              <w:rPr>
                <w:rFonts w:hint="eastAsia" w:ascii="仿宋_GB2312" w:hAnsi="仿宋_GB2312" w:eastAsia="仿宋_GB2312" w:cs="仿宋_GB2312"/>
                <w:color w:val="000000"/>
                <w:kern w:val="0"/>
                <w:sz w:val="28"/>
                <w:szCs w:val="28"/>
                <w:lang w:val="en-US" w:eastAsia="zh-CN" w:bidi="ar"/>
              </w:rPr>
              <w:t>网络信息安全</w:t>
            </w:r>
            <w:r>
              <w:rPr>
                <w:rFonts w:hint="eastAsia" w:ascii="仿宋_GB2312" w:hAnsi="仿宋_GB2312" w:eastAsia="仿宋_GB2312" w:cs="仿宋_GB2312"/>
                <w:color w:val="000000"/>
                <w:kern w:val="0"/>
                <w:sz w:val="28"/>
                <w:szCs w:val="28"/>
                <w:lang w:bidi="ar"/>
              </w:rPr>
              <w:t>等环节应用的软件系统</w:t>
            </w:r>
          </w:p>
        </w:tc>
        <w:tc>
          <w:tcPr>
            <w:tcW w:w="785" w:type="pct"/>
            <w:noWrap/>
            <w:vAlign w:val="center"/>
          </w:tcPr>
          <w:p w14:paraId="3B5139A3">
            <w:pPr>
              <w:keepNext w:val="0"/>
              <w:keepLines w:val="0"/>
              <w:pageBreakBefore w:val="0"/>
              <w:kinsoku/>
              <w:wordWrap/>
              <w:overflowPunct/>
              <w:topLinePunct w:val="0"/>
              <w:autoSpaceDE/>
              <w:autoSpaceDN/>
              <w:bidi w:val="0"/>
              <w:adjustRightInd/>
              <w:snapToGrid/>
              <w:spacing w:line="440" w:lineRule="exact"/>
              <w:rPr>
                <w:rFonts w:hint="eastAsia" w:ascii="仿宋_GB2312" w:hAnsi="仿宋_GB2312" w:eastAsia="仿宋_GB2312" w:cs="仿宋_GB2312"/>
                <w:color w:val="000000"/>
                <w:sz w:val="28"/>
                <w:szCs w:val="28"/>
              </w:rPr>
            </w:pPr>
          </w:p>
        </w:tc>
      </w:tr>
      <w:tr w14:paraId="2AEA8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96" w:type="pct"/>
            <w:noWrap w:val="0"/>
            <w:vAlign w:val="center"/>
          </w:tcPr>
          <w:p w14:paraId="509F6D26">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lang w:eastAsia="zh-CN"/>
              </w:rPr>
            </w:pPr>
            <w:r>
              <w:rPr>
                <w:rFonts w:hint="eastAsia" w:ascii="仿宋_GB2312" w:hAnsi="仿宋_GB2312" w:eastAsia="仿宋_GB2312" w:cs="仿宋_GB2312"/>
                <w:color w:val="000000"/>
                <w:kern w:val="0"/>
                <w:sz w:val="28"/>
                <w:szCs w:val="28"/>
                <w:lang w:val="en-US" w:eastAsia="zh-CN" w:bidi="ar"/>
              </w:rPr>
              <w:t>2</w:t>
            </w:r>
          </w:p>
        </w:tc>
        <w:tc>
          <w:tcPr>
            <w:tcW w:w="277" w:type="pct"/>
            <w:vMerge w:val="continue"/>
            <w:noWrap w:val="0"/>
            <w:vAlign w:val="center"/>
          </w:tcPr>
          <w:p w14:paraId="5101A844">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vMerge w:val="restart"/>
            <w:noWrap w:val="0"/>
            <w:vAlign w:val="center"/>
          </w:tcPr>
          <w:p w14:paraId="612B1D6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系统实施费</w:t>
            </w:r>
          </w:p>
        </w:tc>
        <w:tc>
          <w:tcPr>
            <w:tcW w:w="1286" w:type="pct"/>
            <w:vMerge w:val="restart"/>
            <w:noWrap w:val="0"/>
            <w:vAlign w:val="center"/>
          </w:tcPr>
          <w:p w14:paraId="00E88FD9">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企业为部署、配置、调试软件系统所需支付的技术服务费用</w:t>
            </w:r>
          </w:p>
        </w:tc>
        <w:tc>
          <w:tcPr>
            <w:tcW w:w="286" w:type="pct"/>
            <w:noWrap w:val="0"/>
            <w:vAlign w:val="center"/>
          </w:tcPr>
          <w:p w14:paraId="160036D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1EDB7CD1">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系统安装、环境搭建、数据迁移、流程适配、用户培训等实施服务费用</w:t>
            </w:r>
          </w:p>
        </w:tc>
        <w:tc>
          <w:tcPr>
            <w:tcW w:w="785" w:type="pct"/>
            <w:noWrap w:val="0"/>
            <w:vAlign w:val="center"/>
          </w:tcPr>
          <w:p w14:paraId="05339EE1">
            <w:pPr>
              <w:keepNext w:val="0"/>
              <w:keepLines w:val="0"/>
              <w:pageBreakBefore w:val="0"/>
              <w:widowControl/>
              <w:tabs>
                <w:tab w:val="center" w:pos="1016"/>
              </w:tabs>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系统实施费需要明确具体实施内容、实施工作量、人天费用标准等信息，“总人天工作量”要符合项目实际，需有构成明细。</w:t>
            </w:r>
          </w:p>
        </w:tc>
      </w:tr>
      <w:tr w14:paraId="63FA4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96" w:type="pct"/>
            <w:noWrap w:val="0"/>
            <w:vAlign w:val="center"/>
          </w:tcPr>
          <w:p w14:paraId="25DFE30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3</w:t>
            </w:r>
          </w:p>
        </w:tc>
        <w:tc>
          <w:tcPr>
            <w:tcW w:w="277" w:type="pct"/>
            <w:vMerge w:val="continue"/>
            <w:noWrap w:val="0"/>
            <w:vAlign w:val="center"/>
          </w:tcPr>
          <w:p w14:paraId="1A8D3C93">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vMerge w:val="continue"/>
            <w:noWrap w:val="0"/>
            <w:vAlign w:val="center"/>
          </w:tcPr>
          <w:p w14:paraId="1F6B133A">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p>
        </w:tc>
        <w:tc>
          <w:tcPr>
            <w:tcW w:w="1286" w:type="pct"/>
            <w:vMerge w:val="continue"/>
            <w:noWrap w:val="0"/>
            <w:vAlign w:val="center"/>
          </w:tcPr>
          <w:p w14:paraId="3FF0E1F9">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kern w:val="0"/>
                <w:sz w:val="28"/>
                <w:szCs w:val="28"/>
                <w:lang w:bidi="ar"/>
              </w:rPr>
            </w:pPr>
          </w:p>
        </w:tc>
        <w:tc>
          <w:tcPr>
            <w:tcW w:w="286" w:type="pct"/>
            <w:noWrap w:val="0"/>
            <w:vAlign w:val="center"/>
          </w:tcPr>
          <w:p w14:paraId="01D2A7C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不含</w:t>
            </w:r>
          </w:p>
        </w:tc>
        <w:tc>
          <w:tcPr>
            <w:tcW w:w="1835" w:type="pct"/>
            <w:noWrap w:val="0"/>
            <w:vAlign w:val="center"/>
          </w:tcPr>
          <w:p w14:paraId="556954EC">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系统运维费</w:t>
            </w:r>
          </w:p>
        </w:tc>
        <w:tc>
          <w:tcPr>
            <w:tcW w:w="785" w:type="pct"/>
            <w:noWrap w:val="0"/>
            <w:vAlign w:val="center"/>
          </w:tcPr>
          <w:p w14:paraId="224341DD">
            <w:pPr>
              <w:keepNext w:val="0"/>
              <w:keepLines w:val="0"/>
              <w:pageBreakBefore w:val="0"/>
              <w:widowControl/>
              <w:tabs>
                <w:tab w:val="center" w:pos="1016"/>
              </w:tabs>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lang w:val="en-US" w:eastAsia="zh-CN"/>
              </w:rPr>
            </w:pPr>
          </w:p>
        </w:tc>
      </w:tr>
      <w:tr w14:paraId="2A1B3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96" w:type="pct"/>
            <w:noWrap w:val="0"/>
            <w:vAlign w:val="center"/>
          </w:tcPr>
          <w:p w14:paraId="188F5700">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4</w:t>
            </w:r>
          </w:p>
        </w:tc>
        <w:tc>
          <w:tcPr>
            <w:tcW w:w="277" w:type="pct"/>
            <w:vMerge w:val="continue"/>
            <w:noWrap w:val="0"/>
            <w:vAlign w:val="center"/>
          </w:tcPr>
          <w:p w14:paraId="7864E029">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noWrap w:val="0"/>
            <w:vAlign w:val="center"/>
          </w:tcPr>
          <w:p w14:paraId="3893548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技术开发费</w:t>
            </w:r>
          </w:p>
        </w:tc>
        <w:tc>
          <w:tcPr>
            <w:tcW w:w="1286" w:type="pct"/>
            <w:noWrap w:val="0"/>
            <w:vAlign w:val="center"/>
          </w:tcPr>
          <w:p w14:paraId="5DDA30FA">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企业根据自身个性化需求对标准化软件进行定制化功能扩展或接口开发所支付的费用</w:t>
            </w:r>
          </w:p>
        </w:tc>
        <w:tc>
          <w:tcPr>
            <w:tcW w:w="286" w:type="pct"/>
            <w:noWrap w:val="0"/>
            <w:vAlign w:val="center"/>
          </w:tcPr>
          <w:p w14:paraId="446198D5">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55DFB5CD">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1.与企业内部其他业务系统的API接口开发费用</w:t>
            </w:r>
            <w:r>
              <w:rPr>
                <w:rFonts w:hint="eastAsia" w:ascii="仿宋_GB2312" w:hAnsi="仿宋_GB2312" w:eastAsia="仿宋_GB2312" w:cs="仿宋_GB2312"/>
                <w:color w:val="000000"/>
                <w:kern w:val="0"/>
                <w:sz w:val="28"/>
                <w:szCs w:val="28"/>
                <w:lang w:bidi="ar"/>
              </w:rPr>
              <w:br w:type="textWrapping"/>
            </w:r>
            <w:r>
              <w:rPr>
                <w:rFonts w:hint="eastAsia" w:ascii="仿宋_GB2312" w:hAnsi="仿宋_GB2312" w:eastAsia="仿宋_GB2312" w:cs="仿宋_GB2312"/>
                <w:color w:val="000000"/>
                <w:kern w:val="0"/>
                <w:sz w:val="28"/>
                <w:szCs w:val="28"/>
                <w:lang w:bidi="ar"/>
              </w:rPr>
              <w:t>2.业务流程定制、功能模块新增或调整、报表定制等二次开发服务费用</w:t>
            </w:r>
          </w:p>
        </w:tc>
        <w:tc>
          <w:tcPr>
            <w:tcW w:w="785" w:type="pct"/>
            <w:noWrap w:val="0"/>
            <w:vAlign w:val="center"/>
          </w:tcPr>
          <w:p w14:paraId="7B852EFE">
            <w:pPr>
              <w:keepNext w:val="0"/>
              <w:keepLines w:val="0"/>
              <w:pageBreakBefore w:val="0"/>
              <w:kinsoku/>
              <w:wordWrap/>
              <w:overflowPunct/>
              <w:topLinePunct w:val="0"/>
              <w:autoSpaceDE/>
              <w:autoSpaceDN/>
              <w:bidi w:val="0"/>
              <w:adjustRightInd/>
              <w:snapToGrid/>
              <w:spacing w:line="440" w:lineRule="exact"/>
              <w:jc w:val="lef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eastAsia="zh-CN"/>
              </w:rPr>
              <w:t>定制开发、二次开发费需要明确具体开发内容、开发工作量、人天费用标准等信息，“总人天工作量”要符合项目实际，需有构成明细。</w:t>
            </w:r>
          </w:p>
        </w:tc>
      </w:tr>
      <w:tr w14:paraId="0D97A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0" w:hRule="atLeast"/>
        </w:trPr>
        <w:tc>
          <w:tcPr>
            <w:tcW w:w="196" w:type="pct"/>
            <w:noWrap w:val="0"/>
            <w:vAlign w:val="center"/>
          </w:tcPr>
          <w:p w14:paraId="1BEA98A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5</w:t>
            </w:r>
          </w:p>
        </w:tc>
        <w:tc>
          <w:tcPr>
            <w:tcW w:w="277" w:type="pct"/>
            <w:vMerge w:val="restart"/>
            <w:noWrap w:val="0"/>
            <w:vAlign w:val="center"/>
          </w:tcPr>
          <w:p w14:paraId="67C0CA2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云服务</w:t>
            </w:r>
          </w:p>
        </w:tc>
        <w:tc>
          <w:tcPr>
            <w:tcW w:w="331" w:type="pct"/>
            <w:noWrap w:val="0"/>
            <w:vAlign w:val="center"/>
          </w:tcPr>
          <w:p w14:paraId="0ACDFBE7">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基础设施服务</w:t>
            </w:r>
          </w:p>
        </w:tc>
        <w:tc>
          <w:tcPr>
            <w:tcW w:w="1286" w:type="pct"/>
            <w:noWrap w:val="0"/>
            <w:vAlign w:val="center"/>
          </w:tcPr>
          <w:p w14:paraId="248905D3">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企业购买或租用公有云服务器的费用</w:t>
            </w:r>
          </w:p>
        </w:tc>
        <w:tc>
          <w:tcPr>
            <w:tcW w:w="286" w:type="pct"/>
            <w:noWrap w:val="0"/>
            <w:vAlign w:val="center"/>
          </w:tcPr>
          <w:p w14:paraId="38930B13">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0A27FF7B">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云服务器、云存储、云计算等基础设施服务的购买、租赁等</w:t>
            </w:r>
          </w:p>
        </w:tc>
        <w:tc>
          <w:tcPr>
            <w:tcW w:w="785" w:type="pct"/>
            <w:vMerge w:val="restart"/>
            <w:noWrap w:val="0"/>
            <w:vAlign w:val="center"/>
          </w:tcPr>
          <w:p w14:paraId="1440F3F1">
            <w:pPr>
              <w:keepNext w:val="0"/>
              <w:keepLines w:val="0"/>
              <w:pageBreakBefore w:val="0"/>
              <w:kinsoku/>
              <w:wordWrap/>
              <w:overflowPunct/>
              <w:topLinePunct w:val="0"/>
              <w:autoSpaceDE/>
              <w:autoSpaceDN/>
              <w:bidi w:val="0"/>
              <w:adjustRightInd/>
              <w:snapToGrid/>
              <w:spacing w:line="440" w:lineRule="exact"/>
              <w:jc w:val="left"/>
              <w:rPr>
                <w:rFonts w:hint="eastAsia" w:ascii="仿宋_GB2312" w:hAnsi="仿宋_GB2312" w:eastAsia="仿宋_GB2312" w:cs="仿宋_GB2312"/>
                <w:color w:val="000000"/>
                <w:kern w:val="0"/>
                <w:sz w:val="28"/>
                <w:szCs w:val="28"/>
                <w:lang w:bidi="ar"/>
              </w:rPr>
            </w:pPr>
          </w:p>
        </w:tc>
      </w:tr>
      <w:tr w14:paraId="1866F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196" w:type="pct"/>
            <w:noWrap w:val="0"/>
            <w:vAlign w:val="center"/>
          </w:tcPr>
          <w:p w14:paraId="5CC5C6B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6</w:t>
            </w:r>
          </w:p>
        </w:tc>
        <w:tc>
          <w:tcPr>
            <w:tcW w:w="277" w:type="pct"/>
            <w:vMerge w:val="continue"/>
            <w:noWrap w:val="0"/>
            <w:vAlign w:val="center"/>
          </w:tcPr>
          <w:p w14:paraId="2A6D4B14">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p>
        </w:tc>
        <w:tc>
          <w:tcPr>
            <w:tcW w:w="331" w:type="pct"/>
            <w:vMerge w:val="restart"/>
            <w:noWrap w:val="0"/>
            <w:vAlign w:val="center"/>
          </w:tcPr>
          <w:p w14:paraId="49C2E7B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2"/>
                <w:szCs w:val="22"/>
                <w:lang w:bidi="ar"/>
              </w:rPr>
            </w:pPr>
            <w:r>
              <w:rPr>
                <w:rFonts w:hint="eastAsia" w:ascii="仿宋_GB2312" w:hAnsi="仿宋_GB2312" w:eastAsia="仿宋_GB2312" w:cs="仿宋_GB2312"/>
                <w:color w:val="000000"/>
                <w:kern w:val="0"/>
                <w:sz w:val="24"/>
                <w:szCs w:val="24"/>
                <w:lang w:bidi="ar"/>
              </w:rPr>
              <w:t>平台服务、软件服务等</w:t>
            </w:r>
          </w:p>
        </w:tc>
        <w:tc>
          <w:tcPr>
            <w:tcW w:w="1286" w:type="pct"/>
            <w:vMerge w:val="restart"/>
            <w:noWrap w:val="0"/>
            <w:vAlign w:val="center"/>
          </w:tcPr>
          <w:p w14:paraId="3E3DE168">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企业购买或租用</w:t>
            </w:r>
            <w:r>
              <w:rPr>
                <w:rFonts w:hint="eastAsia" w:ascii="仿宋_GB2312" w:hAnsi="仿宋_GB2312" w:eastAsia="仿宋_GB2312" w:cs="仿宋_GB2312"/>
                <w:color w:val="000000"/>
                <w:kern w:val="0"/>
                <w:sz w:val="28"/>
                <w:szCs w:val="28"/>
                <w:lang w:val="en-US" w:eastAsia="zh-CN" w:bidi="ar"/>
              </w:rPr>
              <w:t>P</w:t>
            </w:r>
            <w:r>
              <w:rPr>
                <w:rFonts w:hint="eastAsia" w:ascii="仿宋_GB2312" w:hAnsi="仿宋_GB2312" w:eastAsia="仿宋_GB2312" w:cs="仿宋_GB2312"/>
                <w:color w:val="000000"/>
                <w:kern w:val="0"/>
                <w:sz w:val="28"/>
                <w:szCs w:val="28"/>
                <w:lang w:bidi="ar"/>
              </w:rPr>
              <w:t>a</w:t>
            </w:r>
            <w:r>
              <w:rPr>
                <w:rFonts w:hint="eastAsia" w:ascii="仿宋_GB2312" w:hAnsi="仿宋_GB2312" w:eastAsia="仿宋_GB2312" w:cs="仿宋_GB2312"/>
                <w:color w:val="000000"/>
                <w:kern w:val="0"/>
                <w:sz w:val="28"/>
                <w:szCs w:val="28"/>
                <w:lang w:val="en-US" w:eastAsia="zh-CN" w:bidi="ar"/>
              </w:rPr>
              <w:t>aS平台、</w:t>
            </w:r>
            <w:r>
              <w:rPr>
                <w:rFonts w:hint="eastAsia" w:ascii="仿宋_GB2312" w:hAnsi="仿宋_GB2312" w:eastAsia="仿宋_GB2312" w:cs="仿宋_GB2312"/>
                <w:color w:val="000000"/>
                <w:kern w:val="0"/>
                <w:sz w:val="28"/>
                <w:szCs w:val="28"/>
                <w:lang w:bidi="ar"/>
              </w:rPr>
              <w:t>SaaS软件所涉及的云服务费用</w:t>
            </w:r>
          </w:p>
        </w:tc>
        <w:tc>
          <w:tcPr>
            <w:tcW w:w="286" w:type="pct"/>
            <w:noWrap w:val="0"/>
            <w:vAlign w:val="center"/>
          </w:tcPr>
          <w:p w14:paraId="38777218">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2D19E3BF">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val="en-US" w:eastAsia="zh-CN" w:bidi="ar"/>
              </w:rPr>
              <w:t>应用开发平台、集成平台、</w:t>
            </w:r>
            <w:r>
              <w:rPr>
                <w:rFonts w:hint="eastAsia" w:ascii="仿宋_GB2312" w:hAnsi="仿宋_GB2312" w:eastAsia="仿宋_GB2312" w:cs="仿宋_GB2312"/>
                <w:color w:val="000000"/>
                <w:kern w:val="0"/>
                <w:sz w:val="28"/>
                <w:szCs w:val="28"/>
                <w:lang w:bidi="ar"/>
              </w:rPr>
              <w:t>计算机软件、基础软件等业务上云的费用</w:t>
            </w:r>
          </w:p>
        </w:tc>
        <w:tc>
          <w:tcPr>
            <w:tcW w:w="785" w:type="pct"/>
            <w:vMerge w:val="continue"/>
            <w:noWrap w:val="0"/>
            <w:vAlign w:val="center"/>
          </w:tcPr>
          <w:p w14:paraId="3A4599CC">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p>
        </w:tc>
      </w:tr>
      <w:tr w14:paraId="37240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96" w:type="pct"/>
            <w:noWrap w:val="0"/>
            <w:vAlign w:val="center"/>
          </w:tcPr>
          <w:p w14:paraId="14063963">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7</w:t>
            </w:r>
          </w:p>
        </w:tc>
        <w:tc>
          <w:tcPr>
            <w:tcW w:w="277" w:type="pct"/>
            <w:vMerge w:val="continue"/>
            <w:noWrap w:val="0"/>
            <w:vAlign w:val="center"/>
          </w:tcPr>
          <w:p w14:paraId="33F1422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p>
        </w:tc>
        <w:tc>
          <w:tcPr>
            <w:tcW w:w="331" w:type="pct"/>
            <w:vMerge w:val="continue"/>
            <w:noWrap w:val="0"/>
            <w:vAlign w:val="center"/>
          </w:tcPr>
          <w:p w14:paraId="274BAAA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p>
        </w:tc>
        <w:tc>
          <w:tcPr>
            <w:tcW w:w="1286" w:type="pct"/>
            <w:vMerge w:val="continue"/>
            <w:noWrap w:val="0"/>
            <w:vAlign w:val="center"/>
          </w:tcPr>
          <w:p w14:paraId="79438D9E">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kern w:val="0"/>
                <w:sz w:val="28"/>
                <w:szCs w:val="28"/>
                <w:lang w:bidi="ar"/>
              </w:rPr>
            </w:pPr>
          </w:p>
        </w:tc>
        <w:tc>
          <w:tcPr>
            <w:tcW w:w="286" w:type="pct"/>
            <w:noWrap w:val="0"/>
            <w:vAlign w:val="center"/>
          </w:tcPr>
          <w:p w14:paraId="2DA7351C">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不含</w:t>
            </w:r>
          </w:p>
        </w:tc>
        <w:tc>
          <w:tcPr>
            <w:tcW w:w="1835" w:type="pct"/>
            <w:noWrap w:val="0"/>
            <w:vAlign w:val="center"/>
          </w:tcPr>
          <w:p w14:paraId="2D98C6F6">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部署云基础设施的硬件设备如堡垒机、交换机等</w:t>
            </w:r>
          </w:p>
        </w:tc>
        <w:tc>
          <w:tcPr>
            <w:tcW w:w="785" w:type="pct"/>
            <w:vMerge w:val="continue"/>
            <w:noWrap w:val="0"/>
            <w:vAlign w:val="center"/>
          </w:tcPr>
          <w:p w14:paraId="56522839">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p>
        </w:tc>
      </w:tr>
      <w:tr w14:paraId="7B68C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96" w:type="pct"/>
            <w:noWrap w:val="0"/>
            <w:vAlign w:val="center"/>
          </w:tcPr>
          <w:p w14:paraId="7D91F3E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8</w:t>
            </w:r>
          </w:p>
        </w:tc>
        <w:tc>
          <w:tcPr>
            <w:tcW w:w="277" w:type="pct"/>
            <w:vMerge w:val="restart"/>
            <w:noWrap w:val="0"/>
            <w:vAlign w:val="center"/>
          </w:tcPr>
          <w:p w14:paraId="2373CEC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必要的数据采集及传输设备</w:t>
            </w:r>
          </w:p>
        </w:tc>
        <w:tc>
          <w:tcPr>
            <w:tcW w:w="331" w:type="pct"/>
            <w:noWrap w:val="0"/>
            <w:vAlign w:val="center"/>
          </w:tcPr>
          <w:p w14:paraId="6D65CF52">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数据采集设备</w:t>
            </w:r>
          </w:p>
        </w:tc>
        <w:tc>
          <w:tcPr>
            <w:tcW w:w="1286" w:type="pct"/>
            <w:noWrap w:val="0"/>
            <w:vAlign w:val="center"/>
          </w:tcPr>
          <w:p w14:paraId="4E050BD9">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kern w:val="0"/>
                <w:sz w:val="28"/>
                <w:szCs w:val="28"/>
                <w:lang w:bidi="ar"/>
              </w:rPr>
              <w:t>利用传感、自动识别、系统读取、工业控制数据解析等数据采集技术，将设备的性能参数、运行状态和环境状态等信息转化为数字形式，实现对设备信息监测和采集</w:t>
            </w:r>
            <w:r>
              <w:rPr>
                <w:rFonts w:hint="eastAsia" w:ascii="仿宋_GB2312" w:hAnsi="仿宋_GB2312" w:eastAsia="仿宋_GB2312" w:cs="仿宋_GB2312"/>
                <w:color w:val="000000"/>
                <w:kern w:val="0"/>
                <w:sz w:val="28"/>
                <w:szCs w:val="28"/>
                <w:lang w:val="en-US" w:eastAsia="zh-CN" w:bidi="ar"/>
              </w:rPr>
              <w:t>的设备</w:t>
            </w:r>
          </w:p>
        </w:tc>
        <w:tc>
          <w:tcPr>
            <w:tcW w:w="286" w:type="pct"/>
            <w:noWrap w:val="0"/>
            <w:vAlign w:val="center"/>
          </w:tcPr>
          <w:p w14:paraId="4EC6AF4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37D80A07">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传感器、数据采集器（工位一体机、读码设备、视觉识别设备或者声音识别设备）等</w:t>
            </w:r>
          </w:p>
        </w:tc>
        <w:tc>
          <w:tcPr>
            <w:tcW w:w="785" w:type="pct"/>
            <w:vMerge w:val="restart"/>
            <w:noWrap w:val="0"/>
            <w:vAlign w:val="center"/>
          </w:tcPr>
          <w:p w14:paraId="4EC7A7A3">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b/>
                <w:bCs/>
                <w:color w:val="000000"/>
                <w:sz w:val="28"/>
                <w:szCs w:val="28"/>
                <w:lang w:val="en-US" w:eastAsia="zh-CN"/>
              </w:rPr>
            </w:pPr>
          </w:p>
        </w:tc>
      </w:tr>
      <w:tr w14:paraId="374E2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trPr>
        <w:tc>
          <w:tcPr>
            <w:tcW w:w="196" w:type="pct"/>
            <w:noWrap w:val="0"/>
            <w:vAlign w:val="center"/>
          </w:tcPr>
          <w:p w14:paraId="1FD60E3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9</w:t>
            </w:r>
          </w:p>
        </w:tc>
        <w:tc>
          <w:tcPr>
            <w:tcW w:w="277" w:type="pct"/>
            <w:vMerge w:val="continue"/>
            <w:noWrap w:val="0"/>
            <w:vAlign w:val="center"/>
          </w:tcPr>
          <w:p w14:paraId="42C0CE47">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noWrap w:val="0"/>
            <w:vAlign w:val="center"/>
          </w:tcPr>
          <w:p w14:paraId="01CEAB59">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数据传输设备</w:t>
            </w:r>
          </w:p>
        </w:tc>
        <w:tc>
          <w:tcPr>
            <w:tcW w:w="1286" w:type="pct"/>
            <w:noWrap w:val="0"/>
            <w:vAlign w:val="center"/>
          </w:tcPr>
          <w:p w14:paraId="36FAA082">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kern w:val="0"/>
                <w:sz w:val="28"/>
                <w:szCs w:val="28"/>
                <w:lang w:bidi="ar"/>
              </w:rPr>
              <w:t>利用网络连接、协议转换等数据传输和管理技术通过一条或者多条数据链路，将数据从数据源传输到数据终端</w:t>
            </w:r>
            <w:r>
              <w:rPr>
                <w:rFonts w:hint="eastAsia" w:ascii="仿宋_GB2312" w:hAnsi="仿宋_GB2312" w:eastAsia="仿宋_GB2312" w:cs="仿宋_GB2312"/>
                <w:color w:val="000000"/>
                <w:kern w:val="0"/>
                <w:sz w:val="28"/>
                <w:szCs w:val="28"/>
                <w:lang w:val="en-US" w:eastAsia="zh-CN" w:bidi="ar"/>
              </w:rPr>
              <w:t>的设备</w:t>
            </w:r>
          </w:p>
        </w:tc>
        <w:tc>
          <w:tcPr>
            <w:tcW w:w="286" w:type="pct"/>
            <w:noWrap w:val="0"/>
            <w:vAlign w:val="center"/>
          </w:tcPr>
          <w:p w14:paraId="1415010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包括</w:t>
            </w:r>
          </w:p>
        </w:tc>
        <w:tc>
          <w:tcPr>
            <w:tcW w:w="1835" w:type="pct"/>
            <w:noWrap w:val="0"/>
            <w:vAlign w:val="center"/>
          </w:tcPr>
          <w:p w14:paraId="5723B87F">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网关、路由、无线AP等用于数据传输的数字化基础设施设备</w:t>
            </w:r>
          </w:p>
        </w:tc>
        <w:tc>
          <w:tcPr>
            <w:tcW w:w="785" w:type="pct"/>
            <w:vMerge w:val="continue"/>
            <w:noWrap w:val="0"/>
            <w:vAlign w:val="center"/>
          </w:tcPr>
          <w:p w14:paraId="574EE28D">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b/>
                <w:bCs/>
                <w:color w:val="000000"/>
                <w:sz w:val="28"/>
                <w:szCs w:val="28"/>
              </w:rPr>
            </w:pPr>
          </w:p>
        </w:tc>
      </w:tr>
      <w:tr w14:paraId="07B4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trPr>
        <w:tc>
          <w:tcPr>
            <w:tcW w:w="196" w:type="pct"/>
            <w:noWrap w:val="0"/>
            <w:vAlign w:val="center"/>
          </w:tcPr>
          <w:p w14:paraId="5E9FF56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10</w:t>
            </w:r>
          </w:p>
        </w:tc>
        <w:tc>
          <w:tcPr>
            <w:tcW w:w="277" w:type="pct"/>
            <w:vMerge w:val="continue"/>
            <w:noWrap w:val="0"/>
            <w:vAlign w:val="center"/>
          </w:tcPr>
          <w:p w14:paraId="700DFE72">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noWrap w:val="0"/>
            <w:vAlign w:val="center"/>
          </w:tcPr>
          <w:p w14:paraId="3C54D67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数据识别设备</w:t>
            </w:r>
          </w:p>
        </w:tc>
        <w:tc>
          <w:tcPr>
            <w:tcW w:w="1286" w:type="pct"/>
            <w:noWrap w:val="0"/>
            <w:vAlign w:val="center"/>
          </w:tcPr>
          <w:p w14:paraId="2335DE9C">
            <w:pPr>
              <w:keepNext w:val="0"/>
              <w:keepLines w:val="0"/>
              <w:pageBreakBefore w:val="0"/>
              <w:widowControl/>
              <w:kinsoku/>
              <w:wordWrap/>
              <w:overflowPunct/>
              <w:topLinePunct w:val="0"/>
              <w:autoSpaceDE/>
              <w:autoSpaceDN/>
              <w:bidi w:val="0"/>
              <w:adjustRightInd/>
              <w:snapToGrid/>
              <w:spacing w:line="440" w:lineRule="exact"/>
              <w:textAlignment w:val="center"/>
              <w:rPr>
                <w:rFonts w:hint="eastAsia" w:ascii="仿宋_GB2312" w:hAnsi="仿宋_GB2312" w:eastAsia="仿宋_GB2312" w:cs="仿宋_GB2312"/>
                <w:color w:val="000000"/>
                <w:kern w:val="0"/>
                <w:sz w:val="28"/>
                <w:szCs w:val="28"/>
                <w:lang w:eastAsia="zh-CN" w:bidi="ar"/>
              </w:rPr>
            </w:pPr>
            <w:r>
              <w:rPr>
                <w:rFonts w:hint="eastAsia" w:ascii="仿宋_GB2312" w:hAnsi="仿宋_GB2312" w:eastAsia="仿宋_GB2312" w:cs="仿宋_GB2312"/>
                <w:color w:val="000000"/>
                <w:kern w:val="0"/>
                <w:sz w:val="28"/>
                <w:szCs w:val="28"/>
                <w:lang w:val="en-US" w:eastAsia="zh-CN" w:bidi="ar"/>
              </w:rPr>
              <w:t>与</w:t>
            </w:r>
            <w:r>
              <w:rPr>
                <w:rFonts w:hint="eastAsia" w:ascii="仿宋_GB2312" w:hAnsi="仿宋_GB2312" w:eastAsia="仿宋_GB2312" w:cs="仿宋_GB2312"/>
                <w:color w:val="000000"/>
                <w:kern w:val="0"/>
                <w:sz w:val="28"/>
                <w:szCs w:val="28"/>
                <w:lang w:bidi="ar"/>
              </w:rPr>
              <w:t>数字化改造</w:t>
            </w:r>
            <w:r>
              <w:rPr>
                <w:rFonts w:hint="eastAsia" w:ascii="仿宋_GB2312" w:hAnsi="仿宋_GB2312" w:eastAsia="仿宋_GB2312" w:cs="仿宋_GB2312"/>
                <w:color w:val="000000"/>
                <w:kern w:val="0"/>
                <w:sz w:val="28"/>
                <w:szCs w:val="28"/>
                <w:lang w:val="en-US" w:eastAsia="zh-CN" w:bidi="ar"/>
              </w:rPr>
              <w:t>软件配套</w:t>
            </w:r>
            <w:r>
              <w:rPr>
                <w:rFonts w:hint="eastAsia" w:ascii="仿宋_GB2312" w:hAnsi="仿宋_GB2312" w:eastAsia="仿宋_GB2312" w:cs="仿宋_GB2312"/>
                <w:color w:val="000000"/>
                <w:kern w:val="0"/>
                <w:sz w:val="28"/>
                <w:szCs w:val="28"/>
                <w:lang w:bidi="ar"/>
              </w:rPr>
              <w:t>的具备视觉检测、视频监控、人脸识别、危险动作识别及预警</w:t>
            </w:r>
            <w:r>
              <w:rPr>
                <w:rFonts w:hint="eastAsia" w:ascii="仿宋_GB2312" w:hAnsi="仿宋_GB2312" w:eastAsia="仿宋_GB2312" w:cs="仿宋_GB2312"/>
                <w:color w:val="000000"/>
                <w:kern w:val="0"/>
                <w:sz w:val="28"/>
                <w:szCs w:val="28"/>
                <w:lang w:val="en-US" w:eastAsia="zh-CN" w:bidi="ar"/>
              </w:rPr>
              <w:t>等</w:t>
            </w:r>
            <w:r>
              <w:rPr>
                <w:rFonts w:hint="eastAsia" w:ascii="仿宋_GB2312" w:hAnsi="仿宋_GB2312" w:eastAsia="仿宋_GB2312" w:cs="仿宋_GB2312"/>
                <w:color w:val="000000"/>
                <w:kern w:val="0"/>
                <w:sz w:val="28"/>
                <w:szCs w:val="28"/>
                <w:lang w:bidi="ar"/>
              </w:rPr>
              <w:t>功能的设备</w:t>
            </w:r>
          </w:p>
        </w:tc>
        <w:tc>
          <w:tcPr>
            <w:tcW w:w="286" w:type="pct"/>
            <w:noWrap w:val="0"/>
            <w:vAlign w:val="center"/>
          </w:tcPr>
          <w:p w14:paraId="67A1EC51">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val="en-US" w:eastAsia="zh-CN" w:bidi="ar"/>
              </w:rPr>
              <w:t>包括</w:t>
            </w:r>
          </w:p>
        </w:tc>
        <w:tc>
          <w:tcPr>
            <w:tcW w:w="1835" w:type="pct"/>
            <w:noWrap w:val="0"/>
            <w:vAlign w:val="center"/>
          </w:tcPr>
          <w:p w14:paraId="6671D6B1">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工业相机、智能摄像头、AI边缘计算终端等</w:t>
            </w:r>
          </w:p>
        </w:tc>
        <w:tc>
          <w:tcPr>
            <w:tcW w:w="785" w:type="pct"/>
            <w:vMerge w:val="continue"/>
            <w:noWrap w:val="0"/>
            <w:vAlign w:val="center"/>
          </w:tcPr>
          <w:p w14:paraId="79CC126D">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b/>
                <w:bCs/>
                <w:color w:val="000000"/>
                <w:sz w:val="28"/>
                <w:szCs w:val="28"/>
              </w:rPr>
            </w:pPr>
          </w:p>
        </w:tc>
      </w:tr>
      <w:tr w14:paraId="1010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196" w:type="pct"/>
            <w:noWrap w:val="0"/>
            <w:vAlign w:val="center"/>
          </w:tcPr>
          <w:p w14:paraId="06A3E84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val="en-US" w:eastAsia="zh-CN" w:bidi="ar"/>
              </w:rPr>
            </w:pPr>
            <w:r>
              <w:rPr>
                <w:rFonts w:hint="eastAsia" w:ascii="仿宋_GB2312" w:hAnsi="仿宋_GB2312" w:eastAsia="仿宋_GB2312" w:cs="仿宋_GB2312"/>
                <w:color w:val="000000"/>
                <w:kern w:val="0"/>
                <w:sz w:val="28"/>
                <w:szCs w:val="28"/>
                <w:lang w:bidi="ar"/>
              </w:rPr>
              <w:t>1</w:t>
            </w:r>
            <w:r>
              <w:rPr>
                <w:rFonts w:hint="eastAsia" w:ascii="仿宋_GB2312" w:hAnsi="仿宋_GB2312" w:eastAsia="仿宋_GB2312" w:cs="仿宋_GB2312"/>
                <w:color w:val="000000"/>
                <w:kern w:val="0"/>
                <w:sz w:val="28"/>
                <w:szCs w:val="28"/>
                <w:lang w:val="en-US" w:eastAsia="zh-CN" w:bidi="ar"/>
              </w:rPr>
              <w:t>1</w:t>
            </w:r>
          </w:p>
        </w:tc>
        <w:tc>
          <w:tcPr>
            <w:tcW w:w="277" w:type="pct"/>
            <w:vMerge w:val="continue"/>
            <w:noWrap w:val="0"/>
            <w:vAlign w:val="center"/>
          </w:tcPr>
          <w:p w14:paraId="1771DBA3">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color w:val="000000"/>
                <w:sz w:val="28"/>
                <w:szCs w:val="28"/>
              </w:rPr>
            </w:pPr>
          </w:p>
        </w:tc>
        <w:tc>
          <w:tcPr>
            <w:tcW w:w="331" w:type="pct"/>
            <w:noWrap w:val="0"/>
            <w:vAlign w:val="center"/>
          </w:tcPr>
          <w:p w14:paraId="7F7634CE">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w:t>
            </w:r>
          </w:p>
        </w:tc>
        <w:tc>
          <w:tcPr>
            <w:tcW w:w="1286" w:type="pct"/>
            <w:noWrap w:val="0"/>
            <w:vAlign w:val="center"/>
          </w:tcPr>
          <w:p w14:paraId="79D7AB9F">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kern w:val="0"/>
                <w:sz w:val="28"/>
                <w:szCs w:val="28"/>
                <w:lang w:bidi="ar"/>
              </w:rPr>
              <w:t>/</w:t>
            </w:r>
          </w:p>
        </w:tc>
        <w:tc>
          <w:tcPr>
            <w:tcW w:w="286" w:type="pct"/>
            <w:noWrap w:val="0"/>
            <w:vAlign w:val="center"/>
          </w:tcPr>
          <w:p w14:paraId="5A23B09D">
            <w:pPr>
              <w:keepNext w:val="0"/>
              <w:keepLines w:val="0"/>
              <w:pageBreakBefore w:val="0"/>
              <w:widowControl/>
              <w:kinsoku/>
              <w:wordWrap/>
              <w:overflowPunct/>
              <w:topLinePunct w:val="0"/>
              <w:autoSpaceDE/>
              <w:autoSpaceDN/>
              <w:bidi w:val="0"/>
              <w:adjustRightInd/>
              <w:snapToGrid/>
              <w:spacing w:line="440" w:lineRule="exact"/>
              <w:jc w:val="center"/>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不含</w:t>
            </w:r>
          </w:p>
        </w:tc>
        <w:tc>
          <w:tcPr>
            <w:tcW w:w="1835" w:type="pct"/>
            <w:noWrap w:val="0"/>
            <w:vAlign w:val="center"/>
          </w:tcPr>
          <w:p w14:paraId="3789A543">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1.服务器、硬盘等数据存储设备</w:t>
            </w:r>
          </w:p>
          <w:p w14:paraId="6074528D">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2.电子看板、显示大屏等可视化设备</w:t>
            </w:r>
          </w:p>
          <w:p w14:paraId="5B61266E">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3.加密机、数据/网络安全设备</w:t>
            </w:r>
          </w:p>
          <w:p w14:paraId="7CB05098">
            <w:pPr>
              <w:keepNext w:val="0"/>
              <w:keepLines w:val="0"/>
              <w:pageBreakBefore w:val="0"/>
              <w:widowControl/>
              <w:kinsoku/>
              <w:wordWrap/>
              <w:overflowPunct/>
              <w:topLinePunct w:val="0"/>
              <w:autoSpaceDE/>
              <w:autoSpaceDN/>
              <w:bidi w:val="0"/>
              <w:adjustRightInd/>
              <w:snapToGrid/>
              <w:spacing w:line="440" w:lineRule="exact"/>
              <w:jc w:val="left"/>
              <w:textAlignment w:val="center"/>
              <w:rPr>
                <w:rFonts w:hint="eastAsia" w:ascii="仿宋_GB2312" w:hAnsi="仿宋_GB2312" w:eastAsia="仿宋_GB2312" w:cs="仿宋_GB2312"/>
                <w:color w:val="000000"/>
                <w:kern w:val="0"/>
                <w:sz w:val="28"/>
                <w:szCs w:val="28"/>
                <w:lang w:bidi="ar"/>
              </w:rPr>
            </w:pPr>
            <w:r>
              <w:rPr>
                <w:rFonts w:hint="eastAsia" w:ascii="仿宋_GB2312" w:hAnsi="仿宋_GB2312" w:eastAsia="仿宋_GB2312" w:cs="仿宋_GB2312"/>
                <w:color w:val="000000"/>
                <w:kern w:val="0"/>
                <w:sz w:val="28"/>
                <w:szCs w:val="28"/>
                <w:lang w:bidi="ar"/>
              </w:rPr>
              <w:t>4.办公电脑、移动硬盘、弱电网络施工、监控器、考勤机、门禁、电源、网线等配套部件</w:t>
            </w:r>
          </w:p>
        </w:tc>
        <w:tc>
          <w:tcPr>
            <w:tcW w:w="785" w:type="pct"/>
            <w:vMerge w:val="continue"/>
            <w:noWrap w:val="0"/>
            <w:vAlign w:val="center"/>
          </w:tcPr>
          <w:p w14:paraId="0C1A1A41">
            <w:pPr>
              <w:keepNext w:val="0"/>
              <w:keepLines w:val="0"/>
              <w:pageBreakBefore w:val="0"/>
              <w:kinsoku/>
              <w:wordWrap/>
              <w:overflowPunct/>
              <w:topLinePunct w:val="0"/>
              <w:autoSpaceDE/>
              <w:autoSpaceDN/>
              <w:bidi w:val="0"/>
              <w:adjustRightInd/>
              <w:snapToGrid/>
              <w:spacing w:line="440" w:lineRule="exact"/>
              <w:jc w:val="center"/>
              <w:rPr>
                <w:rFonts w:hint="eastAsia" w:ascii="仿宋_GB2312" w:hAnsi="仿宋_GB2312" w:eastAsia="仿宋_GB2312" w:cs="仿宋_GB2312"/>
                <w:b/>
                <w:bCs/>
                <w:color w:val="000000"/>
                <w:sz w:val="28"/>
                <w:szCs w:val="28"/>
              </w:rPr>
            </w:pPr>
          </w:p>
        </w:tc>
      </w:tr>
    </w:tbl>
    <w:p w14:paraId="537DE5AA">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注：</w:t>
      </w:r>
    </w:p>
    <w:p w14:paraId="11B009C4">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color w:val="000000"/>
          <w:sz w:val="28"/>
          <w:szCs w:val="28"/>
        </w:rPr>
        <w:t>所有费用按照合同、发票、付款三者并存最低不含税金额核算企业数字化改造项目实际投入。</w:t>
      </w:r>
    </w:p>
    <w:p w14:paraId="5B49D61B">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2.严禁将规定范围外的硬件采购支出、电信服务费等与数字化改造无直接关联的常规办公费用，以及缺乏具体明细或报价明显高于市场合理水平的支出，纳入数字化改造费用。</w:t>
      </w:r>
    </w:p>
    <w:p w14:paraId="63BD2BA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_GB2312" w:hAnsi="仿宋_GB2312" w:eastAsia="仿宋_GB2312" w:cs="仿宋_GB2312"/>
        </w:rPr>
      </w:pPr>
      <w:r>
        <w:rPr>
          <w:rFonts w:hint="eastAsia" w:ascii="仿宋_GB2312" w:hAnsi="仿宋_GB2312" w:eastAsia="仿宋_GB2312" w:cs="仿宋_GB2312"/>
          <w:color w:val="000000"/>
          <w:sz w:val="28"/>
          <w:szCs w:val="28"/>
          <w:lang w:val="en-US" w:eastAsia="zh-CN"/>
        </w:rPr>
        <w:t>3.发票须与合同、付款凭证一一对应，对于发票内容过于宽泛或与合同不一致的项目，将严格按照实际情况核定补贴基数。</w:t>
      </w:r>
    </w:p>
    <w:p w14:paraId="5F606B37">
      <w:pPr>
        <w:rPr>
          <w:rFonts w:ascii="Times New Roman" w:hAnsi="Times New Roman"/>
        </w:rPr>
      </w:pPr>
    </w:p>
    <w:sectPr>
      <w:headerReference r:id="rId3" w:type="default"/>
      <w:footerReference r:id="rId4" w:type="default"/>
      <w:pgSz w:w="16838" w:h="11906" w:orient="landscape"/>
      <w:pgMar w:top="1800" w:right="1440" w:bottom="1800"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934C">
    <w:pPr>
      <w:pStyle w:val="3"/>
      <w:rPr>
        <w:rFonts w:ascii="Times New Roman" w:hAnsi="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DC6FD">
    <w:pPr>
      <w:pStyle w:val="4"/>
      <w:pBdr>
        <w:bottom w:val="none" w:color="auto" w:sz="0" w:space="0"/>
      </w:pBdr>
      <w:ind w:firstLine="360"/>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Q2NWJhZjFjYTBhODgxZWJiNjY3YzZlMGM3ZDA4MzIifQ=="/>
  </w:docVars>
  <w:rsids>
    <w:rsidRoot w:val="DBB57840"/>
    <w:rsid w:val="056275DC"/>
    <w:rsid w:val="10F60887"/>
    <w:rsid w:val="11DE5394"/>
    <w:rsid w:val="3B915857"/>
    <w:rsid w:val="46FC2C39"/>
    <w:rsid w:val="48ED2BF1"/>
    <w:rsid w:val="494871B8"/>
    <w:rsid w:val="4B9500D2"/>
    <w:rsid w:val="4CE22E48"/>
    <w:rsid w:val="5B7C1A85"/>
    <w:rsid w:val="6B23D59C"/>
    <w:rsid w:val="7F7A19BD"/>
    <w:rsid w:val="DBB57840"/>
    <w:rsid w:val="FF62B8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semiHidden/>
    <w:unhideWhenUsed/>
    <w:qFormat/>
    <w:uiPriority w:val="0"/>
    <w:pPr>
      <w:spacing w:before="99"/>
      <w:ind w:left="876" w:right="460"/>
      <w:jc w:val="center"/>
      <w:outlineLvl w:val="1"/>
    </w:pPr>
    <w:rPr>
      <w:rFonts w:ascii="宋体" w:hAnsi="宋体" w:eastAsia="方正小标宋简体" w:cs="宋体"/>
      <w:sz w:val="44"/>
      <w:szCs w:val="44"/>
      <w:lang w:val="zh-CN" w:bidi="zh-CN"/>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1354</Words>
  <Characters>1378</Characters>
  <Lines>0</Lines>
  <Paragraphs>0</Paragraphs>
  <TotalTime>12</TotalTime>
  <ScaleCrop>false</ScaleCrop>
  <LinksUpToDate>false</LinksUpToDate>
  <CharactersWithSpaces>1412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2026-04-02T15:58:00Z</dcterms:created>
  <dc:creator>BBZ</dc:creator>
  <cp:lastModifiedBy>相由心生</cp:lastModifiedBy>
  <dcterms:modified xsi:type="dcterms:W3CDTF">2026-07-03T01:08:59Z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2DF2E62976ED4841982C509B7114FA35_13</vt:lpwstr>
  </property>
  <property fmtid="{D5CDD505-2E9C-101B-9397-08002B2CF9AE}" pid="4" name="KSOTemplateDocerSaveRecord">
    <vt:lpwstr>eyJoZGlkIjoiMjUxNWFjODEwNmIwMTEzZDVjNDdiZWE1YWVlYjQyMTMiLCJ1c2VySWQiOiIyNjExMjE1ODgifQ==</vt:lpwstr>
  </property>
</Properties>
</file>