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仿宋"/>
          <w:sz w:val="32"/>
          <w:szCs w:val="32"/>
          <w:lang w:eastAsia="zh-Hans"/>
        </w:rPr>
      </w:pPr>
      <w:r>
        <w:rPr>
          <w:rFonts w:hint="eastAsia" w:ascii="黑体" w:hAnsi="黑体" w:eastAsia="黑体" w:cs="仿宋"/>
          <w:sz w:val="32"/>
          <w:szCs w:val="32"/>
          <w:lang w:eastAsia="zh-Hans"/>
        </w:rPr>
        <w:t>附件</w:t>
      </w:r>
      <w:r>
        <w:rPr>
          <w:rFonts w:ascii="黑体" w:hAnsi="黑体" w:eastAsia="黑体" w:cs="仿宋"/>
          <w:sz w:val="32"/>
          <w:szCs w:val="32"/>
          <w:lang w:eastAsia="zh-Hans"/>
        </w:rPr>
        <w:t>1</w:t>
      </w:r>
    </w:p>
    <w:p>
      <w:pPr>
        <w:pStyle w:val="2"/>
        <w:ind w:left="0"/>
        <w:rPr>
          <w:rFonts w:ascii="楷体" w:hAnsi="楷体" w:eastAsia="楷体"/>
          <w:b/>
          <w:sz w:val="52"/>
          <w:szCs w:val="52"/>
        </w:rPr>
      </w:pPr>
      <w:bookmarkStart w:id="0" w:name="_Toc1464519367"/>
      <w:bookmarkStart w:id="1" w:name="_Toc15763"/>
      <w:bookmarkStart w:id="2" w:name="_Toc1381376247"/>
      <w:bookmarkStart w:id="3" w:name="_Toc29128"/>
      <w:bookmarkStart w:id="4" w:name="_Toc335919869"/>
    </w:p>
    <w:p>
      <w:pPr>
        <w:pStyle w:val="3"/>
        <w:jc w:val="both"/>
      </w:pPr>
    </w:p>
    <w:p/>
    <w:p/>
    <w:p>
      <w:pPr>
        <w:jc w:val="center"/>
        <w:rPr>
          <w:rFonts w:ascii="楷体" w:hAnsi="楷体" w:eastAsia="楷体"/>
          <w:b/>
          <w:sz w:val="52"/>
          <w:szCs w:val="52"/>
        </w:rPr>
      </w:pPr>
      <w:r>
        <w:rPr>
          <w:rFonts w:hint="eastAsia" w:ascii="楷体" w:hAnsi="楷体" w:eastAsia="楷体"/>
          <w:b/>
          <w:sz w:val="52"/>
          <w:szCs w:val="52"/>
        </w:rPr>
        <w:t>南宁市循环经济发展“十四五”规划</w:t>
      </w:r>
    </w:p>
    <w:p>
      <w:pPr>
        <w:jc w:val="center"/>
        <w:rPr>
          <w:rFonts w:ascii="楷体" w:hAnsi="楷体" w:eastAsia="楷体"/>
          <w:b/>
          <w:sz w:val="32"/>
          <w:szCs w:val="32"/>
        </w:rPr>
      </w:pPr>
      <w:r>
        <w:rPr>
          <w:rFonts w:hint="eastAsia" w:ascii="楷体" w:hAnsi="楷体" w:eastAsia="楷体"/>
          <w:b/>
          <w:sz w:val="32"/>
          <w:szCs w:val="32"/>
        </w:rPr>
        <w:t>（第二次征求意见稿）</w:t>
      </w:r>
    </w:p>
    <w:p>
      <w:pPr>
        <w:pStyle w:val="2"/>
      </w:pPr>
    </w:p>
    <w:p>
      <w:pPr>
        <w:rPr>
          <w:rFonts w:ascii="楷体" w:hAnsi="楷体" w:eastAsia="楷体"/>
          <w:b/>
          <w:sz w:val="52"/>
          <w:szCs w:val="52"/>
        </w:rPr>
      </w:pPr>
    </w:p>
    <w:p>
      <w:pPr>
        <w:rPr>
          <w:rFonts w:ascii="楷体" w:hAnsi="楷体" w:eastAsia="楷体"/>
          <w:b/>
          <w:sz w:val="52"/>
          <w:szCs w:val="52"/>
        </w:rPr>
      </w:pPr>
    </w:p>
    <w:p>
      <w:pPr>
        <w:rPr>
          <w:rFonts w:ascii="楷体" w:hAnsi="楷体" w:eastAsia="楷体"/>
          <w:b/>
          <w:sz w:val="52"/>
          <w:szCs w:val="52"/>
        </w:rPr>
      </w:pPr>
    </w:p>
    <w:p>
      <w:pPr>
        <w:pStyle w:val="2"/>
        <w:ind w:left="0"/>
      </w:pPr>
    </w:p>
    <w:p>
      <w:pPr>
        <w:rPr>
          <w:rFonts w:ascii="楷体" w:hAnsi="楷体" w:eastAsia="楷体"/>
          <w:b/>
          <w:sz w:val="52"/>
          <w:szCs w:val="52"/>
        </w:rPr>
      </w:pPr>
    </w:p>
    <w:p>
      <w:pPr>
        <w:rPr>
          <w:rFonts w:hint="eastAsia" w:ascii="楷体" w:hAnsi="楷体" w:eastAsia="楷体"/>
          <w:b/>
          <w:sz w:val="52"/>
          <w:szCs w:val="52"/>
        </w:rPr>
      </w:pPr>
    </w:p>
    <w:p>
      <w:pPr>
        <w:pStyle w:val="2"/>
        <w:rPr>
          <w:rFonts w:hint="eastAsia"/>
        </w:rPr>
      </w:pPr>
    </w:p>
    <w:p>
      <w:pPr>
        <w:pStyle w:val="2"/>
        <w:ind w:left="0"/>
      </w:pPr>
    </w:p>
    <w:p>
      <w:pPr>
        <w:adjustRightInd w:val="0"/>
        <w:snapToGrid w:val="0"/>
        <w:spacing w:line="360" w:lineRule="auto"/>
        <w:jc w:val="center"/>
        <w:rPr>
          <w:rFonts w:ascii="宋体" w:hAnsi="宋体"/>
          <w:bCs/>
        </w:rPr>
      </w:pPr>
      <w:r>
        <w:rPr>
          <w:rFonts w:eastAsia="仿宋"/>
          <w:bCs/>
          <w:sz w:val="36"/>
          <w:szCs w:val="36"/>
        </w:rPr>
        <w:t>202</w:t>
      </w:r>
      <w:r>
        <w:rPr>
          <w:rFonts w:hint="eastAsia" w:eastAsia="仿宋"/>
          <w:bCs/>
          <w:sz w:val="36"/>
          <w:szCs w:val="36"/>
        </w:rPr>
        <w:t>2</w:t>
      </w:r>
      <w:r>
        <w:rPr>
          <w:rFonts w:hAnsi="仿宋" w:eastAsia="仿宋"/>
          <w:bCs/>
          <w:sz w:val="36"/>
          <w:szCs w:val="36"/>
        </w:rPr>
        <w:t>年</w:t>
      </w:r>
      <w:r>
        <w:rPr>
          <w:rFonts w:hint="eastAsia" w:hAnsi="仿宋" w:eastAsia="仿宋"/>
          <w:bCs/>
          <w:sz w:val="36"/>
          <w:szCs w:val="36"/>
        </w:rPr>
        <w:t>2</w:t>
      </w:r>
      <w:r>
        <w:rPr>
          <w:rFonts w:hAnsi="仿宋" w:eastAsia="仿宋"/>
          <w:bCs/>
          <w:sz w:val="36"/>
          <w:szCs w:val="36"/>
        </w:rPr>
        <w:t>月</w:t>
      </w:r>
    </w:p>
    <w:p>
      <w:r>
        <w:rPr>
          <w:rFonts w:ascii="宋体" w:hAnsi="宋体"/>
        </w:rPr>
        <w:br w:type="page"/>
      </w:r>
      <w:bookmarkStart w:id="5" w:name="_Toc231566632"/>
      <w:bookmarkStart w:id="6" w:name="_Toc10507"/>
      <w:bookmarkStart w:id="7" w:name="_Toc58246717"/>
      <w:bookmarkStart w:id="8" w:name="_Toc1495085001"/>
      <w:bookmarkStart w:id="9" w:name="_Toc30229"/>
      <w:bookmarkStart w:id="10" w:name="_Toc1890154482"/>
      <w:bookmarkStart w:id="11" w:name="_Toc7437"/>
      <w:r>
        <w:rPr>
          <w:rFonts w:hint="eastAsia" w:ascii="宋体" w:hAnsi="宋体"/>
        </w:rPr>
        <w:t xml:space="preserve">                                    </w:t>
      </w:r>
      <w:r>
        <w:rPr>
          <w:rFonts w:hint="eastAsia" w:ascii="黑体" w:hAnsi="黑体" w:eastAsia="黑体" w:cs="黑体"/>
          <w:sz w:val="36"/>
          <w:szCs w:val="36"/>
        </w:rPr>
        <w:t>目 录</w:t>
      </w:r>
      <w:r>
        <w:fldChar w:fldCharType="begin"/>
      </w:r>
      <w:r>
        <w:instrText xml:space="preserve">TOC \o "1-2" \h \u </w:instrText>
      </w:r>
      <w:r>
        <w:fldChar w:fldCharType="separate"/>
      </w:r>
    </w:p>
    <w:p>
      <w:pPr>
        <w:pStyle w:val="5"/>
        <w:tabs>
          <w:tab w:val="right" w:leader="dot" w:pos="8220"/>
        </w:tabs>
      </w:pPr>
      <w:r>
        <w:fldChar w:fldCharType="begin"/>
      </w:r>
      <w:r>
        <w:instrText xml:space="preserve"> HYPERLINK \l _Toc708267182 </w:instrText>
      </w:r>
      <w:r>
        <w:fldChar w:fldCharType="separate"/>
      </w:r>
      <w:r>
        <w:rPr>
          <w:rFonts w:hint="eastAsia" w:ascii="黑体" w:hAnsi="黑体" w:eastAsia="黑体"/>
          <w:szCs w:val="32"/>
        </w:rPr>
        <w:t>一、发展基础与面临形势</w:t>
      </w:r>
      <w:r>
        <w:tab/>
      </w:r>
      <w:r>
        <w:fldChar w:fldCharType="begin"/>
      </w:r>
      <w:r>
        <w:instrText xml:space="preserve"> PAGEREF _Toc708267182 </w:instrText>
      </w:r>
      <w:r>
        <w:fldChar w:fldCharType="separate"/>
      </w:r>
      <w:r>
        <w:t>3</w:t>
      </w:r>
      <w:r>
        <w:fldChar w:fldCharType="end"/>
      </w:r>
      <w:r>
        <w:fldChar w:fldCharType="end"/>
      </w:r>
    </w:p>
    <w:p>
      <w:pPr>
        <w:pStyle w:val="6"/>
        <w:tabs>
          <w:tab w:val="right" w:leader="dot" w:pos="8220"/>
        </w:tabs>
      </w:pPr>
      <w:r>
        <w:fldChar w:fldCharType="begin"/>
      </w:r>
      <w:r>
        <w:instrText xml:space="preserve"> HYPERLINK \l _Toc344672553 </w:instrText>
      </w:r>
      <w:r>
        <w:fldChar w:fldCharType="separate"/>
      </w:r>
      <w:r>
        <w:rPr>
          <w:rFonts w:hint="eastAsia" w:ascii="楷体_GB2312" w:hAnsi="楷体" w:eastAsia="楷体_GB2312"/>
          <w:bCs/>
          <w:szCs w:val="32"/>
        </w:rPr>
        <w:t>（一）“十三五”时期发展成效</w:t>
      </w:r>
      <w:r>
        <w:tab/>
      </w:r>
      <w:r>
        <w:fldChar w:fldCharType="begin"/>
      </w:r>
      <w:r>
        <w:instrText xml:space="preserve"> PAGEREF _Toc344672553 </w:instrText>
      </w:r>
      <w:r>
        <w:fldChar w:fldCharType="separate"/>
      </w:r>
      <w:r>
        <w:t>3</w:t>
      </w:r>
      <w:r>
        <w:fldChar w:fldCharType="end"/>
      </w:r>
      <w:r>
        <w:fldChar w:fldCharType="end"/>
      </w:r>
    </w:p>
    <w:p>
      <w:pPr>
        <w:pStyle w:val="6"/>
        <w:tabs>
          <w:tab w:val="right" w:leader="dot" w:pos="8220"/>
        </w:tabs>
      </w:pPr>
      <w:r>
        <w:fldChar w:fldCharType="begin"/>
      </w:r>
      <w:r>
        <w:instrText xml:space="preserve"> HYPERLINK \l _Toc1148202312 </w:instrText>
      </w:r>
      <w:r>
        <w:fldChar w:fldCharType="separate"/>
      </w:r>
      <w:r>
        <w:rPr>
          <w:rFonts w:hint="eastAsia" w:ascii="楷体" w:hAnsi="楷体" w:eastAsia="楷体"/>
          <w:bCs/>
          <w:szCs w:val="32"/>
        </w:rPr>
        <w:t>（二）“十四五”时期面临形势</w:t>
      </w:r>
      <w:r>
        <w:tab/>
      </w:r>
      <w:r>
        <w:fldChar w:fldCharType="begin"/>
      </w:r>
      <w:r>
        <w:instrText xml:space="preserve"> PAGEREF _Toc1148202312 </w:instrText>
      </w:r>
      <w:r>
        <w:fldChar w:fldCharType="separate"/>
      </w:r>
      <w:r>
        <w:t>4</w:t>
      </w:r>
      <w:r>
        <w:fldChar w:fldCharType="end"/>
      </w:r>
      <w:r>
        <w:fldChar w:fldCharType="end"/>
      </w:r>
    </w:p>
    <w:p>
      <w:pPr>
        <w:pStyle w:val="5"/>
        <w:tabs>
          <w:tab w:val="right" w:leader="dot" w:pos="8220"/>
        </w:tabs>
      </w:pPr>
      <w:r>
        <w:fldChar w:fldCharType="begin"/>
      </w:r>
      <w:r>
        <w:instrText xml:space="preserve"> HYPERLINK \l _Toc548205842 </w:instrText>
      </w:r>
      <w:r>
        <w:fldChar w:fldCharType="separate"/>
      </w:r>
      <w:r>
        <w:rPr>
          <w:rFonts w:hint="eastAsia" w:ascii="黑体" w:hAnsi="黑体" w:eastAsia="黑体"/>
          <w:szCs w:val="32"/>
        </w:rPr>
        <w:t>二、总体要求</w:t>
      </w:r>
      <w:r>
        <w:tab/>
      </w:r>
      <w:r>
        <w:fldChar w:fldCharType="begin"/>
      </w:r>
      <w:r>
        <w:instrText xml:space="preserve"> PAGEREF _Toc548205842 </w:instrText>
      </w:r>
      <w:r>
        <w:fldChar w:fldCharType="separate"/>
      </w:r>
      <w:r>
        <w:t>5</w:t>
      </w:r>
      <w:r>
        <w:fldChar w:fldCharType="end"/>
      </w:r>
      <w:r>
        <w:fldChar w:fldCharType="end"/>
      </w:r>
    </w:p>
    <w:p>
      <w:pPr>
        <w:pStyle w:val="6"/>
        <w:tabs>
          <w:tab w:val="right" w:leader="dot" w:pos="8220"/>
        </w:tabs>
      </w:pPr>
      <w:r>
        <w:fldChar w:fldCharType="begin"/>
      </w:r>
      <w:r>
        <w:instrText xml:space="preserve"> HYPERLINK \l _Toc990740864 </w:instrText>
      </w:r>
      <w:r>
        <w:fldChar w:fldCharType="separate"/>
      </w:r>
      <w:r>
        <w:rPr>
          <w:rFonts w:hint="eastAsia" w:ascii="楷体" w:hAnsi="楷体" w:eastAsia="楷体"/>
          <w:bCs/>
          <w:szCs w:val="32"/>
        </w:rPr>
        <w:t>（一）指导思想</w:t>
      </w:r>
      <w:r>
        <w:tab/>
      </w:r>
      <w:r>
        <w:fldChar w:fldCharType="begin"/>
      </w:r>
      <w:r>
        <w:instrText xml:space="preserve"> PAGEREF _Toc990740864 </w:instrText>
      </w:r>
      <w:r>
        <w:fldChar w:fldCharType="separate"/>
      </w:r>
      <w:r>
        <w:t>5</w:t>
      </w:r>
      <w:r>
        <w:fldChar w:fldCharType="end"/>
      </w:r>
      <w:r>
        <w:fldChar w:fldCharType="end"/>
      </w:r>
    </w:p>
    <w:p>
      <w:pPr>
        <w:pStyle w:val="6"/>
        <w:tabs>
          <w:tab w:val="right" w:leader="dot" w:pos="8220"/>
        </w:tabs>
      </w:pPr>
      <w:r>
        <w:fldChar w:fldCharType="begin"/>
      </w:r>
      <w:r>
        <w:instrText xml:space="preserve"> HYPERLINK \l _Toc1940986057 </w:instrText>
      </w:r>
      <w:r>
        <w:fldChar w:fldCharType="separate"/>
      </w:r>
      <w:r>
        <w:rPr>
          <w:rFonts w:hint="eastAsia" w:ascii="楷体" w:hAnsi="楷体" w:eastAsia="楷体"/>
          <w:bCs/>
          <w:szCs w:val="32"/>
        </w:rPr>
        <w:t>（二）工作原则</w:t>
      </w:r>
      <w:r>
        <w:tab/>
      </w:r>
      <w:r>
        <w:fldChar w:fldCharType="begin"/>
      </w:r>
      <w:r>
        <w:instrText xml:space="preserve"> PAGEREF _Toc1940986057 </w:instrText>
      </w:r>
      <w:r>
        <w:fldChar w:fldCharType="separate"/>
      </w:r>
      <w:r>
        <w:t>6</w:t>
      </w:r>
      <w:r>
        <w:fldChar w:fldCharType="end"/>
      </w:r>
      <w:r>
        <w:fldChar w:fldCharType="end"/>
      </w:r>
    </w:p>
    <w:p>
      <w:pPr>
        <w:pStyle w:val="6"/>
        <w:tabs>
          <w:tab w:val="right" w:leader="dot" w:pos="8220"/>
        </w:tabs>
      </w:pPr>
      <w:r>
        <w:fldChar w:fldCharType="begin"/>
      </w:r>
      <w:r>
        <w:instrText xml:space="preserve"> HYPERLINK \l _Toc1876062069 </w:instrText>
      </w:r>
      <w:r>
        <w:fldChar w:fldCharType="separate"/>
      </w:r>
      <w:r>
        <w:rPr>
          <w:rFonts w:hint="eastAsia" w:ascii="楷体" w:hAnsi="楷体" w:eastAsia="楷体"/>
          <w:bCs/>
          <w:szCs w:val="32"/>
        </w:rPr>
        <w:t>（三）主要目标</w:t>
      </w:r>
      <w:r>
        <w:tab/>
      </w:r>
      <w:r>
        <w:fldChar w:fldCharType="begin"/>
      </w:r>
      <w:r>
        <w:instrText xml:space="preserve"> PAGEREF _Toc1876062069 </w:instrText>
      </w:r>
      <w:r>
        <w:fldChar w:fldCharType="separate"/>
      </w:r>
      <w:r>
        <w:t>7</w:t>
      </w:r>
      <w:r>
        <w:fldChar w:fldCharType="end"/>
      </w:r>
      <w:r>
        <w:fldChar w:fldCharType="end"/>
      </w:r>
    </w:p>
    <w:p>
      <w:pPr>
        <w:pStyle w:val="5"/>
        <w:tabs>
          <w:tab w:val="right" w:leader="dot" w:pos="8220"/>
        </w:tabs>
      </w:pPr>
      <w:r>
        <w:fldChar w:fldCharType="begin"/>
      </w:r>
      <w:r>
        <w:instrText xml:space="preserve"> HYPERLINK \l _Toc1620288429 </w:instrText>
      </w:r>
      <w:r>
        <w:fldChar w:fldCharType="separate"/>
      </w:r>
      <w:r>
        <w:rPr>
          <w:rFonts w:hint="eastAsia" w:ascii="黑体" w:hAnsi="黑体" w:eastAsia="黑体"/>
          <w:szCs w:val="32"/>
        </w:rPr>
        <w:t>三、空间布局</w:t>
      </w:r>
      <w:r>
        <w:tab/>
      </w:r>
      <w:r>
        <w:fldChar w:fldCharType="begin"/>
      </w:r>
      <w:r>
        <w:instrText xml:space="preserve"> PAGEREF _Toc1620288429 </w:instrText>
      </w:r>
      <w:r>
        <w:fldChar w:fldCharType="separate"/>
      </w:r>
      <w:r>
        <w:t>9</w:t>
      </w:r>
      <w:r>
        <w:fldChar w:fldCharType="end"/>
      </w:r>
      <w:r>
        <w:fldChar w:fldCharType="end"/>
      </w:r>
    </w:p>
    <w:p>
      <w:pPr>
        <w:pStyle w:val="6"/>
        <w:tabs>
          <w:tab w:val="right" w:leader="dot" w:pos="8220"/>
        </w:tabs>
      </w:pPr>
      <w:r>
        <w:fldChar w:fldCharType="begin"/>
      </w:r>
      <w:r>
        <w:instrText xml:space="preserve"> HYPERLINK \l _Toc2094982243 </w:instrText>
      </w:r>
      <w:r>
        <w:fldChar w:fldCharType="separate"/>
      </w:r>
      <w:r>
        <w:rPr>
          <w:rFonts w:hint="eastAsia" w:ascii="楷体_GB2312" w:hAnsi="楷体" w:eastAsia="楷体_GB2312"/>
          <w:szCs w:val="32"/>
        </w:rPr>
        <w:t>（一）城乡统筹</w:t>
      </w:r>
      <w:r>
        <w:tab/>
      </w:r>
      <w:r>
        <w:fldChar w:fldCharType="begin"/>
      </w:r>
      <w:r>
        <w:instrText xml:space="preserve"> PAGEREF _Toc2094982243 </w:instrText>
      </w:r>
      <w:r>
        <w:fldChar w:fldCharType="separate"/>
      </w:r>
      <w:r>
        <w:t>9</w:t>
      </w:r>
      <w:r>
        <w:fldChar w:fldCharType="end"/>
      </w:r>
      <w:r>
        <w:fldChar w:fldCharType="end"/>
      </w:r>
    </w:p>
    <w:p>
      <w:pPr>
        <w:pStyle w:val="6"/>
        <w:tabs>
          <w:tab w:val="right" w:leader="dot" w:pos="8220"/>
        </w:tabs>
      </w:pPr>
      <w:r>
        <w:fldChar w:fldCharType="begin"/>
      </w:r>
      <w:r>
        <w:instrText xml:space="preserve"> HYPERLINK \l _Toc224681889 </w:instrText>
      </w:r>
      <w:r>
        <w:fldChar w:fldCharType="separate"/>
      </w:r>
      <w:r>
        <w:rPr>
          <w:rFonts w:hint="eastAsia" w:ascii="楷体_GB2312" w:hAnsi="楷体" w:eastAsia="楷体_GB2312"/>
          <w:szCs w:val="32"/>
        </w:rPr>
        <w:t>（二）“五带”联动</w:t>
      </w:r>
      <w:r>
        <w:tab/>
      </w:r>
      <w:r>
        <w:fldChar w:fldCharType="begin"/>
      </w:r>
      <w:r>
        <w:instrText xml:space="preserve"> PAGEREF _Toc224681889 </w:instrText>
      </w:r>
      <w:r>
        <w:fldChar w:fldCharType="separate"/>
      </w:r>
      <w:r>
        <w:t>9</w:t>
      </w:r>
      <w:r>
        <w:fldChar w:fldCharType="end"/>
      </w:r>
      <w:r>
        <w:fldChar w:fldCharType="end"/>
      </w:r>
    </w:p>
    <w:p>
      <w:pPr>
        <w:pStyle w:val="6"/>
        <w:tabs>
          <w:tab w:val="right" w:leader="dot" w:pos="8220"/>
        </w:tabs>
      </w:pPr>
      <w:r>
        <w:fldChar w:fldCharType="begin"/>
      </w:r>
      <w:r>
        <w:instrText xml:space="preserve"> HYPERLINK \l _Toc952256997 </w:instrText>
      </w:r>
      <w:r>
        <w:fldChar w:fldCharType="separate"/>
      </w:r>
      <w:r>
        <w:rPr>
          <w:rFonts w:hint="eastAsia" w:ascii="楷体" w:hAnsi="楷体" w:eastAsia="楷体"/>
          <w:szCs w:val="32"/>
        </w:rPr>
        <w:t>（三）“多点”辐射</w:t>
      </w:r>
      <w:r>
        <w:tab/>
      </w:r>
      <w:r>
        <w:fldChar w:fldCharType="begin"/>
      </w:r>
      <w:r>
        <w:instrText xml:space="preserve"> PAGEREF _Toc952256997 </w:instrText>
      </w:r>
      <w:r>
        <w:fldChar w:fldCharType="separate"/>
      </w:r>
      <w:r>
        <w:t>10</w:t>
      </w:r>
      <w:r>
        <w:fldChar w:fldCharType="end"/>
      </w:r>
      <w:r>
        <w:fldChar w:fldCharType="end"/>
      </w:r>
    </w:p>
    <w:p>
      <w:pPr>
        <w:pStyle w:val="5"/>
        <w:tabs>
          <w:tab w:val="right" w:leader="dot" w:pos="8220"/>
        </w:tabs>
      </w:pPr>
      <w:r>
        <w:fldChar w:fldCharType="begin"/>
      </w:r>
      <w:r>
        <w:instrText xml:space="preserve"> HYPERLINK \l _Toc1535211135 </w:instrText>
      </w:r>
      <w:r>
        <w:fldChar w:fldCharType="separate"/>
      </w:r>
      <w:r>
        <w:rPr>
          <w:rFonts w:hint="eastAsia" w:ascii="黑体" w:hAnsi="黑体" w:eastAsia="黑体"/>
          <w:szCs w:val="32"/>
        </w:rPr>
        <w:t>四、重点任务</w:t>
      </w:r>
      <w:r>
        <w:tab/>
      </w:r>
      <w:r>
        <w:fldChar w:fldCharType="begin"/>
      </w:r>
      <w:r>
        <w:instrText xml:space="preserve"> PAGEREF _Toc1535211135 </w:instrText>
      </w:r>
      <w:r>
        <w:fldChar w:fldCharType="separate"/>
      </w:r>
      <w:r>
        <w:t>14</w:t>
      </w:r>
      <w:r>
        <w:fldChar w:fldCharType="end"/>
      </w:r>
      <w:r>
        <w:fldChar w:fldCharType="end"/>
      </w:r>
    </w:p>
    <w:p>
      <w:pPr>
        <w:pStyle w:val="6"/>
        <w:tabs>
          <w:tab w:val="right" w:leader="dot" w:pos="8220"/>
        </w:tabs>
      </w:pPr>
      <w:r>
        <w:fldChar w:fldCharType="begin"/>
      </w:r>
      <w:r>
        <w:instrText xml:space="preserve"> HYPERLINK \l _Toc277527240 </w:instrText>
      </w:r>
      <w:r>
        <w:fldChar w:fldCharType="separate"/>
      </w:r>
      <w:r>
        <w:rPr>
          <w:rFonts w:hint="eastAsia" w:ascii="楷体" w:hAnsi="楷体" w:eastAsia="楷体"/>
          <w:szCs w:val="32"/>
        </w:rPr>
        <w:t>（一）构建现代化循环产业体系</w:t>
      </w:r>
      <w:r>
        <w:tab/>
      </w:r>
      <w:r>
        <w:fldChar w:fldCharType="begin"/>
      </w:r>
      <w:r>
        <w:instrText xml:space="preserve"> PAGEREF _Toc277527240 </w:instrText>
      </w:r>
      <w:r>
        <w:fldChar w:fldCharType="separate"/>
      </w:r>
      <w:r>
        <w:t>14</w:t>
      </w:r>
      <w:r>
        <w:fldChar w:fldCharType="end"/>
      </w:r>
      <w:r>
        <w:fldChar w:fldCharType="end"/>
      </w:r>
    </w:p>
    <w:p>
      <w:pPr>
        <w:pStyle w:val="6"/>
        <w:tabs>
          <w:tab w:val="right" w:leader="dot" w:pos="8220"/>
        </w:tabs>
      </w:pPr>
      <w:r>
        <w:fldChar w:fldCharType="begin"/>
      </w:r>
      <w:r>
        <w:instrText xml:space="preserve"> HYPERLINK \l _Toc65841396 </w:instrText>
      </w:r>
      <w:r>
        <w:fldChar w:fldCharType="separate"/>
      </w:r>
      <w:r>
        <w:rPr>
          <w:rFonts w:hint="eastAsia" w:ascii="楷体" w:hAnsi="楷体" w:eastAsia="楷体"/>
          <w:szCs w:val="32"/>
        </w:rPr>
        <w:t>（二）构建废旧物资循环利用体系</w:t>
      </w:r>
      <w:r>
        <w:tab/>
      </w:r>
      <w:r>
        <w:fldChar w:fldCharType="begin"/>
      </w:r>
      <w:r>
        <w:instrText xml:space="preserve"> PAGEREF _Toc65841396 </w:instrText>
      </w:r>
      <w:r>
        <w:fldChar w:fldCharType="separate"/>
      </w:r>
      <w:r>
        <w:t>17</w:t>
      </w:r>
      <w:r>
        <w:fldChar w:fldCharType="end"/>
      </w:r>
      <w:r>
        <w:fldChar w:fldCharType="end"/>
      </w:r>
    </w:p>
    <w:p>
      <w:pPr>
        <w:pStyle w:val="6"/>
        <w:tabs>
          <w:tab w:val="right" w:leader="dot" w:pos="8220"/>
        </w:tabs>
      </w:pPr>
      <w:r>
        <w:fldChar w:fldCharType="begin"/>
      </w:r>
      <w:r>
        <w:instrText xml:space="preserve"> HYPERLINK \l _Toc642264367 </w:instrText>
      </w:r>
      <w:r>
        <w:fldChar w:fldCharType="separate"/>
      </w:r>
      <w:r>
        <w:rPr>
          <w:rFonts w:hint="eastAsia" w:ascii="楷体" w:hAnsi="楷体" w:eastAsia="楷体"/>
          <w:szCs w:val="32"/>
        </w:rPr>
        <w:t>（三）构建循环型农业发展体系</w:t>
      </w:r>
      <w:r>
        <w:tab/>
      </w:r>
      <w:r>
        <w:fldChar w:fldCharType="begin"/>
      </w:r>
      <w:r>
        <w:instrText xml:space="preserve"> PAGEREF _Toc642264367 </w:instrText>
      </w:r>
      <w:r>
        <w:fldChar w:fldCharType="separate"/>
      </w:r>
      <w:r>
        <w:t>22</w:t>
      </w:r>
      <w:r>
        <w:fldChar w:fldCharType="end"/>
      </w:r>
      <w:r>
        <w:fldChar w:fldCharType="end"/>
      </w:r>
    </w:p>
    <w:p>
      <w:pPr>
        <w:pStyle w:val="6"/>
        <w:tabs>
          <w:tab w:val="right" w:leader="dot" w:pos="8220"/>
        </w:tabs>
      </w:pPr>
      <w:r>
        <w:fldChar w:fldCharType="begin"/>
      </w:r>
      <w:r>
        <w:instrText xml:space="preserve"> HYPERLINK \l _Toc1284406347 </w:instrText>
      </w:r>
      <w:r>
        <w:fldChar w:fldCharType="separate"/>
      </w:r>
      <w:r>
        <w:rPr>
          <w:rFonts w:hint="eastAsia" w:ascii="楷体" w:hAnsi="楷体" w:eastAsia="楷体"/>
          <w:szCs w:val="32"/>
        </w:rPr>
        <w:t>（四）构建循环经济发展支撑体系</w:t>
      </w:r>
      <w:r>
        <w:tab/>
      </w:r>
      <w:r>
        <w:fldChar w:fldCharType="begin"/>
      </w:r>
      <w:r>
        <w:instrText xml:space="preserve"> PAGEREF _Toc1284406347 </w:instrText>
      </w:r>
      <w:r>
        <w:fldChar w:fldCharType="separate"/>
      </w:r>
      <w:r>
        <w:t>24</w:t>
      </w:r>
      <w:r>
        <w:fldChar w:fldCharType="end"/>
      </w:r>
      <w:r>
        <w:fldChar w:fldCharType="end"/>
      </w:r>
    </w:p>
    <w:p>
      <w:pPr>
        <w:pStyle w:val="5"/>
        <w:tabs>
          <w:tab w:val="right" w:leader="dot" w:pos="8220"/>
        </w:tabs>
      </w:pPr>
      <w:r>
        <w:fldChar w:fldCharType="begin"/>
      </w:r>
      <w:r>
        <w:instrText xml:space="preserve"> HYPERLINK \l _Toc511854385 </w:instrText>
      </w:r>
      <w:r>
        <w:fldChar w:fldCharType="separate"/>
      </w:r>
      <w:r>
        <w:rPr>
          <w:rFonts w:hint="eastAsia" w:ascii="黑体" w:hAnsi="黑体" w:eastAsia="黑体"/>
          <w:szCs w:val="32"/>
        </w:rPr>
        <w:t>五、重点工程和行动</w:t>
      </w:r>
      <w:r>
        <w:tab/>
      </w:r>
      <w:r>
        <w:fldChar w:fldCharType="begin"/>
      </w:r>
      <w:r>
        <w:instrText xml:space="preserve"> PAGEREF _Toc511854385 </w:instrText>
      </w:r>
      <w:r>
        <w:fldChar w:fldCharType="separate"/>
      </w:r>
      <w:r>
        <w:t>25</w:t>
      </w:r>
      <w:r>
        <w:fldChar w:fldCharType="end"/>
      </w:r>
      <w:r>
        <w:fldChar w:fldCharType="end"/>
      </w:r>
    </w:p>
    <w:p>
      <w:pPr>
        <w:pStyle w:val="6"/>
        <w:tabs>
          <w:tab w:val="right" w:leader="dot" w:pos="8220"/>
        </w:tabs>
      </w:pPr>
      <w:r>
        <w:fldChar w:fldCharType="begin"/>
      </w:r>
      <w:r>
        <w:instrText xml:space="preserve"> HYPERLINK \l _Toc2064642460 </w:instrText>
      </w:r>
      <w:r>
        <w:fldChar w:fldCharType="separate"/>
      </w:r>
      <w:r>
        <w:rPr>
          <w:rFonts w:hint="eastAsia" w:ascii="楷体" w:hAnsi="楷体" w:eastAsia="楷体" w:cs="楷体"/>
          <w:szCs w:val="32"/>
        </w:rPr>
        <w:t>（一）园区循环化发展改造升级工程</w:t>
      </w:r>
      <w:r>
        <w:tab/>
      </w:r>
      <w:r>
        <w:fldChar w:fldCharType="begin"/>
      </w:r>
      <w:r>
        <w:instrText xml:space="preserve"> PAGEREF _Toc2064642460 </w:instrText>
      </w:r>
      <w:r>
        <w:fldChar w:fldCharType="separate"/>
      </w:r>
      <w:r>
        <w:t>25</w:t>
      </w:r>
      <w:r>
        <w:fldChar w:fldCharType="end"/>
      </w:r>
      <w:r>
        <w:fldChar w:fldCharType="end"/>
      </w:r>
    </w:p>
    <w:p>
      <w:pPr>
        <w:pStyle w:val="6"/>
        <w:tabs>
          <w:tab w:val="right" w:leader="dot" w:pos="8220"/>
        </w:tabs>
      </w:pPr>
      <w:r>
        <w:fldChar w:fldCharType="begin"/>
      </w:r>
      <w:r>
        <w:instrText xml:space="preserve"> HYPERLINK \l _Toc1405056994 </w:instrText>
      </w:r>
      <w:r>
        <w:fldChar w:fldCharType="separate"/>
      </w:r>
      <w:r>
        <w:rPr>
          <w:rFonts w:hint="eastAsia" w:ascii="楷体" w:hAnsi="楷体" w:eastAsia="楷体" w:cs="楷体"/>
          <w:szCs w:val="32"/>
        </w:rPr>
        <w:t>（二）大宗固体废弃物综合利用示范工程</w:t>
      </w:r>
      <w:r>
        <w:tab/>
      </w:r>
      <w:r>
        <w:fldChar w:fldCharType="begin"/>
      </w:r>
      <w:r>
        <w:instrText xml:space="preserve"> PAGEREF _Toc1405056994 </w:instrText>
      </w:r>
      <w:r>
        <w:fldChar w:fldCharType="separate"/>
      </w:r>
      <w:r>
        <w:t>26</w:t>
      </w:r>
      <w:r>
        <w:fldChar w:fldCharType="end"/>
      </w:r>
      <w:r>
        <w:fldChar w:fldCharType="end"/>
      </w:r>
    </w:p>
    <w:p>
      <w:pPr>
        <w:pStyle w:val="6"/>
        <w:tabs>
          <w:tab w:val="right" w:leader="dot" w:pos="8220"/>
        </w:tabs>
      </w:pPr>
      <w:r>
        <w:fldChar w:fldCharType="begin"/>
      </w:r>
      <w:r>
        <w:instrText xml:space="preserve"> HYPERLINK \l _Toc1062715746 </w:instrText>
      </w:r>
      <w:r>
        <w:fldChar w:fldCharType="separate"/>
      </w:r>
      <w:r>
        <w:rPr>
          <w:rFonts w:hint="eastAsia" w:ascii="楷体" w:hAnsi="楷体" w:eastAsia="楷体" w:cs="楷体"/>
          <w:szCs w:val="32"/>
        </w:rPr>
        <w:t>（三）城市废旧物资循环利用体系建设工程</w:t>
      </w:r>
      <w:r>
        <w:tab/>
      </w:r>
      <w:r>
        <w:fldChar w:fldCharType="begin"/>
      </w:r>
      <w:r>
        <w:instrText xml:space="preserve"> PAGEREF _Toc1062715746 </w:instrText>
      </w:r>
      <w:r>
        <w:fldChar w:fldCharType="separate"/>
      </w:r>
      <w:r>
        <w:t>27</w:t>
      </w:r>
      <w:r>
        <w:fldChar w:fldCharType="end"/>
      </w:r>
      <w:r>
        <w:fldChar w:fldCharType="end"/>
      </w:r>
    </w:p>
    <w:p>
      <w:pPr>
        <w:pStyle w:val="6"/>
        <w:tabs>
          <w:tab w:val="right" w:leader="dot" w:pos="8220"/>
        </w:tabs>
      </w:pPr>
      <w:r>
        <w:fldChar w:fldCharType="begin"/>
      </w:r>
      <w:r>
        <w:instrText xml:space="preserve"> HYPERLINK \l _Toc442050923 </w:instrText>
      </w:r>
      <w:r>
        <w:fldChar w:fldCharType="separate"/>
      </w:r>
      <w:r>
        <w:rPr>
          <w:rFonts w:hint="eastAsia" w:ascii="楷体" w:hAnsi="楷体" w:eastAsia="楷体" w:cs="楷体"/>
          <w:szCs w:val="32"/>
        </w:rPr>
        <w:t>（四）建筑垃圾资源化利用示范工程</w:t>
      </w:r>
      <w:r>
        <w:tab/>
      </w:r>
      <w:r>
        <w:fldChar w:fldCharType="begin"/>
      </w:r>
      <w:r>
        <w:instrText xml:space="preserve"> PAGEREF _Toc442050923 </w:instrText>
      </w:r>
      <w:r>
        <w:fldChar w:fldCharType="separate"/>
      </w:r>
      <w:r>
        <w:t>27</w:t>
      </w:r>
      <w:r>
        <w:fldChar w:fldCharType="end"/>
      </w:r>
      <w:r>
        <w:fldChar w:fldCharType="end"/>
      </w:r>
    </w:p>
    <w:p>
      <w:pPr>
        <w:pStyle w:val="6"/>
        <w:tabs>
          <w:tab w:val="right" w:leader="dot" w:pos="8220"/>
        </w:tabs>
      </w:pPr>
      <w:r>
        <w:fldChar w:fldCharType="begin"/>
      </w:r>
      <w:r>
        <w:instrText xml:space="preserve"> HYPERLINK \l _Toc1403927888 </w:instrText>
      </w:r>
      <w:r>
        <w:fldChar w:fldCharType="separate"/>
      </w:r>
      <w:r>
        <w:rPr>
          <w:rFonts w:hint="eastAsia" w:ascii="楷体" w:hAnsi="楷体" w:eastAsia="楷体" w:cs="楷体"/>
          <w:szCs w:val="32"/>
        </w:rPr>
        <w:t>（五）废旧车用电池循环利用工程</w:t>
      </w:r>
      <w:r>
        <w:tab/>
      </w:r>
      <w:r>
        <w:fldChar w:fldCharType="begin"/>
      </w:r>
      <w:r>
        <w:instrText xml:space="preserve"> PAGEREF _Toc1403927888 </w:instrText>
      </w:r>
      <w:r>
        <w:fldChar w:fldCharType="separate"/>
      </w:r>
      <w:r>
        <w:t>28</w:t>
      </w:r>
      <w:r>
        <w:fldChar w:fldCharType="end"/>
      </w:r>
      <w:r>
        <w:fldChar w:fldCharType="end"/>
      </w:r>
    </w:p>
    <w:p>
      <w:pPr>
        <w:pStyle w:val="6"/>
        <w:tabs>
          <w:tab w:val="right" w:leader="dot" w:pos="8220"/>
        </w:tabs>
      </w:pPr>
      <w:r>
        <w:fldChar w:fldCharType="begin"/>
      </w:r>
      <w:r>
        <w:instrText xml:space="preserve"> HYPERLINK \l _Toc1413184027 </w:instrText>
      </w:r>
      <w:r>
        <w:fldChar w:fldCharType="separate"/>
      </w:r>
      <w:r>
        <w:rPr>
          <w:rFonts w:hint="eastAsia" w:ascii="楷体" w:hAnsi="楷体" w:eastAsia="楷体" w:cs="楷体"/>
          <w:szCs w:val="32"/>
        </w:rPr>
        <w:t>（六）再制造产业高质量发展工程</w:t>
      </w:r>
      <w:r>
        <w:tab/>
      </w:r>
      <w:r>
        <w:fldChar w:fldCharType="begin"/>
      </w:r>
      <w:r>
        <w:instrText xml:space="preserve"> PAGEREF _Toc1413184027 </w:instrText>
      </w:r>
      <w:r>
        <w:fldChar w:fldCharType="separate"/>
      </w:r>
      <w:r>
        <w:t>29</w:t>
      </w:r>
      <w:r>
        <w:fldChar w:fldCharType="end"/>
      </w:r>
      <w:r>
        <w:fldChar w:fldCharType="end"/>
      </w:r>
    </w:p>
    <w:p>
      <w:pPr>
        <w:pStyle w:val="6"/>
        <w:tabs>
          <w:tab w:val="right" w:leader="dot" w:pos="8220"/>
        </w:tabs>
      </w:pPr>
      <w:r>
        <w:fldChar w:fldCharType="begin"/>
      </w:r>
      <w:r>
        <w:instrText xml:space="preserve"> HYPERLINK \l _Toc214805969 </w:instrText>
      </w:r>
      <w:r>
        <w:fldChar w:fldCharType="separate"/>
      </w:r>
      <w:r>
        <w:rPr>
          <w:rFonts w:hint="eastAsia" w:ascii="楷体" w:hAnsi="楷体" w:eastAsia="楷体" w:cs="楷体"/>
          <w:szCs w:val="32"/>
        </w:rPr>
        <w:t>（七）农林废弃物循环经济示范工程</w:t>
      </w:r>
      <w:r>
        <w:tab/>
      </w:r>
      <w:r>
        <w:fldChar w:fldCharType="begin"/>
      </w:r>
      <w:r>
        <w:instrText xml:space="preserve"> PAGEREF _Toc214805969 </w:instrText>
      </w:r>
      <w:r>
        <w:fldChar w:fldCharType="separate"/>
      </w:r>
      <w:r>
        <w:t>29</w:t>
      </w:r>
      <w:r>
        <w:fldChar w:fldCharType="end"/>
      </w:r>
      <w:r>
        <w:fldChar w:fldCharType="end"/>
      </w:r>
    </w:p>
    <w:p>
      <w:pPr>
        <w:pStyle w:val="6"/>
        <w:tabs>
          <w:tab w:val="right" w:leader="dot" w:pos="8220"/>
        </w:tabs>
      </w:pPr>
      <w:r>
        <w:fldChar w:fldCharType="begin"/>
      </w:r>
      <w:r>
        <w:instrText xml:space="preserve"> HYPERLINK \l _Toc323910376 </w:instrText>
      </w:r>
      <w:r>
        <w:fldChar w:fldCharType="separate"/>
      </w:r>
      <w:r>
        <w:rPr>
          <w:rFonts w:hint="eastAsia" w:ascii="楷体" w:hAnsi="楷体" w:eastAsia="楷体" w:cs="楷体"/>
          <w:szCs w:val="32"/>
        </w:rPr>
        <w:t>（八）废弃电器电子产品回收利用提质行动</w:t>
      </w:r>
      <w:r>
        <w:tab/>
      </w:r>
      <w:r>
        <w:fldChar w:fldCharType="begin"/>
      </w:r>
      <w:r>
        <w:instrText xml:space="preserve"> PAGEREF _Toc323910376 </w:instrText>
      </w:r>
      <w:r>
        <w:fldChar w:fldCharType="separate"/>
      </w:r>
      <w:r>
        <w:t>31</w:t>
      </w:r>
      <w:r>
        <w:fldChar w:fldCharType="end"/>
      </w:r>
      <w:r>
        <w:fldChar w:fldCharType="end"/>
      </w:r>
    </w:p>
    <w:p>
      <w:pPr>
        <w:pStyle w:val="6"/>
        <w:tabs>
          <w:tab w:val="right" w:leader="dot" w:pos="8220"/>
        </w:tabs>
      </w:pPr>
      <w:r>
        <w:fldChar w:fldCharType="begin"/>
      </w:r>
      <w:r>
        <w:instrText xml:space="preserve"> HYPERLINK \l _Toc90644287 </w:instrText>
      </w:r>
      <w:r>
        <w:fldChar w:fldCharType="separate"/>
      </w:r>
      <w:r>
        <w:rPr>
          <w:rFonts w:hint="eastAsia" w:ascii="楷体" w:hAnsi="楷体" w:eastAsia="楷体" w:cs="楷体"/>
          <w:szCs w:val="32"/>
        </w:rPr>
        <w:t>（九）汽车使用全生命周期管理推进行动</w:t>
      </w:r>
      <w:r>
        <w:tab/>
      </w:r>
      <w:r>
        <w:fldChar w:fldCharType="begin"/>
      </w:r>
      <w:r>
        <w:instrText xml:space="preserve"> PAGEREF _Toc90644287 </w:instrText>
      </w:r>
      <w:r>
        <w:fldChar w:fldCharType="separate"/>
      </w:r>
      <w:r>
        <w:t>31</w:t>
      </w:r>
      <w:r>
        <w:fldChar w:fldCharType="end"/>
      </w:r>
      <w:r>
        <w:fldChar w:fldCharType="end"/>
      </w:r>
    </w:p>
    <w:p>
      <w:pPr>
        <w:pStyle w:val="6"/>
        <w:tabs>
          <w:tab w:val="right" w:leader="dot" w:pos="8220"/>
        </w:tabs>
      </w:pPr>
      <w:r>
        <w:fldChar w:fldCharType="begin"/>
      </w:r>
      <w:r>
        <w:instrText xml:space="preserve"> HYPERLINK \l _Toc892625886 </w:instrText>
      </w:r>
      <w:r>
        <w:fldChar w:fldCharType="separate"/>
      </w:r>
      <w:r>
        <w:rPr>
          <w:rFonts w:hint="eastAsia" w:ascii="楷体" w:hAnsi="楷体" w:eastAsia="楷体" w:cs="楷体"/>
          <w:szCs w:val="32"/>
        </w:rPr>
        <w:t>（十）塑料污染全链条治理行动</w:t>
      </w:r>
      <w:r>
        <w:tab/>
      </w:r>
      <w:r>
        <w:fldChar w:fldCharType="begin"/>
      </w:r>
      <w:r>
        <w:instrText xml:space="preserve"> PAGEREF _Toc892625886 </w:instrText>
      </w:r>
      <w:r>
        <w:fldChar w:fldCharType="separate"/>
      </w:r>
      <w:r>
        <w:t>32</w:t>
      </w:r>
      <w:r>
        <w:fldChar w:fldCharType="end"/>
      </w:r>
      <w:r>
        <w:fldChar w:fldCharType="end"/>
      </w:r>
    </w:p>
    <w:p>
      <w:pPr>
        <w:pStyle w:val="6"/>
        <w:tabs>
          <w:tab w:val="right" w:leader="dot" w:pos="8220"/>
        </w:tabs>
      </w:pPr>
      <w:r>
        <w:fldChar w:fldCharType="begin"/>
      </w:r>
      <w:r>
        <w:instrText xml:space="preserve"> HYPERLINK \l _Toc42508060 </w:instrText>
      </w:r>
      <w:r>
        <w:fldChar w:fldCharType="separate"/>
      </w:r>
      <w:r>
        <w:rPr>
          <w:rFonts w:hint="eastAsia" w:ascii="楷体" w:hAnsi="楷体" w:eastAsia="楷体" w:cs="楷体"/>
          <w:szCs w:val="32"/>
        </w:rPr>
        <w:t>（十一）快递包装绿色转型升级行动</w:t>
      </w:r>
      <w:r>
        <w:tab/>
      </w:r>
      <w:r>
        <w:fldChar w:fldCharType="begin"/>
      </w:r>
      <w:r>
        <w:instrText xml:space="preserve"> PAGEREF _Toc42508060 </w:instrText>
      </w:r>
      <w:r>
        <w:fldChar w:fldCharType="separate"/>
      </w:r>
      <w:r>
        <w:t>33</w:t>
      </w:r>
      <w:r>
        <w:fldChar w:fldCharType="end"/>
      </w:r>
      <w:r>
        <w:fldChar w:fldCharType="end"/>
      </w:r>
    </w:p>
    <w:p>
      <w:pPr>
        <w:pStyle w:val="6"/>
        <w:tabs>
          <w:tab w:val="right" w:leader="dot" w:pos="8220"/>
        </w:tabs>
      </w:pPr>
      <w:r>
        <w:fldChar w:fldCharType="begin"/>
      </w:r>
      <w:r>
        <w:instrText xml:space="preserve"> HYPERLINK \l _Toc1468393616 </w:instrText>
      </w:r>
      <w:r>
        <w:fldChar w:fldCharType="separate"/>
      </w:r>
      <w:r>
        <w:rPr>
          <w:rFonts w:hint="eastAsia" w:ascii="楷体" w:hAnsi="楷体" w:eastAsia="楷体" w:cs="楷体"/>
          <w:szCs w:val="32"/>
        </w:rPr>
        <w:t>（十二）循环经济关键技术和装备攻坚行动</w:t>
      </w:r>
      <w:r>
        <w:tab/>
      </w:r>
      <w:r>
        <w:fldChar w:fldCharType="begin"/>
      </w:r>
      <w:r>
        <w:instrText xml:space="preserve"> PAGEREF _Toc1468393616 </w:instrText>
      </w:r>
      <w:r>
        <w:fldChar w:fldCharType="separate"/>
      </w:r>
      <w:r>
        <w:t>33</w:t>
      </w:r>
      <w:r>
        <w:fldChar w:fldCharType="end"/>
      </w:r>
      <w:r>
        <w:fldChar w:fldCharType="end"/>
      </w:r>
    </w:p>
    <w:p>
      <w:pPr>
        <w:pStyle w:val="5"/>
        <w:tabs>
          <w:tab w:val="right" w:leader="dot" w:pos="8220"/>
        </w:tabs>
      </w:pPr>
      <w:r>
        <w:fldChar w:fldCharType="begin"/>
      </w:r>
      <w:r>
        <w:instrText xml:space="preserve"> HYPERLINK \l _Toc409432788 </w:instrText>
      </w:r>
      <w:r>
        <w:fldChar w:fldCharType="separate"/>
      </w:r>
      <w:r>
        <w:rPr>
          <w:rFonts w:hint="eastAsia" w:ascii="黑体" w:hAnsi="黑体" w:eastAsia="黑体"/>
          <w:szCs w:val="32"/>
        </w:rPr>
        <w:t>六、保障措施</w:t>
      </w:r>
      <w:r>
        <w:tab/>
      </w:r>
      <w:r>
        <w:fldChar w:fldCharType="begin"/>
      </w:r>
      <w:r>
        <w:instrText xml:space="preserve"> PAGEREF _Toc409432788 </w:instrText>
      </w:r>
      <w:r>
        <w:fldChar w:fldCharType="separate"/>
      </w:r>
      <w:r>
        <w:t>34</w:t>
      </w:r>
      <w:r>
        <w:fldChar w:fldCharType="end"/>
      </w:r>
      <w:r>
        <w:fldChar w:fldCharType="end"/>
      </w:r>
    </w:p>
    <w:p>
      <w:pPr>
        <w:pStyle w:val="6"/>
        <w:tabs>
          <w:tab w:val="right" w:leader="dot" w:pos="8220"/>
        </w:tabs>
      </w:pPr>
      <w:r>
        <w:fldChar w:fldCharType="begin"/>
      </w:r>
      <w:r>
        <w:instrText xml:space="preserve"> HYPERLINK \l _Toc799262928 </w:instrText>
      </w:r>
      <w:r>
        <w:fldChar w:fldCharType="separate"/>
      </w:r>
      <w:r>
        <w:rPr>
          <w:rFonts w:hint="eastAsia" w:ascii="楷体" w:hAnsi="楷体" w:eastAsia="楷体" w:cs="楷体"/>
          <w:szCs w:val="32"/>
        </w:rPr>
        <w:t>（一）加强统筹协调</w:t>
      </w:r>
      <w:r>
        <w:tab/>
      </w:r>
      <w:r>
        <w:fldChar w:fldCharType="begin"/>
      </w:r>
      <w:r>
        <w:instrText xml:space="preserve"> PAGEREF _Toc799262928 </w:instrText>
      </w:r>
      <w:r>
        <w:fldChar w:fldCharType="separate"/>
      </w:r>
      <w:r>
        <w:t>34</w:t>
      </w:r>
      <w:r>
        <w:fldChar w:fldCharType="end"/>
      </w:r>
      <w:r>
        <w:fldChar w:fldCharType="end"/>
      </w:r>
    </w:p>
    <w:p>
      <w:pPr>
        <w:pStyle w:val="6"/>
        <w:tabs>
          <w:tab w:val="right" w:leader="dot" w:pos="8220"/>
        </w:tabs>
      </w:pPr>
      <w:r>
        <w:fldChar w:fldCharType="begin"/>
      </w:r>
      <w:r>
        <w:instrText xml:space="preserve"> HYPERLINK \l _Toc701818911 </w:instrText>
      </w:r>
      <w:r>
        <w:fldChar w:fldCharType="separate"/>
      </w:r>
      <w:r>
        <w:rPr>
          <w:rFonts w:hint="eastAsia" w:ascii="楷体" w:hAnsi="楷体" w:eastAsia="楷体" w:cs="楷体"/>
          <w:szCs w:val="32"/>
        </w:rPr>
        <w:t>（二）加大政策支持</w:t>
      </w:r>
      <w:r>
        <w:tab/>
      </w:r>
      <w:r>
        <w:fldChar w:fldCharType="begin"/>
      </w:r>
      <w:r>
        <w:instrText xml:space="preserve"> PAGEREF _Toc701818911 </w:instrText>
      </w:r>
      <w:r>
        <w:fldChar w:fldCharType="separate"/>
      </w:r>
      <w:r>
        <w:t>34</w:t>
      </w:r>
      <w:r>
        <w:fldChar w:fldCharType="end"/>
      </w:r>
      <w:r>
        <w:fldChar w:fldCharType="end"/>
      </w:r>
    </w:p>
    <w:p>
      <w:pPr>
        <w:pStyle w:val="6"/>
        <w:tabs>
          <w:tab w:val="right" w:leader="dot" w:pos="8220"/>
        </w:tabs>
      </w:pPr>
      <w:r>
        <w:fldChar w:fldCharType="begin"/>
      </w:r>
      <w:r>
        <w:instrText xml:space="preserve"> HYPERLINK \l _Toc1490247853 </w:instrText>
      </w:r>
      <w:r>
        <w:fldChar w:fldCharType="separate"/>
      </w:r>
      <w:r>
        <w:rPr>
          <w:rFonts w:hint="eastAsia" w:ascii="楷体" w:hAnsi="楷体" w:eastAsia="楷体" w:cs="楷体"/>
          <w:szCs w:val="32"/>
        </w:rPr>
        <w:t>（三）强化监督考核</w:t>
      </w:r>
      <w:r>
        <w:tab/>
      </w:r>
      <w:r>
        <w:fldChar w:fldCharType="begin"/>
      </w:r>
      <w:r>
        <w:instrText xml:space="preserve"> PAGEREF _Toc1490247853 </w:instrText>
      </w:r>
      <w:r>
        <w:fldChar w:fldCharType="separate"/>
      </w:r>
      <w:r>
        <w:t>34</w:t>
      </w:r>
      <w:r>
        <w:fldChar w:fldCharType="end"/>
      </w:r>
      <w:r>
        <w:fldChar w:fldCharType="end"/>
      </w:r>
    </w:p>
    <w:p>
      <w:pPr>
        <w:pStyle w:val="6"/>
        <w:tabs>
          <w:tab w:val="right" w:leader="dot" w:pos="8220"/>
        </w:tabs>
      </w:pPr>
      <w:r>
        <w:fldChar w:fldCharType="begin"/>
      </w:r>
      <w:r>
        <w:instrText xml:space="preserve"> HYPERLINK \l _Toc493890410 </w:instrText>
      </w:r>
      <w:r>
        <w:fldChar w:fldCharType="separate"/>
      </w:r>
      <w:r>
        <w:rPr>
          <w:rFonts w:hint="eastAsia" w:ascii="楷体" w:hAnsi="楷体" w:eastAsia="楷体" w:cs="楷体"/>
          <w:szCs w:val="32"/>
        </w:rPr>
        <w:t>（四）加强风险监测</w:t>
      </w:r>
      <w:r>
        <w:tab/>
      </w:r>
      <w:r>
        <w:fldChar w:fldCharType="begin"/>
      </w:r>
      <w:r>
        <w:instrText xml:space="preserve"> PAGEREF _Toc493890410 </w:instrText>
      </w:r>
      <w:r>
        <w:fldChar w:fldCharType="separate"/>
      </w:r>
      <w:r>
        <w:t>35</w:t>
      </w:r>
      <w:r>
        <w:fldChar w:fldCharType="end"/>
      </w:r>
      <w:r>
        <w:fldChar w:fldCharType="end"/>
      </w:r>
    </w:p>
    <w:p>
      <w:pPr>
        <w:pStyle w:val="6"/>
        <w:tabs>
          <w:tab w:val="right" w:leader="dot" w:pos="8220"/>
        </w:tabs>
      </w:pPr>
      <w:r>
        <w:fldChar w:fldCharType="begin"/>
      </w:r>
      <w:r>
        <w:instrText xml:space="preserve"> HYPERLINK \l _Toc791825215 </w:instrText>
      </w:r>
      <w:r>
        <w:fldChar w:fldCharType="separate"/>
      </w:r>
      <w:r>
        <w:rPr>
          <w:rFonts w:hint="eastAsia" w:ascii="楷体" w:hAnsi="楷体" w:eastAsia="楷体" w:cs="楷体"/>
          <w:szCs w:val="32"/>
        </w:rPr>
        <w:t>（五）加强宣传教育</w:t>
      </w:r>
      <w:r>
        <w:tab/>
      </w:r>
      <w:r>
        <w:fldChar w:fldCharType="begin"/>
      </w:r>
      <w:r>
        <w:instrText xml:space="preserve"> PAGEREF _Toc791825215 </w:instrText>
      </w:r>
      <w:r>
        <w:fldChar w:fldCharType="separate"/>
      </w:r>
      <w:r>
        <w:t>35</w:t>
      </w:r>
      <w:r>
        <w:fldChar w:fldCharType="end"/>
      </w:r>
      <w:r>
        <w:fldChar w:fldCharType="end"/>
      </w:r>
    </w:p>
    <w:p>
      <w:pPr>
        <w:pStyle w:val="5"/>
        <w:tabs>
          <w:tab w:val="right" w:leader="dot" w:pos="8220"/>
        </w:tabs>
      </w:pPr>
      <w:r>
        <w:fldChar w:fldCharType="begin"/>
      </w:r>
      <w:r>
        <w:instrText xml:space="preserve"> HYPERLINK \l _Toc250228046 </w:instrText>
      </w:r>
      <w:r>
        <w:fldChar w:fldCharType="separate"/>
      </w:r>
      <w:r>
        <w:rPr>
          <w:rFonts w:hint="eastAsia" w:ascii="黑体" w:hAnsi="黑体" w:eastAsia="黑体"/>
          <w:szCs w:val="32"/>
        </w:rPr>
        <w:t>七、环境影响评价</w:t>
      </w:r>
      <w:r>
        <w:tab/>
      </w:r>
      <w:r>
        <w:fldChar w:fldCharType="begin"/>
      </w:r>
      <w:r>
        <w:instrText xml:space="preserve"> PAGEREF _Toc250228046 </w:instrText>
      </w:r>
      <w:r>
        <w:fldChar w:fldCharType="separate"/>
      </w:r>
      <w:r>
        <w:t>35</w:t>
      </w:r>
      <w:r>
        <w:fldChar w:fldCharType="end"/>
      </w:r>
      <w:r>
        <w:fldChar w:fldCharType="end"/>
      </w:r>
    </w:p>
    <w:p>
      <w:pPr>
        <w:pStyle w:val="6"/>
        <w:tabs>
          <w:tab w:val="right" w:leader="dot" w:pos="8220"/>
        </w:tabs>
      </w:pPr>
      <w:r>
        <w:fldChar w:fldCharType="begin"/>
      </w:r>
      <w:r>
        <w:instrText xml:space="preserve"> HYPERLINK \l _Toc809788296 </w:instrText>
      </w:r>
      <w:r>
        <w:fldChar w:fldCharType="separate"/>
      </w:r>
      <w:r>
        <w:rPr>
          <w:rFonts w:hint="eastAsia" w:ascii="楷体" w:hAnsi="楷体" w:eastAsia="楷体" w:cs="楷体"/>
          <w:szCs w:val="32"/>
        </w:rPr>
        <w:t>（一）环境影响分析</w:t>
      </w:r>
      <w:r>
        <w:tab/>
      </w:r>
      <w:r>
        <w:fldChar w:fldCharType="begin"/>
      </w:r>
      <w:r>
        <w:instrText xml:space="preserve"> PAGEREF _Toc809788296 </w:instrText>
      </w:r>
      <w:r>
        <w:fldChar w:fldCharType="separate"/>
      </w:r>
      <w:r>
        <w:t>36</w:t>
      </w:r>
      <w:r>
        <w:fldChar w:fldCharType="end"/>
      </w:r>
      <w:r>
        <w:fldChar w:fldCharType="end"/>
      </w:r>
    </w:p>
    <w:p>
      <w:pPr>
        <w:pStyle w:val="6"/>
        <w:tabs>
          <w:tab w:val="right" w:leader="dot" w:pos="8220"/>
        </w:tabs>
      </w:pPr>
      <w:r>
        <w:fldChar w:fldCharType="begin"/>
      </w:r>
      <w:r>
        <w:instrText xml:space="preserve"> HYPERLINK \l _Toc1508019833 </w:instrText>
      </w:r>
      <w:r>
        <w:fldChar w:fldCharType="separate"/>
      </w:r>
      <w:r>
        <w:rPr>
          <w:rFonts w:hint="eastAsia" w:ascii="楷体" w:hAnsi="楷体" w:eastAsia="楷体" w:cs="楷体"/>
          <w:szCs w:val="32"/>
        </w:rPr>
        <w:t>（二）环境影响减缓对策措施</w:t>
      </w:r>
      <w:r>
        <w:tab/>
      </w:r>
      <w:r>
        <w:fldChar w:fldCharType="begin"/>
      </w:r>
      <w:r>
        <w:instrText xml:space="preserve"> PAGEREF _Toc1508019833 </w:instrText>
      </w:r>
      <w:r>
        <w:fldChar w:fldCharType="separate"/>
      </w:r>
      <w:r>
        <w:t>36</w:t>
      </w:r>
      <w:r>
        <w:fldChar w:fldCharType="end"/>
      </w:r>
      <w:r>
        <w:fldChar w:fldCharType="end"/>
      </w:r>
    </w:p>
    <w:p>
      <w:pPr>
        <w:pStyle w:val="6"/>
        <w:tabs>
          <w:tab w:val="right" w:leader="dot" w:pos="8220"/>
        </w:tabs>
      </w:pPr>
      <w:r>
        <w:fldChar w:fldCharType="begin"/>
      </w:r>
      <w:r>
        <w:instrText xml:space="preserve"> HYPERLINK \l _Toc687331337 </w:instrText>
      </w:r>
      <w:r>
        <w:fldChar w:fldCharType="separate"/>
      </w:r>
      <w:r>
        <w:rPr>
          <w:rFonts w:hint="eastAsia" w:ascii="楷体" w:hAnsi="楷体" w:eastAsia="楷体" w:cs="楷体"/>
          <w:szCs w:val="32"/>
        </w:rPr>
        <w:t>（三）环境影响评价结论</w:t>
      </w:r>
      <w:r>
        <w:tab/>
      </w:r>
      <w:r>
        <w:fldChar w:fldCharType="begin"/>
      </w:r>
      <w:r>
        <w:instrText xml:space="preserve"> PAGEREF _Toc687331337 </w:instrText>
      </w:r>
      <w:r>
        <w:fldChar w:fldCharType="separate"/>
      </w:r>
      <w:r>
        <w:t>37</w:t>
      </w:r>
      <w:r>
        <w:fldChar w:fldCharType="end"/>
      </w:r>
      <w:r>
        <w:fldChar w:fldCharType="end"/>
      </w:r>
    </w:p>
    <w:p>
      <w:pPr>
        <w:pStyle w:val="5"/>
        <w:tabs>
          <w:tab w:val="right" w:leader="dot" w:pos="8220"/>
        </w:tabs>
      </w:pPr>
      <w:r>
        <w:fldChar w:fldCharType="begin"/>
      </w:r>
      <w:r>
        <w:instrText xml:space="preserve"> HYPERLINK \l _Toc663243746 </w:instrText>
      </w:r>
      <w:r>
        <w:fldChar w:fldCharType="separate"/>
      </w:r>
      <w:r>
        <w:rPr>
          <w:rFonts w:hint="eastAsia" w:ascii="黑体" w:hAnsi="黑体" w:eastAsia="黑体"/>
          <w:szCs w:val="32"/>
        </w:rPr>
        <w:t>八、组织实施</w:t>
      </w:r>
      <w:r>
        <w:tab/>
      </w:r>
      <w:r>
        <w:fldChar w:fldCharType="begin"/>
      </w:r>
      <w:r>
        <w:instrText xml:space="preserve"> PAGEREF _Toc663243746 </w:instrText>
      </w:r>
      <w:r>
        <w:fldChar w:fldCharType="separate"/>
      </w:r>
      <w:r>
        <w:t>37</w:t>
      </w:r>
      <w:r>
        <w:fldChar w:fldCharType="end"/>
      </w:r>
      <w:r>
        <w:fldChar w:fldCharType="end"/>
      </w:r>
    </w:p>
    <w:p>
      <w:pPr>
        <w:pStyle w:val="5"/>
        <w:tabs>
          <w:tab w:val="right" w:leader="dot" w:pos="8220"/>
        </w:tabs>
      </w:pPr>
      <w:r>
        <w:fldChar w:fldCharType="end"/>
      </w:r>
    </w:p>
    <w:bookmarkEnd w:id="5"/>
    <w:bookmarkEnd w:id="6"/>
    <w:bookmarkEnd w:id="7"/>
    <w:bookmarkEnd w:id="8"/>
    <w:bookmarkEnd w:id="9"/>
    <w:bookmarkEnd w:id="10"/>
    <w:p>
      <w:pPr>
        <w:adjustRightInd w:val="0"/>
        <w:snapToGrid w:val="0"/>
        <w:spacing w:line="560" w:lineRule="exact"/>
        <w:ind w:left="2" w:firstLine="537" w:firstLineChars="168"/>
        <w:rPr>
          <w:rFonts w:eastAsia="仿宋" w:cs="仿宋"/>
          <w:sz w:val="32"/>
          <w:szCs w:val="32"/>
        </w:rPr>
      </w:pPr>
      <w:r>
        <w:rPr>
          <w:rFonts w:hint="eastAsia" w:eastAsia="仿宋" w:cs="仿宋"/>
          <w:sz w:val="32"/>
          <w:szCs w:val="32"/>
        </w:rPr>
        <w:br w:type="page"/>
      </w:r>
      <w:r>
        <w:rPr>
          <w:rFonts w:hint="eastAsia" w:eastAsia="仿宋" w:cs="仿宋"/>
          <w:sz w:val="32"/>
          <w:szCs w:val="32"/>
        </w:rPr>
        <w:t>大力发展循环经济，构建现代化循环产业体系、废旧物资循环利用体系、循环型农业发展体系和循环经济发展支撑体系，推进资源节约集约利用，对缓解我市资源环境约束，推动实现“双碳”目标和经济社会全面绿色转型，促进生态文明建设具有重大意义。为贯彻落实</w:t>
      </w:r>
      <w:r>
        <w:rPr>
          <w:rFonts w:hint="eastAsia" w:ascii="仿宋_GB2312" w:hAnsi="宋体" w:eastAsia="仿宋_GB2312"/>
          <w:sz w:val="32"/>
          <w:szCs w:val="32"/>
        </w:rPr>
        <w:t>国家</w:t>
      </w:r>
      <w:r>
        <w:rPr>
          <w:rFonts w:hint="eastAsia" w:eastAsia="仿宋" w:cs="仿宋"/>
          <w:color w:val="000000"/>
          <w:sz w:val="32"/>
          <w:szCs w:val="32"/>
        </w:rPr>
        <w:t>《“十四五”循环经济发展规划》</w:t>
      </w:r>
      <w:r>
        <w:rPr>
          <w:rFonts w:hint="eastAsia" w:ascii="仿宋_GB2312" w:hAnsi="宋体" w:eastAsia="仿宋_GB2312"/>
          <w:sz w:val="32"/>
          <w:szCs w:val="32"/>
        </w:rPr>
        <w:t>、《</w:t>
      </w:r>
      <w:r>
        <w:rPr>
          <w:rFonts w:hint="eastAsia" w:eastAsia="仿宋" w:cs="仿宋"/>
          <w:color w:val="000000"/>
          <w:sz w:val="32"/>
          <w:szCs w:val="32"/>
        </w:rPr>
        <w:t>广西循环经济发展“十四五”规划》</w:t>
      </w:r>
      <w:r>
        <w:rPr>
          <w:rFonts w:hint="eastAsia" w:eastAsia="仿宋" w:cs="仿宋"/>
          <w:sz w:val="32"/>
          <w:szCs w:val="32"/>
        </w:rPr>
        <w:t>和《南宁市国民经济和社会发展第十四个五年规划和2035年远景目标纲要》，深入推进我市循环经济发展，制定本规划。</w:t>
      </w:r>
      <w:bookmarkEnd w:id="11"/>
      <w:bookmarkStart w:id="12" w:name="_Toc21464"/>
      <w:r>
        <w:rPr>
          <w:rFonts w:hint="eastAsia" w:eastAsia="仿宋" w:cs="仿宋"/>
          <w:sz w:val="32"/>
          <w:szCs w:val="32"/>
        </w:rPr>
        <w:t>规划年限为2021—2025年。</w:t>
      </w:r>
    </w:p>
    <w:p>
      <w:pPr>
        <w:tabs>
          <w:tab w:val="left" w:pos="5548"/>
        </w:tabs>
        <w:spacing w:before="156" w:beforeLines="50" w:line="560" w:lineRule="exact"/>
        <w:ind w:firstLine="640" w:firstLineChars="200"/>
        <w:jc w:val="left"/>
        <w:outlineLvl w:val="0"/>
        <w:rPr>
          <w:rFonts w:hint="eastAsia" w:ascii="黑体" w:hAnsi="黑体" w:eastAsia="黑体"/>
          <w:sz w:val="32"/>
          <w:szCs w:val="32"/>
        </w:rPr>
      </w:pPr>
      <w:bookmarkStart w:id="13" w:name="_Toc8393"/>
      <w:bookmarkStart w:id="14" w:name="_Toc10920"/>
      <w:bookmarkStart w:id="15" w:name="_Toc17034"/>
      <w:bookmarkStart w:id="16" w:name="_Toc14388"/>
      <w:bookmarkStart w:id="17" w:name="_Toc18411"/>
      <w:bookmarkStart w:id="18" w:name="_Toc3724"/>
      <w:bookmarkStart w:id="19" w:name="_Toc30079"/>
      <w:bookmarkStart w:id="20" w:name="_Toc7429"/>
      <w:bookmarkStart w:id="21" w:name="_Toc14730"/>
      <w:bookmarkStart w:id="22" w:name="_Toc708267182"/>
      <w:bookmarkStart w:id="23" w:name="_Toc21863"/>
      <w:bookmarkStart w:id="24" w:name="_Toc16172"/>
      <w:bookmarkStart w:id="25" w:name="_Toc20262"/>
      <w:bookmarkStart w:id="26" w:name="_Toc24458"/>
      <w:bookmarkStart w:id="27" w:name="_Toc21885"/>
      <w:bookmarkStart w:id="28" w:name="_Toc18419"/>
      <w:bookmarkStart w:id="29" w:name="_Toc17662"/>
      <w:bookmarkStart w:id="30" w:name="_Toc27161"/>
      <w:bookmarkStart w:id="31" w:name="_Toc92706637"/>
      <w:bookmarkStart w:id="32" w:name="_Toc32445"/>
      <w:bookmarkStart w:id="33" w:name="_Toc14218"/>
      <w:bookmarkStart w:id="34" w:name="_Toc27765"/>
      <w:bookmarkStart w:id="35" w:name="_Toc26920"/>
      <w:r>
        <w:rPr>
          <w:rFonts w:hint="eastAsia" w:ascii="黑体" w:hAnsi="黑体" w:eastAsia="黑体"/>
          <w:sz w:val="32"/>
          <w:szCs w:val="32"/>
        </w:rPr>
        <w:t>一、发展</w:t>
      </w:r>
      <w:bookmarkEnd w:id="12"/>
      <w:r>
        <w:rPr>
          <w:rFonts w:hint="eastAsia" w:ascii="黑体" w:hAnsi="黑体" w:eastAsia="黑体"/>
          <w:sz w:val="32"/>
          <w:szCs w:val="32"/>
        </w:rPr>
        <w:t>基础与面临形势</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adjustRightInd w:val="0"/>
        <w:snapToGrid w:val="0"/>
        <w:spacing w:line="560" w:lineRule="exact"/>
        <w:ind w:firstLine="643" w:firstLineChars="200"/>
        <w:outlineLvl w:val="1"/>
        <w:rPr>
          <w:rFonts w:hint="eastAsia" w:ascii="楷体_GB2312" w:hAnsi="楷体" w:eastAsia="楷体_GB2312"/>
          <w:b/>
          <w:bCs/>
          <w:sz w:val="32"/>
          <w:szCs w:val="32"/>
        </w:rPr>
      </w:pPr>
      <w:bookmarkStart w:id="36" w:name="_Toc4821"/>
      <w:bookmarkStart w:id="37" w:name="_Toc26312"/>
      <w:bookmarkStart w:id="38" w:name="_Toc1845"/>
      <w:bookmarkStart w:id="39" w:name="_Toc76"/>
      <w:bookmarkStart w:id="40" w:name="_Toc25511"/>
      <w:bookmarkStart w:id="41" w:name="_Toc25439"/>
      <w:bookmarkStart w:id="42" w:name="_Toc19557"/>
      <w:bookmarkStart w:id="43" w:name="_Toc5008"/>
      <w:bookmarkStart w:id="44" w:name="_Toc14371"/>
      <w:bookmarkStart w:id="45" w:name="_Toc6075"/>
      <w:bookmarkStart w:id="46" w:name="_Toc10049"/>
      <w:bookmarkStart w:id="47" w:name="_Toc22017"/>
      <w:bookmarkStart w:id="48" w:name="_Toc23326"/>
      <w:bookmarkStart w:id="49" w:name="_Toc24260"/>
      <w:bookmarkStart w:id="50" w:name="_Toc29342"/>
      <w:bookmarkStart w:id="51" w:name="_Toc18203"/>
      <w:bookmarkStart w:id="52" w:name="_Toc25801"/>
      <w:bookmarkStart w:id="53" w:name="_Toc92706638"/>
      <w:bookmarkStart w:id="54" w:name="_Toc16956"/>
      <w:bookmarkStart w:id="55" w:name="_Toc22974"/>
      <w:bookmarkStart w:id="56" w:name="_Toc2222"/>
      <w:bookmarkStart w:id="57" w:name="_Toc344672553"/>
      <w:bookmarkStart w:id="58" w:name="_Toc3099"/>
      <w:r>
        <w:rPr>
          <w:rFonts w:hint="eastAsia" w:ascii="楷体_GB2312" w:hAnsi="楷体" w:eastAsia="楷体_GB2312"/>
          <w:b/>
          <w:bCs/>
          <w:sz w:val="32"/>
          <w:szCs w:val="32"/>
        </w:rPr>
        <w:t>（一）“十三五”时期发展成效</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adjustRightInd w:val="0"/>
        <w:snapToGrid w:val="0"/>
        <w:spacing w:line="560" w:lineRule="exact"/>
        <w:ind w:left="2" w:firstLine="537" w:firstLineChars="168"/>
        <w:rPr>
          <w:rFonts w:hint="eastAsia" w:ascii="仿宋" w:hAnsi="仿宋" w:eastAsia="仿宋"/>
          <w:sz w:val="32"/>
          <w:szCs w:val="32"/>
        </w:rPr>
      </w:pPr>
      <w:r>
        <w:rPr>
          <w:rFonts w:hint="eastAsia" w:eastAsia="仿宋"/>
          <w:sz w:val="32"/>
          <w:szCs w:val="32"/>
        </w:rPr>
        <w:t>“十三五”时期，我市循环经济发展迈上新台阶。2016—2020年，主要资源产出率稳步提高，建设用地产出率累计提高38%，资源循环利用产业产值175亿元，单位地区生产总值能耗抵扣后累计下降</w:t>
      </w:r>
      <w:r>
        <w:rPr>
          <w:rFonts w:hint="eastAsia" w:eastAsia="仿宋" w:cs="Calibri"/>
          <w:sz w:val="32"/>
          <w:szCs w:val="32"/>
        </w:rPr>
        <w:t>14%。2020年，农作物秸秆综合利用率达</w:t>
      </w:r>
      <w:r>
        <w:rPr>
          <w:rFonts w:hint="eastAsia" w:eastAsia="仿宋"/>
          <w:sz w:val="32"/>
          <w:szCs w:val="32"/>
        </w:rPr>
        <w:t>到87%，</w:t>
      </w:r>
      <w:r>
        <w:rPr>
          <w:rFonts w:hint="eastAsia" w:eastAsia="仿宋" w:cs="Calibri"/>
          <w:sz w:val="32"/>
          <w:szCs w:val="32"/>
        </w:rPr>
        <w:t>一般工业固体废物综合处置利用率达到98.16％，畜禽养殖废弃物资源化利用率达到87.</w:t>
      </w:r>
      <w:r>
        <w:rPr>
          <w:rFonts w:eastAsia="仿宋" w:cs="Calibri"/>
          <w:sz w:val="32"/>
          <w:szCs w:val="32"/>
        </w:rPr>
        <w:t>23</w:t>
      </w:r>
      <w:r>
        <w:rPr>
          <w:rFonts w:hint="eastAsia" w:eastAsia="仿宋" w:cs="Calibri"/>
          <w:sz w:val="32"/>
          <w:szCs w:val="32"/>
        </w:rPr>
        <w:t>%。2020年</w:t>
      </w:r>
      <w:r>
        <w:rPr>
          <w:rFonts w:eastAsia="仿宋" w:cs="Calibri"/>
          <w:sz w:val="32"/>
          <w:szCs w:val="32"/>
        </w:rPr>
        <w:t>，</w:t>
      </w:r>
      <w:r>
        <w:rPr>
          <w:rFonts w:hint="eastAsia" w:eastAsia="仿宋" w:cs="Calibri"/>
          <w:sz w:val="32"/>
          <w:szCs w:val="32"/>
        </w:rPr>
        <w:t>城市建筑垃圾综合利用率为20%；废纸、金属（铁）、塑料、玻璃回收量分别为43.37万吨、44.67万吨、40.91万吨和44.37万吨。园区循环化改造成效显著</w:t>
      </w:r>
      <w:r>
        <w:rPr>
          <w:rFonts w:hint="eastAsia" w:ascii="仿宋" w:hAnsi="仿宋" w:eastAsia="仿宋"/>
          <w:sz w:val="32"/>
          <w:szCs w:val="32"/>
        </w:rPr>
        <w:t>，南宁</w:t>
      </w:r>
      <w:r>
        <w:rPr>
          <w:rFonts w:hint="eastAsia" w:eastAsia="仿宋" w:cs="Calibri"/>
          <w:sz w:val="32"/>
          <w:szCs w:val="32"/>
        </w:rPr>
        <w:t>经</w:t>
      </w:r>
      <w:r>
        <w:rPr>
          <w:rFonts w:hint="eastAsia" w:ascii="仿宋" w:hAnsi="仿宋" w:eastAsia="仿宋"/>
          <w:sz w:val="32"/>
          <w:szCs w:val="32"/>
        </w:rPr>
        <w:t>开区、广西—东盟经开区获批国家循环化改造示范试点园区、国家级和自治区级绿色园区，南宁高新区、六景工业园区、江南工业园区获批自治区循环化改造示范试点园区。循环经济产业协同发展明显增强，南宁市获批国家资源循环利用基地，逐步形成生活垃圾</w:t>
      </w:r>
      <w:r>
        <w:rPr>
          <w:rFonts w:hint="eastAsia" w:eastAsia="仿宋"/>
          <w:sz w:val="32"/>
          <w:szCs w:val="32"/>
        </w:rPr>
        <w:t>—焚烧发电、建筑垃圾—再生建材、厨余垃圾—沼气—生物质天然气、</w:t>
      </w:r>
      <w:r>
        <w:rPr>
          <w:rFonts w:hint="eastAsia" w:ascii="仿宋" w:hAnsi="仿宋" w:eastAsia="仿宋"/>
          <w:sz w:val="32"/>
          <w:szCs w:val="32"/>
        </w:rPr>
        <w:t>玉米—饲料—水生畜牧—食品加工等循环经济产业链，以资源循环利用为核心的循环经济产业链基本成形。</w:t>
      </w:r>
    </w:p>
    <w:p>
      <w:pPr>
        <w:adjustRightInd w:val="0"/>
        <w:snapToGrid w:val="0"/>
        <w:spacing w:line="560" w:lineRule="exact"/>
        <w:ind w:left="319" w:leftChars="152" w:firstLine="318" w:firstLineChars="99"/>
        <w:jc w:val="left"/>
        <w:outlineLvl w:val="1"/>
        <w:rPr>
          <w:rFonts w:ascii="楷体" w:hAnsi="楷体" w:eastAsia="楷体"/>
          <w:b/>
          <w:bCs/>
          <w:sz w:val="32"/>
          <w:szCs w:val="32"/>
        </w:rPr>
      </w:pPr>
      <w:bookmarkStart w:id="59" w:name="_Toc15719"/>
      <w:bookmarkStart w:id="60" w:name="_Toc7409"/>
      <w:bookmarkStart w:id="61" w:name="_Toc92706639"/>
      <w:bookmarkStart w:id="62" w:name="_Toc19478"/>
      <w:bookmarkStart w:id="63" w:name="_Toc31911"/>
      <w:bookmarkStart w:id="64" w:name="_Toc12531"/>
      <w:bookmarkStart w:id="65" w:name="_Toc16185"/>
      <w:bookmarkStart w:id="66" w:name="_Toc23155"/>
      <w:bookmarkStart w:id="67" w:name="_Toc17264"/>
      <w:bookmarkStart w:id="68" w:name="_Toc852"/>
      <w:bookmarkStart w:id="69" w:name="_Toc6296"/>
      <w:bookmarkStart w:id="70" w:name="_Toc6717"/>
      <w:bookmarkStart w:id="71" w:name="_Toc12126"/>
      <w:bookmarkStart w:id="72" w:name="_Toc4815"/>
      <w:bookmarkStart w:id="73" w:name="_Toc28507"/>
      <w:bookmarkStart w:id="74" w:name="_Toc32544"/>
      <w:bookmarkStart w:id="75" w:name="_Toc16801"/>
      <w:bookmarkStart w:id="76" w:name="_Toc11043"/>
      <w:bookmarkStart w:id="77" w:name="_Toc12775"/>
      <w:bookmarkStart w:id="78" w:name="_Toc4493"/>
      <w:bookmarkStart w:id="79" w:name="_Toc1148202312"/>
      <w:bookmarkStart w:id="80" w:name="_Toc15663"/>
      <w:bookmarkStart w:id="81" w:name="_Toc24269"/>
      <w:r>
        <w:rPr>
          <w:rFonts w:hint="eastAsia" w:ascii="楷体" w:hAnsi="楷体" w:eastAsia="楷体"/>
          <w:b/>
          <w:bCs/>
          <w:sz w:val="32"/>
          <w:szCs w:val="32"/>
        </w:rPr>
        <w:t>（二）“十四五”时期面临形势</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adjustRightInd w:val="0"/>
        <w:snapToGrid w:val="0"/>
        <w:spacing w:line="560" w:lineRule="exact"/>
        <w:ind w:left="2" w:firstLine="540" w:firstLineChars="168"/>
        <w:rPr>
          <w:rFonts w:ascii="仿宋" w:hAnsi="仿宋" w:eastAsia="仿宋"/>
          <w:b/>
          <w:bCs/>
          <w:sz w:val="32"/>
          <w:szCs w:val="32"/>
        </w:rPr>
      </w:pPr>
      <w:r>
        <w:rPr>
          <w:rFonts w:hint="eastAsia" w:ascii="仿宋" w:hAnsi="仿宋" w:eastAsia="仿宋"/>
          <w:b/>
          <w:bCs/>
          <w:sz w:val="32"/>
          <w:szCs w:val="32"/>
        </w:rPr>
        <w:t>从国际层面看，</w:t>
      </w:r>
      <w:r>
        <w:rPr>
          <w:rFonts w:hint="eastAsia" w:ascii="仿宋" w:hAnsi="仿宋" w:eastAsia="仿宋"/>
          <w:sz w:val="32"/>
          <w:szCs w:val="32"/>
        </w:rPr>
        <w:t>加快构建绿色、低碳、循环的可持续发展经济体系成为全球共识，发展循环经济成为提高资源利用效率、破解资源环境约束、应对气候变化和培育经济新增长点的重要路径。同时，国际环境日趋复杂，不稳定性不确定性明显增强，资源供给安全面临巨大挑战。</w:t>
      </w:r>
    </w:p>
    <w:p>
      <w:pPr>
        <w:adjustRightInd w:val="0"/>
        <w:snapToGrid w:val="0"/>
        <w:spacing w:line="560" w:lineRule="exact"/>
        <w:ind w:left="2" w:firstLine="540" w:firstLineChars="168"/>
        <w:rPr>
          <w:rFonts w:hint="eastAsia" w:eastAsia="仿宋"/>
          <w:sz w:val="32"/>
          <w:szCs w:val="32"/>
        </w:rPr>
      </w:pPr>
      <w:r>
        <w:rPr>
          <w:rFonts w:hint="eastAsia" w:eastAsia="仿宋"/>
          <w:b/>
          <w:bCs/>
          <w:sz w:val="32"/>
          <w:szCs w:val="32"/>
        </w:rPr>
        <w:t>从国内层面看，</w:t>
      </w:r>
      <w:r>
        <w:rPr>
          <w:rFonts w:hint="eastAsia" w:eastAsia="仿宋"/>
          <w:sz w:val="32"/>
          <w:szCs w:val="32"/>
        </w:rPr>
        <w:t>习近平总书记多次就加快推进绿色低碳发展作出重要指示批示，党的十九大报告明确把建立健全绿色循环低碳发展的经济体系作为推进生态文明、建设美丽中国的重要内容。大力发展循环经济，推动经济社会绿色低碳循环发展，成为我国推进碳达峰碳中和的重要举措。同时，我国主要资源供需矛盾突出，资源利用效率总体不高，转型升级发展面临较大压力。</w:t>
      </w:r>
    </w:p>
    <w:p>
      <w:pPr>
        <w:adjustRightInd w:val="0"/>
        <w:snapToGrid w:val="0"/>
        <w:spacing w:line="560" w:lineRule="exact"/>
        <w:ind w:left="2" w:firstLine="540" w:firstLineChars="168"/>
        <w:rPr>
          <w:rFonts w:eastAsia="仿宋" w:cs="仿宋"/>
          <w:sz w:val="32"/>
          <w:szCs w:val="32"/>
        </w:rPr>
      </w:pPr>
      <w:r>
        <w:rPr>
          <w:rFonts w:hint="eastAsia" w:ascii="仿宋" w:hAnsi="仿宋" w:eastAsia="仿宋"/>
          <w:b/>
          <w:bCs/>
          <w:sz w:val="32"/>
          <w:szCs w:val="32"/>
        </w:rPr>
        <w:t>从广西层面看，</w:t>
      </w:r>
      <w:r>
        <w:rPr>
          <w:rFonts w:hint="eastAsia" w:ascii="仿宋" w:hAnsi="仿宋" w:eastAsia="仿宋"/>
          <w:sz w:val="32"/>
          <w:szCs w:val="32"/>
        </w:rPr>
        <w:t>我区高度重视循环经济发展，</w:t>
      </w:r>
      <w:r>
        <w:rPr>
          <w:rFonts w:hint="eastAsia" w:eastAsia="仿宋"/>
          <w:sz w:val="32"/>
          <w:szCs w:val="32"/>
        </w:rPr>
        <w:t>“十四五”时期将着力加快推进工业、农业、建筑业、服务业绿色化发展，创新“生态</w:t>
      </w:r>
      <w:r>
        <w:rPr>
          <w:rFonts w:hint="eastAsia" w:eastAsia="仿宋" w:cs="Calibri"/>
          <w:sz w:val="32"/>
          <w:szCs w:val="32"/>
        </w:rPr>
        <w:t>+</w:t>
      </w:r>
      <w:r>
        <w:rPr>
          <w:rFonts w:hint="eastAsia" w:ascii="仿宋" w:hAnsi="仿宋" w:eastAsia="仿宋"/>
          <w:sz w:val="32"/>
          <w:szCs w:val="32"/>
        </w:rPr>
        <w:t>”发展模式，提升循环经济发展水平；</w:t>
      </w:r>
      <w:r>
        <w:rPr>
          <w:rFonts w:hint="eastAsia" w:eastAsia="仿宋"/>
          <w:sz w:val="32"/>
          <w:szCs w:val="32"/>
        </w:rPr>
        <w:t>通过打造现代化循环产业体系、完善废旧物资循环利用体系、提升农业循环经济水平、强化循环经济发展支撑等一系列措施，促进全区循环经济快速发展。同时，我区资源能源需求仍处于刚性较快增长阶段，节能降碳和绿色发展成为艰巨的任务。</w:t>
      </w:r>
    </w:p>
    <w:p>
      <w:pPr>
        <w:adjustRightInd w:val="0"/>
        <w:snapToGrid w:val="0"/>
        <w:spacing w:line="560" w:lineRule="exact"/>
        <w:ind w:left="2" w:firstLine="540" w:firstLineChars="168"/>
        <w:rPr>
          <w:rFonts w:hint="eastAsia" w:eastAsia="仿宋"/>
          <w:sz w:val="32"/>
          <w:szCs w:val="32"/>
        </w:rPr>
      </w:pPr>
      <w:r>
        <w:rPr>
          <w:rFonts w:hint="eastAsia" w:hAnsi="仿宋" w:eastAsia="仿宋"/>
          <w:b/>
          <w:bCs/>
          <w:sz w:val="32"/>
          <w:szCs w:val="32"/>
        </w:rPr>
        <w:t>从南宁市层面看，</w:t>
      </w:r>
      <w:r>
        <w:rPr>
          <w:rFonts w:hint="eastAsia" w:eastAsia="仿宋" w:cs="Calibri"/>
          <w:sz w:val="32"/>
          <w:szCs w:val="32"/>
        </w:rPr>
        <w:t>循环经济发展还处于起步阶段，已有循环产业链条较短，覆盖全社会各领域的资源循环利用体系（特别是中间产业）尚未形成，物质循环利用关系尚未建立，再生资源回收利用规范化水平</w:t>
      </w:r>
      <w:r>
        <w:rPr>
          <w:rFonts w:eastAsia="仿宋" w:cs="Calibri"/>
          <w:sz w:val="32"/>
          <w:szCs w:val="32"/>
        </w:rPr>
        <w:t>不高</w:t>
      </w:r>
      <w:r>
        <w:rPr>
          <w:rFonts w:hint="eastAsia" w:eastAsia="仿宋" w:cs="Calibri"/>
          <w:sz w:val="32"/>
          <w:szCs w:val="32"/>
        </w:rPr>
        <w:t>，综合利用产品附加值低，产业耦合关联度不够，行业间、企业间废物代谢和共生耦合关系缺乏。2020年全市</w:t>
      </w:r>
      <w:r>
        <w:rPr>
          <w:rFonts w:hint="eastAsia" w:ascii="仿宋" w:hAnsi="仿宋" w:eastAsia="仿宋"/>
          <w:sz w:val="32"/>
          <w:szCs w:val="32"/>
        </w:rPr>
        <w:t>工业能源消费量占比约</w:t>
      </w:r>
      <w:r>
        <w:rPr>
          <w:rFonts w:hint="eastAsia" w:eastAsia="仿宋" w:cs="Calibri"/>
          <w:sz w:val="32"/>
          <w:szCs w:val="32"/>
        </w:rPr>
        <w:t>40.4%</w:t>
      </w:r>
      <w:r>
        <w:rPr>
          <w:rFonts w:hint="eastAsia" w:ascii="仿宋" w:hAnsi="仿宋" w:eastAsia="仿宋"/>
          <w:sz w:val="32"/>
          <w:szCs w:val="32"/>
        </w:rPr>
        <w:t>，五大重点能耗行业综合能耗占规上工业综合能耗的比重达</w:t>
      </w:r>
      <w:r>
        <w:rPr>
          <w:rFonts w:hint="eastAsia" w:eastAsia="仿宋" w:cs="Calibri"/>
          <w:sz w:val="32"/>
          <w:szCs w:val="32"/>
        </w:rPr>
        <w:t>86.51%，贡献的增加值约占全部工业增加值的1/3</w:t>
      </w:r>
      <w:r>
        <w:rPr>
          <w:rFonts w:hint="eastAsia" w:eastAsia="仿宋"/>
          <w:sz w:val="32"/>
          <w:szCs w:val="32"/>
        </w:rPr>
        <w:t>。随着强首府、强工业的全面实施，对能耗和碳排放的刚性需求较大</w:t>
      </w:r>
      <w:bookmarkStart w:id="82" w:name="_Toc16061"/>
      <w:r>
        <w:rPr>
          <w:rFonts w:hint="eastAsia" w:eastAsia="仿宋"/>
          <w:sz w:val="32"/>
          <w:szCs w:val="32"/>
        </w:rPr>
        <w:t>。“十四五”时期是我市全面落实“强首府”战略、深入推进经济发展方式转变的攻坚阶段和关键时期，循环经济发展成为破解能源瓶颈、实现经济高质量发展的重要选择。</w:t>
      </w:r>
    </w:p>
    <w:p>
      <w:pPr>
        <w:spacing w:before="156" w:beforeLines="50" w:line="560" w:lineRule="exact"/>
        <w:ind w:firstLine="640" w:firstLineChars="200"/>
        <w:jc w:val="left"/>
        <w:outlineLvl w:val="0"/>
        <w:rPr>
          <w:rFonts w:hint="eastAsia" w:ascii="黑体" w:hAnsi="宋体" w:eastAsia="黑体"/>
          <w:sz w:val="32"/>
          <w:szCs w:val="32"/>
        </w:rPr>
      </w:pPr>
      <w:bookmarkStart w:id="83" w:name="_Toc548205842"/>
      <w:bookmarkStart w:id="84" w:name="_Toc9246"/>
      <w:bookmarkStart w:id="85" w:name="_Toc716"/>
      <w:bookmarkStart w:id="86" w:name="_Toc17105"/>
      <w:bookmarkStart w:id="87" w:name="_Toc8574"/>
      <w:bookmarkStart w:id="88" w:name="_Toc92706640"/>
      <w:bookmarkStart w:id="89" w:name="_Toc24666"/>
      <w:bookmarkStart w:id="90" w:name="_Toc26382"/>
      <w:bookmarkStart w:id="91" w:name="_Toc30421"/>
      <w:bookmarkStart w:id="92" w:name="_Toc2075"/>
      <w:bookmarkStart w:id="93" w:name="_Toc17535"/>
      <w:bookmarkStart w:id="94" w:name="_Toc15601"/>
      <w:bookmarkStart w:id="95" w:name="_Toc21456"/>
      <w:bookmarkStart w:id="96" w:name="_Toc18478"/>
      <w:bookmarkStart w:id="97" w:name="_Toc30223"/>
      <w:bookmarkStart w:id="98" w:name="_Toc3161"/>
      <w:bookmarkStart w:id="99" w:name="_Toc2976"/>
      <w:bookmarkStart w:id="100" w:name="_Toc25674"/>
      <w:bookmarkStart w:id="101" w:name="_Toc24640"/>
      <w:bookmarkStart w:id="102" w:name="_Toc19632"/>
      <w:bookmarkStart w:id="103" w:name="_Toc22131"/>
      <w:bookmarkStart w:id="104" w:name="_Toc31250"/>
      <w:bookmarkStart w:id="105" w:name="_Toc30077"/>
      <w:r>
        <w:rPr>
          <w:rFonts w:hint="eastAsia" w:ascii="黑体" w:hAnsi="黑体" w:eastAsia="黑体"/>
          <w:sz w:val="32"/>
          <w:szCs w:val="32"/>
        </w:rPr>
        <w:t>二、总体</w:t>
      </w:r>
      <w:bookmarkEnd w:id="82"/>
      <w:r>
        <w:rPr>
          <w:rFonts w:hint="eastAsia" w:ascii="黑体" w:hAnsi="黑体" w:eastAsia="黑体"/>
          <w:sz w:val="32"/>
          <w:szCs w:val="32"/>
        </w:rPr>
        <w:t>要求</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adjustRightInd w:val="0"/>
        <w:snapToGrid w:val="0"/>
        <w:spacing w:line="560" w:lineRule="exact"/>
        <w:ind w:left="319" w:leftChars="152" w:firstLine="318" w:firstLineChars="99"/>
        <w:jc w:val="left"/>
        <w:outlineLvl w:val="1"/>
        <w:rPr>
          <w:rFonts w:hint="eastAsia" w:ascii="楷体" w:hAnsi="楷体" w:eastAsia="楷体"/>
          <w:b/>
          <w:bCs/>
          <w:sz w:val="32"/>
          <w:szCs w:val="32"/>
        </w:rPr>
      </w:pPr>
      <w:bookmarkStart w:id="106" w:name="_Toc9553"/>
      <w:bookmarkStart w:id="107" w:name="_Toc32029"/>
      <w:bookmarkStart w:id="108" w:name="_Toc29256"/>
      <w:bookmarkStart w:id="109" w:name="_Toc29077"/>
      <w:bookmarkStart w:id="110" w:name="_Toc11771"/>
      <w:bookmarkStart w:id="111" w:name="_Toc7203"/>
      <w:bookmarkStart w:id="112" w:name="_Toc990740864"/>
      <w:bookmarkStart w:id="113" w:name="_Toc14246"/>
      <w:bookmarkStart w:id="114" w:name="_Toc1279"/>
      <w:bookmarkStart w:id="115" w:name="_Toc16971"/>
      <w:bookmarkStart w:id="116" w:name="_Toc4161"/>
      <w:bookmarkStart w:id="117" w:name="_Toc28041"/>
      <w:bookmarkStart w:id="118" w:name="_Toc16162"/>
      <w:bookmarkStart w:id="119" w:name="_Toc2112"/>
      <w:bookmarkStart w:id="120" w:name="_Toc10580"/>
      <w:bookmarkStart w:id="121" w:name="_Toc10242"/>
      <w:bookmarkStart w:id="122" w:name="_Toc17172"/>
      <w:bookmarkStart w:id="123" w:name="_Toc13197"/>
      <w:bookmarkStart w:id="124" w:name="_Toc17905"/>
      <w:bookmarkStart w:id="125" w:name="_Toc14577"/>
      <w:bookmarkStart w:id="126" w:name="_Toc3129"/>
      <w:bookmarkStart w:id="127" w:name="_Toc9015"/>
      <w:bookmarkStart w:id="128" w:name="_Toc92706641"/>
      <w:bookmarkStart w:id="129" w:name="_Toc27040"/>
      <w:r>
        <w:rPr>
          <w:rFonts w:hint="eastAsia" w:ascii="楷体" w:hAnsi="楷体" w:eastAsia="楷体"/>
          <w:b/>
          <w:bCs/>
          <w:sz w:val="32"/>
          <w:szCs w:val="32"/>
        </w:rPr>
        <w:t>（一）指导思想</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adjustRightInd w:val="0"/>
        <w:snapToGrid w:val="0"/>
        <w:spacing w:line="560" w:lineRule="exact"/>
        <w:ind w:left="2" w:firstLine="537" w:firstLineChars="168"/>
        <w:rPr>
          <w:rFonts w:ascii="Calibri" w:hAnsi="Calibri" w:eastAsia="仿宋"/>
          <w:sz w:val="32"/>
          <w:szCs w:val="32"/>
        </w:rPr>
      </w:pPr>
      <w:r>
        <w:rPr>
          <w:rFonts w:hint="eastAsia" w:ascii="仿宋" w:hAnsi="仿宋" w:eastAsia="仿宋"/>
          <w:sz w:val="32"/>
          <w:szCs w:val="32"/>
        </w:rPr>
        <w:t>以习近平新时代中国特色社会主义思想为指导</w:t>
      </w:r>
      <w:r>
        <w:rPr>
          <w:rFonts w:ascii="仿宋" w:hAnsi="仿宋" w:eastAsia="仿宋" w:cs="仿宋"/>
          <w:sz w:val="32"/>
          <w:szCs w:val="32"/>
        </w:rPr>
        <w:t>，</w:t>
      </w:r>
      <w:r>
        <w:rPr>
          <w:rFonts w:hint="eastAsia" w:ascii="仿宋" w:hAnsi="仿宋" w:eastAsia="仿宋"/>
          <w:sz w:val="32"/>
          <w:szCs w:val="32"/>
        </w:rPr>
        <w:t>全面贯彻党的十九大和十九届历次全会精神，</w:t>
      </w:r>
      <w:r>
        <w:rPr>
          <w:rFonts w:hint="eastAsia" w:eastAsia="仿宋"/>
          <w:sz w:val="32"/>
          <w:szCs w:val="32"/>
        </w:rPr>
        <w:t>深入贯彻习近平生态文明思想和习近平总书记对广西工作系列重要指示精神，坚持节约资源和保护环境的基本国策，立</w:t>
      </w:r>
      <w:r>
        <w:rPr>
          <w:rFonts w:hint="eastAsia" w:ascii="仿宋" w:hAnsi="仿宋" w:eastAsia="仿宋"/>
          <w:sz w:val="32"/>
          <w:szCs w:val="32"/>
        </w:rPr>
        <w:t>足新发展阶段，贯彻新发展理念，积极服务和融入新发展格局</w:t>
      </w:r>
      <w:r>
        <w:rPr>
          <w:rFonts w:hint="eastAsia" w:eastAsia="仿宋"/>
          <w:sz w:val="32"/>
          <w:szCs w:val="32"/>
        </w:rPr>
        <w:t>，坚持绿水青山就是金山银山理念，坚持技术可行、经济合理和有利于节约资源、保护环境的要求，遵循“减量化、再利用、资源化”原则，以建立健全绿色低碳循环发展经济体系为目标，全面优化循环经济发展空间布局，加快构建现代化循环产业</w:t>
      </w:r>
      <w:r>
        <w:rPr>
          <w:rFonts w:hint="eastAsia" w:ascii="仿宋" w:hAnsi="仿宋" w:eastAsia="仿宋"/>
          <w:sz w:val="32"/>
          <w:szCs w:val="32"/>
        </w:rPr>
        <w:t>体系、废旧物资循环利用体系、循环型农业发展体系、循环经济发展支撑体系等四大体系，推进实施十二大重点工程和行动，促进全市循环经济高质量发展，为建设新时代中国特色社会主义壮美广西贡献力量，助力实现碳达峰碳中和目标。</w:t>
      </w:r>
    </w:p>
    <w:p>
      <w:pPr>
        <w:adjustRightInd w:val="0"/>
        <w:snapToGrid w:val="0"/>
        <w:spacing w:line="560" w:lineRule="exact"/>
        <w:ind w:left="319" w:leftChars="152" w:firstLine="318" w:firstLineChars="99"/>
        <w:jc w:val="left"/>
        <w:outlineLvl w:val="1"/>
        <w:rPr>
          <w:rFonts w:hint="eastAsia" w:ascii="楷体" w:hAnsi="楷体" w:eastAsia="楷体"/>
          <w:b/>
          <w:bCs/>
          <w:sz w:val="32"/>
          <w:szCs w:val="32"/>
        </w:rPr>
      </w:pPr>
      <w:bookmarkStart w:id="130" w:name="_Toc8760"/>
      <w:bookmarkStart w:id="131" w:name="_Toc30156"/>
      <w:bookmarkStart w:id="132" w:name="_Toc1940986057"/>
      <w:bookmarkStart w:id="133" w:name="_Toc16005"/>
      <w:bookmarkStart w:id="134" w:name="_Toc25731"/>
      <w:bookmarkStart w:id="135" w:name="_Toc12305"/>
      <w:bookmarkStart w:id="136" w:name="_Toc14595"/>
      <w:bookmarkStart w:id="137" w:name="_Toc5718"/>
      <w:bookmarkStart w:id="138" w:name="_Toc4300"/>
      <w:bookmarkStart w:id="139" w:name="_Toc1969"/>
      <w:bookmarkStart w:id="140" w:name="_Toc12643"/>
      <w:bookmarkStart w:id="141" w:name="_Toc16085"/>
      <w:bookmarkStart w:id="142" w:name="_Toc19958"/>
      <w:bookmarkStart w:id="143" w:name="_Toc92706642"/>
      <w:bookmarkStart w:id="144" w:name="_Toc7626"/>
      <w:bookmarkStart w:id="145" w:name="_Toc11130"/>
      <w:bookmarkStart w:id="146" w:name="_Toc12729"/>
      <w:bookmarkStart w:id="147" w:name="_Toc5484"/>
      <w:bookmarkStart w:id="148" w:name="_Toc16706"/>
      <w:bookmarkStart w:id="149" w:name="_Toc11226"/>
      <w:bookmarkStart w:id="150" w:name="_Toc6039"/>
      <w:bookmarkStart w:id="151" w:name="_Toc19639"/>
      <w:bookmarkStart w:id="152" w:name="_Toc3867"/>
      <w:bookmarkStart w:id="153" w:name="_Toc7362"/>
      <w:r>
        <w:rPr>
          <w:rFonts w:hint="eastAsia" w:ascii="楷体" w:hAnsi="楷体" w:eastAsia="楷体"/>
          <w:b/>
          <w:bCs/>
          <w:sz w:val="32"/>
          <w:szCs w:val="32"/>
        </w:rPr>
        <w:t>（二）工作原则</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adjustRightInd w:val="0"/>
        <w:snapToGrid w:val="0"/>
        <w:spacing w:line="560" w:lineRule="exact"/>
        <w:ind w:firstLine="643" w:firstLineChars="200"/>
        <w:outlineLvl w:val="2"/>
        <w:rPr>
          <w:rFonts w:hint="eastAsia" w:ascii="仿宋" w:hAnsi="仿宋" w:eastAsia="仿宋"/>
          <w:b/>
          <w:bCs/>
          <w:sz w:val="32"/>
          <w:szCs w:val="32"/>
        </w:rPr>
      </w:pPr>
      <w:bookmarkStart w:id="154" w:name="_Toc30424"/>
      <w:r>
        <w:rPr>
          <w:rFonts w:hint="eastAsia" w:ascii="仿宋" w:hAnsi="仿宋" w:eastAsia="仿宋"/>
          <w:b/>
          <w:bCs/>
          <w:sz w:val="32"/>
          <w:szCs w:val="32"/>
        </w:rPr>
        <w:t>——坚持市场主导</w:t>
      </w:r>
      <w:bookmarkEnd w:id="154"/>
      <w:r>
        <w:rPr>
          <w:rFonts w:hint="eastAsia" w:ascii="仿宋" w:hAnsi="仿宋" w:eastAsia="仿宋"/>
          <w:b/>
          <w:bCs/>
          <w:sz w:val="32"/>
          <w:szCs w:val="32"/>
        </w:rPr>
        <w:t>。</w:t>
      </w:r>
      <w:r>
        <w:rPr>
          <w:rFonts w:hint="eastAsia" w:ascii="仿宋" w:hAnsi="仿宋" w:eastAsia="仿宋"/>
          <w:sz w:val="32"/>
          <w:szCs w:val="32"/>
        </w:rPr>
        <w:t>发挥市场配置资源的决定性作用、企业主体作用和各类市场交易机制的作用。利用市场机制调动市场主体参与循环经济的积极性，着力提高市场主体发展循环经济的内生动力。</w:t>
      </w:r>
      <w:bookmarkStart w:id="155" w:name="_Toc4576"/>
    </w:p>
    <w:p>
      <w:pPr>
        <w:adjustRightInd w:val="0"/>
        <w:snapToGrid w:val="0"/>
        <w:spacing w:line="560" w:lineRule="exact"/>
        <w:ind w:firstLine="643" w:firstLineChars="200"/>
        <w:outlineLvl w:val="2"/>
        <w:rPr>
          <w:rFonts w:eastAsia="仿宋"/>
          <w:b/>
          <w:bCs/>
          <w:sz w:val="32"/>
          <w:szCs w:val="32"/>
        </w:rPr>
      </w:pPr>
      <w:r>
        <w:rPr>
          <w:rFonts w:hint="eastAsia" w:ascii="仿宋" w:hAnsi="仿宋" w:eastAsia="仿宋"/>
          <w:b/>
          <w:bCs/>
          <w:sz w:val="32"/>
          <w:szCs w:val="32"/>
        </w:rPr>
        <w:t>——坚持重点突破</w:t>
      </w:r>
      <w:bookmarkEnd w:id="155"/>
      <w:r>
        <w:rPr>
          <w:rFonts w:hint="eastAsia" w:ascii="仿宋" w:hAnsi="仿宋" w:eastAsia="仿宋"/>
          <w:b/>
          <w:bCs/>
          <w:sz w:val="32"/>
          <w:szCs w:val="32"/>
        </w:rPr>
        <w:t>。</w:t>
      </w:r>
      <w:r>
        <w:rPr>
          <w:rFonts w:hint="eastAsia" w:ascii="仿宋" w:hAnsi="仿宋" w:eastAsia="仿宋" w:cs="仿宋"/>
          <w:sz w:val="32"/>
          <w:szCs w:val="32"/>
        </w:rPr>
        <w:t>以再利用、资源化为重点，</w:t>
      </w:r>
      <w:r>
        <w:rPr>
          <w:rFonts w:hint="eastAsia" w:ascii="仿宋" w:hAnsi="仿宋" w:eastAsia="仿宋"/>
          <w:sz w:val="32"/>
          <w:szCs w:val="32"/>
        </w:rPr>
        <w:t>强化产业间协同发展，构建闭环生态系统。选择制约循环经济发展的重点地区、重点领域和关键环节，予以靶向突破、重点攻关，提高资源回收利用水平和资源利用效率</w:t>
      </w:r>
      <w:r>
        <w:rPr>
          <w:rFonts w:ascii="仿宋" w:hAnsi="仿宋" w:eastAsia="仿宋" w:cs="仿宋"/>
          <w:sz w:val="32"/>
          <w:szCs w:val="32"/>
        </w:rPr>
        <w:t>。</w:t>
      </w:r>
    </w:p>
    <w:p>
      <w:pPr>
        <w:adjustRightInd w:val="0"/>
        <w:snapToGrid w:val="0"/>
        <w:spacing w:line="560" w:lineRule="exact"/>
        <w:ind w:firstLine="643" w:firstLineChars="200"/>
        <w:outlineLvl w:val="2"/>
        <w:rPr>
          <w:rFonts w:eastAsia="仿宋"/>
          <w:sz w:val="32"/>
          <w:szCs w:val="32"/>
        </w:rPr>
      </w:pPr>
      <w:bookmarkStart w:id="156" w:name="_Toc23726"/>
      <w:r>
        <w:rPr>
          <w:rFonts w:hint="eastAsia" w:ascii="仿宋" w:hAnsi="仿宋" w:eastAsia="仿宋"/>
          <w:b/>
          <w:bCs/>
          <w:sz w:val="32"/>
          <w:szCs w:val="32"/>
        </w:rPr>
        <w:t>——坚持创新驱动</w:t>
      </w:r>
      <w:bookmarkEnd w:id="156"/>
      <w:r>
        <w:rPr>
          <w:rFonts w:hint="eastAsia" w:ascii="仿宋" w:hAnsi="仿宋" w:eastAsia="仿宋"/>
          <w:b/>
          <w:bCs/>
          <w:sz w:val="32"/>
          <w:szCs w:val="32"/>
        </w:rPr>
        <w:t>。</w:t>
      </w:r>
      <w:r>
        <w:rPr>
          <w:rFonts w:hint="eastAsia" w:ascii="仿宋" w:hAnsi="仿宋" w:eastAsia="仿宋"/>
          <w:sz w:val="32"/>
          <w:szCs w:val="32"/>
        </w:rPr>
        <w:t>大力推进创新发展，加强科技创新、机制创新和模式创新，强化创新对循环经济的引领作用。加强循环产业链的关键技术、工艺和设备的研发制造和推广，加大循环经济先进技术成果的转化力度。</w:t>
      </w:r>
    </w:p>
    <w:p>
      <w:pPr>
        <w:adjustRightInd w:val="0"/>
        <w:snapToGrid w:val="0"/>
        <w:spacing w:line="560" w:lineRule="exact"/>
        <w:ind w:firstLine="643" w:firstLineChars="200"/>
        <w:outlineLvl w:val="2"/>
        <w:rPr>
          <w:rFonts w:ascii="仿宋" w:hAnsi="仿宋" w:eastAsia="仿宋"/>
          <w:sz w:val="32"/>
          <w:szCs w:val="32"/>
        </w:rPr>
      </w:pPr>
      <w:bookmarkStart w:id="157" w:name="_Toc14531"/>
      <w:r>
        <w:rPr>
          <w:rFonts w:hint="eastAsia" w:ascii="仿宋" w:hAnsi="仿宋" w:eastAsia="仿宋"/>
          <w:b/>
          <w:bCs/>
          <w:sz w:val="32"/>
          <w:szCs w:val="32"/>
        </w:rPr>
        <w:t>——坚持突出特色</w:t>
      </w:r>
      <w:bookmarkEnd w:id="157"/>
      <w:r>
        <w:rPr>
          <w:rFonts w:hint="eastAsia" w:ascii="仿宋" w:hAnsi="仿宋" w:eastAsia="仿宋"/>
          <w:b/>
          <w:bCs/>
          <w:sz w:val="32"/>
          <w:szCs w:val="32"/>
        </w:rPr>
        <w:t>。</w:t>
      </w:r>
      <w:r>
        <w:rPr>
          <w:rFonts w:hint="eastAsia" w:ascii="仿宋" w:hAnsi="仿宋" w:eastAsia="仿宋"/>
          <w:sz w:val="32"/>
          <w:szCs w:val="32"/>
        </w:rPr>
        <w:t>紧密结合我市的资源状况、经济社会发展需求，合理规划布局，突出区域循环经济发展特色，科学确定循环经济发展目标方向和任务措施，构建具有地方特色的减量化、资源化、再利用循环产业链，促进循环经济发展与产业结构调整及优化升级有机结合。</w:t>
      </w:r>
    </w:p>
    <w:p>
      <w:pPr>
        <w:adjustRightInd w:val="0"/>
        <w:snapToGrid w:val="0"/>
        <w:spacing w:line="560" w:lineRule="exact"/>
        <w:ind w:left="319" w:leftChars="152" w:firstLine="318" w:firstLineChars="99"/>
        <w:jc w:val="left"/>
        <w:outlineLvl w:val="1"/>
        <w:rPr>
          <w:rFonts w:hint="eastAsia" w:ascii="楷体" w:hAnsi="楷体" w:eastAsia="楷体"/>
          <w:b/>
          <w:bCs/>
          <w:sz w:val="32"/>
          <w:szCs w:val="32"/>
        </w:rPr>
      </w:pPr>
      <w:bookmarkStart w:id="158" w:name="_Toc22059"/>
      <w:bookmarkStart w:id="159" w:name="_Toc24415"/>
      <w:bookmarkStart w:id="160" w:name="_Toc25028"/>
      <w:bookmarkStart w:id="161" w:name="_Toc4054"/>
      <w:bookmarkStart w:id="162" w:name="_Toc27529"/>
      <w:bookmarkStart w:id="163" w:name="_Toc31571"/>
      <w:bookmarkStart w:id="164" w:name="_Toc10696"/>
      <w:bookmarkStart w:id="165" w:name="_Toc1876062069"/>
      <w:bookmarkStart w:id="166" w:name="_Toc3004"/>
      <w:bookmarkStart w:id="167" w:name="_Toc4930"/>
      <w:bookmarkStart w:id="168" w:name="_Toc8384"/>
      <w:bookmarkStart w:id="169" w:name="_Toc23584"/>
      <w:bookmarkStart w:id="170" w:name="_Toc27028"/>
      <w:bookmarkStart w:id="171" w:name="_Toc32284"/>
      <w:bookmarkStart w:id="172" w:name="_Toc22509"/>
      <w:bookmarkStart w:id="173" w:name="_Toc25173"/>
      <w:bookmarkStart w:id="174" w:name="_Toc20184"/>
      <w:bookmarkStart w:id="175" w:name="_Toc24155"/>
      <w:bookmarkStart w:id="176" w:name="_Toc23754"/>
      <w:bookmarkStart w:id="177" w:name="_Toc32380"/>
      <w:bookmarkStart w:id="178" w:name="_Toc26831"/>
      <w:bookmarkStart w:id="179" w:name="_Toc26560"/>
      <w:bookmarkStart w:id="180" w:name="_Toc7241"/>
      <w:bookmarkStart w:id="181" w:name="_Toc92706643"/>
      <w:r>
        <w:rPr>
          <w:rFonts w:hint="eastAsia" w:ascii="楷体" w:hAnsi="楷体" w:eastAsia="楷体"/>
          <w:b/>
          <w:bCs/>
          <w:sz w:val="32"/>
          <w:szCs w:val="32"/>
        </w:rPr>
        <w:t>（三）主要目标</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adjustRightInd w:val="0"/>
        <w:snapToGrid w:val="0"/>
        <w:spacing w:line="560" w:lineRule="exact"/>
        <w:ind w:firstLine="640" w:firstLineChars="200"/>
        <w:rPr>
          <w:rFonts w:ascii="仿宋" w:hAnsi="仿宋" w:eastAsia="仿宋"/>
          <w:sz w:val="32"/>
          <w:szCs w:val="32"/>
        </w:rPr>
      </w:pPr>
      <w:r>
        <w:rPr>
          <w:rFonts w:hAnsi="仿宋" w:eastAsia="仿宋"/>
          <w:sz w:val="32"/>
          <w:szCs w:val="32"/>
        </w:rPr>
        <w:t>到</w:t>
      </w:r>
      <w:r>
        <w:rPr>
          <w:rFonts w:eastAsia="仿宋"/>
          <w:sz w:val="32"/>
          <w:szCs w:val="32"/>
        </w:rPr>
        <w:t>2025</w:t>
      </w:r>
      <w:r>
        <w:rPr>
          <w:rFonts w:hAnsi="仿宋" w:eastAsia="仿宋"/>
          <w:sz w:val="32"/>
          <w:szCs w:val="32"/>
        </w:rPr>
        <w:t>年</w:t>
      </w:r>
      <w:r>
        <w:rPr>
          <w:rFonts w:hint="eastAsia" w:hAnsi="仿宋" w:eastAsia="仿宋"/>
          <w:sz w:val="32"/>
          <w:szCs w:val="32"/>
        </w:rPr>
        <w:t>，</w:t>
      </w:r>
      <w:r>
        <w:rPr>
          <w:rFonts w:hint="eastAsia" w:ascii="Times New Roman Regular" w:hAnsi="Times New Roman Regular" w:eastAsia="仿宋" w:cs="Times New Roman Regular"/>
          <w:sz w:val="32"/>
          <w:szCs w:val="32"/>
        </w:rPr>
        <w:t>“</w:t>
      </w:r>
      <w:r>
        <w:rPr>
          <w:rFonts w:ascii="仿宋" w:hAnsi="仿宋" w:eastAsia="仿宋" w:cs="Times New Roman Regular"/>
          <w:sz w:val="32"/>
          <w:szCs w:val="32"/>
        </w:rPr>
        <w:t>减量化、再利用、资源化</w:t>
      </w:r>
      <w:r>
        <w:rPr>
          <w:rFonts w:hint="eastAsia" w:ascii="Times New Roman Regular" w:hAnsi="Times New Roman Regular" w:eastAsia="仿宋" w:cs="Times New Roman Regular"/>
          <w:sz w:val="32"/>
          <w:szCs w:val="32"/>
        </w:rPr>
        <w:t>”</w:t>
      </w:r>
      <w:r>
        <w:rPr>
          <w:rFonts w:ascii="仿宋" w:hAnsi="仿宋" w:eastAsia="仿宋" w:cs="Times New Roman Regular"/>
          <w:sz w:val="32"/>
          <w:szCs w:val="32"/>
        </w:rPr>
        <w:t>的循环经济发展</w:t>
      </w:r>
      <w:r>
        <w:rPr>
          <w:rFonts w:hint="eastAsia" w:ascii="仿宋" w:hAnsi="仿宋" w:eastAsia="仿宋" w:cs="Times New Roman Regular"/>
          <w:sz w:val="32"/>
          <w:szCs w:val="32"/>
        </w:rPr>
        <w:t>模式进一步得到推广</w:t>
      </w:r>
      <w:r>
        <w:rPr>
          <w:rFonts w:hint="eastAsia" w:ascii="仿宋" w:hAnsi="仿宋" w:eastAsia="仿宋"/>
          <w:sz w:val="32"/>
          <w:szCs w:val="32"/>
        </w:rPr>
        <w:t>，现代化循环产业体系基本成型，资源综合利用能力和水平进一步提高，循环型产业实现集约化、规模化发展；废旧物资循环利用体系基本完善，再生资源循环利用能力大幅提高；循环型农业发展体系全面成型，农业循环经济发展水平进一步提高；循环经济发展支撑体系全面夯实，资源能耗水平取得新突破，能源清洁低碳安全高效利用效率大幅提升。</w:t>
      </w:r>
    </w:p>
    <w:p>
      <w:pPr>
        <w:adjustRightInd w:val="0"/>
        <w:snapToGrid w:val="0"/>
        <w:spacing w:line="560" w:lineRule="exact"/>
        <w:ind w:firstLine="640" w:firstLineChars="200"/>
        <w:rPr>
          <w:rFonts w:hint="eastAsia" w:eastAsia="仿宋" w:cs="仿宋"/>
          <w:sz w:val="32"/>
          <w:szCs w:val="32"/>
        </w:rPr>
      </w:pPr>
      <w:r>
        <w:rPr>
          <w:rFonts w:eastAsia="仿宋"/>
          <w:sz w:val="32"/>
          <w:szCs w:val="32"/>
        </w:rPr>
        <w:t>到2025年，</w:t>
      </w:r>
      <w:r>
        <w:rPr>
          <w:rFonts w:hint="eastAsia" w:eastAsia="仿宋"/>
          <w:sz w:val="32"/>
          <w:szCs w:val="32"/>
        </w:rPr>
        <w:t>我市循环经济</w:t>
      </w:r>
      <w:r>
        <w:rPr>
          <w:rFonts w:eastAsia="仿宋"/>
          <w:sz w:val="32"/>
          <w:szCs w:val="32"/>
        </w:rPr>
        <w:t>实现新提升，主要资源产出率</w:t>
      </w:r>
      <w:r>
        <w:rPr>
          <w:rFonts w:hint="eastAsia" w:eastAsia="仿宋"/>
          <w:sz w:val="32"/>
          <w:szCs w:val="32"/>
        </w:rPr>
        <w:t>比</w:t>
      </w:r>
      <w:r>
        <w:rPr>
          <w:rFonts w:eastAsia="仿宋"/>
          <w:sz w:val="32"/>
          <w:szCs w:val="32"/>
        </w:rPr>
        <w:t>2020年提高</w:t>
      </w:r>
      <w:r>
        <w:rPr>
          <w:rFonts w:hint="eastAsia" w:eastAsia="仿宋"/>
          <w:sz w:val="32"/>
          <w:szCs w:val="32"/>
        </w:rPr>
        <w:t>20%左右，单位地区生产总值能耗、用水量比2020年分别下降13%（以自治区下达为准）和16%左右。资源循环利用水平实现新突破，农作物</w:t>
      </w:r>
      <w:r>
        <w:rPr>
          <w:rFonts w:hint="eastAsia" w:eastAsia="仿宋" w:cs="仿宋"/>
          <w:sz w:val="32"/>
          <w:szCs w:val="32"/>
        </w:rPr>
        <w:t>秸秆综合</w:t>
      </w:r>
      <w:r>
        <w:rPr>
          <w:rFonts w:hint="eastAsia" w:ascii="仿宋" w:hAnsi="仿宋" w:eastAsia="仿宋" w:cs="仿宋"/>
          <w:sz w:val="32"/>
          <w:szCs w:val="32"/>
        </w:rPr>
        <w:t>利用率</w:t>
      </w:r>
      <w:r>
        <w:rPr>
          <w:rFonts w:hint="eastAsia" w:ascii="仿宋" w:hAnsi="仿宋" w:eastAsia="仿宋" w:cs="仿宋"/>
          <w:sz w:val="32"/>
          <w:szCs w:val="32"/>
          <w:lang w:eastAsia="zh-Hans"/>
        </w:rPr>
        <w:t>保持在</w:t>
      </w:r>
      <w:r>
        <w:rPr>
          <w:rFonts w:hint="eastAsia" w:eastAsia="仿宋"/>
          <w:sz w:val="32"/>
          <w:szCs w:val="32"/>
        </w:rPr>
        <w:t>86</w:t>
      </w:r>
      <w:r>
        <w:rPr>
          <w:rFonts w:hint="eastAsia" w:eastAsia="仿宋" w:cs="仿宋"/>
          <w:sz w:val="32"/>
          <w:szCs w:val="32"/>
        </w:rPr>
        <w:t>%以上，大宗固体废</w:t>
      </w:r>
      <w:r>
        <w:rPr>
          <w:rFonts w:hint="eastAsia" w:eastAsia="仿宋"/>
          <w:sz w:val="32"/>
          <w:szCs w:val="32"/>
        </w:rPr>
        <w:t>物综合利用率达65%以上，城市生活垃圾资源化利用率达6</w:t>
      </w:r>
      <w:r>
        <w:rPr>
          <w:rFonts w:eastAsia="仿宋"/>
          <w:sz w:val="32"/>
          <w:szCs w:val="32"/>
        </w:rPr>
        <w:t>2</w:t>
      </w:r>
      <w:r>
        <w:rPr>
          <w:rFonts w:hint="eastAsia" w:eastAsia="仿宋"/>
          <w:sz w:val="32"/>
          <w:szCs w:val="32"/>
        </w:rPr>
        <w:t>%以上；废纸利用量达</w:t>
      </w:r>
      <w:r>
        <w:rPr>
          <w:rFonts w:eastAsia="仿宋"/>
          <w:sz w:val="32"/>
          <w:szCs w:val="32"/>
        </w:rPr>
        <w:t>49</w:t>
      </w:r>
      <w:r>
        <w:rPr>
          <w:rFonts w:hint="eastAsia" w:eastAsia="仿宋"/>
          <w:sz w:val="32"/>
          <w:szCs w:val="32"/>
        </w:rPr>
        <w:t>万吨以上，金属（铁）利用量达</w:t>
      </w:r>
      <w:r>
        <w:rPr>
          <w:rFonts w:eastAsia="仿宋"/>
          <w:sz w:val="32"/>
          <w:szCs w:val="32"/>
        </w:rPr>
        <w:t>50</w:t>
      </w:r>
      <w:r>
        <w:rPr>
          <w:rFonts w:hint="eastAsia" w:eastAsia="仿宋"/>
          <w:sz w:val="32"/>
          <w:szCs w:val="32"/>
        </w:rPr>
        <w:t>万吨以上，塑料利用量达</w:t>
      </w:r>
      <w:r>
        <w:rPr>
          <w:rFonts w:eastAsia="仿宋"/>
          <w:sz w:val="32"/>
          <w:szCs w:val="32"/>
        </w:rPr>
        <w:t>46</w:t>
      </w:r>
      <w:r>
        <w:rPr>
          <w:rFonts w:hint="eastAsia" w:eastAsia="仿宋"/>
          <w:sz w:val="32"/>
          <w:szCs w:val="32"/>
        </w:rPr>
        <w:t>万吨以上，玻璃利用量达</w:t>
      </w:r>
      <w:r>
        <w:rPr>
          <w:rFonts w:eastAsia="仿宋"/>
          <w:sz w:val="32"/>
          <w:szCs w:val="32"/>
        </w:rPr>
        <w:t>50</w:t>
      </w:r>
      <w:r>
        <w:rPr>
          <w:rFonts w:hint="eastAsia" w:eastAsia="仿宋"/>
          <w:sz w:val="32"/>
          <w:szCs w:val="32"/>
        </w:rPr>
        <w:t>万吨以上；资</w:t>
      </w:r>
      <w:r>
        <w:rPr>
          <w:rFonts w:hint="eastAsia" w:eastAsia="仿宋" w:cs="仿宋"/>
          <w:sz w:val="32"/>
          <w:szCs w:val="32"/>
        </w:rPr>
        <w:t>源循环利用产业产值突破350亿元，城镇绿色建筑占新建建筑比重达到100%。</w:t>
      </w:r>
    </w:p>
    <w:p>
      <w:pPr>
        <w:pStyle w:val="9"/>
        <w:ind w:firstLine="640"/>
        <w:rPr>
          <w:rFonts w:hint="eastAsia" w:eastAsia="仿宋" w:cs="仿宋"/>
          <w:sz w:val="32"/>
          <w:szCs w:val="32"/>
        </w:rPr>
      </w:pPr>
    </w:p>
    <w:p>
      <w:pPr>
        <w:spacing w:line="560" w:lineRule="exact"/>
        <w:jc w:val="center"/>
        <w:rPr>
          <w:rFonts w:hint="eastAsia" w:ascii="Times New Roman Regular" w:hAnsi="Times New Roman Regular" w:eastAsia="仿宋" w:cs="Times New Roman Regular"/>
          <w:b/>
          <w:bCs/>
          <w:sz w:val="30"/>
          <w:szCs w:val="30"/>
        </w:rPr>
      </w:pPr>
      <w:r>
        <w:rPr>
          <w:rFonts w:eastAsia="仿宋"/>
          <w:b/>
          <w:bCs/>
          <w:sz w:val="30"/>
          <w:szCs w:val="30"/>
        </w:rPr>
        <w:t xml:space="preserve">表1 </w:t>
      </w:r>
      <w:r>
        <w:rPr>
          <w:rFonts w:hint="eastAsia" w:ascii="Times New Roman Regular" w:hAnsi="Times New Roman Regular" w:eastAsia="仿宋" w:cs="Times New Roman Regular"/>
          <w:b/>
          <w:bCs/>
          <w:sz w:val="30"/>
          <w:szCs w:val="30"/>
        </w:rPr>
        <w:t>“十四五”时期</w:t>
      </w:r>
      <w:r>
        <w:rPr>
          <w:rFonts w:hint="eastAsia" w:ascii="仿宋" w:hAnsi="仿宋" w:eastAsia="仿宋" w:cs="Times New Roman Regular"/>
          <w:b/>
          <w:bCs/>
          <w:sz w:val="30"/>
          <w:szCs w:val="30"/>
        </w:rPr>
        <w:t>南宁市</w:t>
      </w:r>
      <w:r>
        <w:rPr>
          <w:rFonts w:hint="eastAsia" w:ascii="Times New Roman Regular" w:hAnsi="Times New Roman Regular" w:eastAsia="仿宋" w:cs="Times New Roman Regular"/>
          <w:b/>
          <w:bCs/>
          <w:sz w:val="30"/>
          <w:szCs w:val="30"/>
        </w:rPr>
        <w:t>循环经济发展目标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08" w:type="dxa"/>
          <w:bottom w:w="15" w:type="dxa"/>
          <w:right w:w="108" w:type="dxa"/>
        </w:tblCellMar>
      </w:tblPr>
      <w:tblGrid>
        <w:gridCol w:w="759"/>
        <w:gridCol w:w="880"/>
        <w:gridCol w:w="3504"/>
        <w:gridCol w:w="829"/>
        <w:gridCol w:w="1045"/>
        <w:gridCol w:w="1067"/>
        <w:gridCol w:w="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765" w:hRule="atLeast"/>
          <w:tblHeader/>
        </w:trPr>
        <w:tc>
          <w:tcPr>
            <w:tcW w:w="759" w:type="dxa"/>
            <w:shd w:val="clear" w:color="auto" w:fill="FFFFFF"/>
            <w:noWrap w:val="0"/>
            <w:vAlign w:val="center"/>
          </w:tcPr>
          <w:p>
            <w:pPr>
              <w:widowControl/>
              <w:adjustRightInd w:val="0"/>
              <w:snapToGrid w:val="0"/>
              <w:jc w:val="center"/>
              <w:textAlignment w:val="center"/>
              <w:rPr>
                <w:rFonts w:eastAsia="仿宋"/>
                <w:b/>
                <w:bCs/>
                <w:kern w:val="0"/>
                <w:sz w:val="28"/>
                <w:szCs w:val="28"/>
              </w:rPr>
            </w:pPr>
            <w:r>
              <w:rPr>
                <w:rFonts w:hint="eastAsia" w:eastAsia="仿宋"/>
                <w:b/>
                <w:bCs/>
                <w:kern w:val="0"/>
                <w:sz w:val="28"/>
                <w:szCs w:val="28"/>
              </w:rPr>
              <w:t>类型</w:t>
            </w:r>
          </w:p>
        </w:tc>
        <w:tc>
          <w:tcPr>
            <w:tcW w:w="880" w:type="dxa"/>
            <w:shd w:val="clear" w:color="auto" w:fill="FFFFFF"/>
            <w:noWrap w:val="0"/>
            <w:vAlign w:val="center"/>
          </w:tcPr>
          <w:p>
            <w:pPr>
              <w:widowControl/>
              <w:adjustRightInd w:val="0"/>
              <w:snapToGrid w:val="0"/>
              <w:jc w:val="center"/>
              <w:textAlignment w:val="center"/>
              <w:rPr>
                <w:rFonts w:hint="eastAsia" w:eastAsia="仿宋"/>
                <w:b/>
                <w:bCs/>
                <w:kern w:val="0"/>
                <w:sz w:val="28"/>
                <w:szCs w:val="28"/>
              </w:rPr>
            </w:pPr>
            <w:r>
              <w:rPr>
                <w:rFonts w:hint="eastAsia" w:eastAsia="仿宋"/>
                <w:b/>
                <w:bCs/>
                <w:kern w:val="0"/>
                <w:sz w:val="28"/>
                <w:szCs w:val="28"/>
              </w:rPr>
              <w:t>序号</w:t>
            </w:r>
          </w:p>
        </w:tc>
        <w:tc>
          <w:tcPr>
            <w:tcW w:w="3504" w:type="dxa"/>
            <w:shd w:val="clear" w:color="auto" w:fill="FFFFFF"/>
            <w:noWrap w:val="0"/>
            <w:vAlign w:val="center"/>
          </w:tcPr>
          <w:p>
            <w:pPr>
              <w:widowControl/>
              <w:adjustRightInd w:val="0"/>
              <w:snapToGrid w:val="0"/>
              <w:jc w:val="center"/>
              <w:textAlignment w:val="center"/>
              <w:rPr>
                <w:rFonts w:eastAsia="仿宋"/>
                <w:b/>
                <w:bCs/>
                <w:kern w:val="0"/>
                <w:sz w:val="28"/>
                <w:szCs w:val="28"/>
              </w:rPr>
            </w:pPr>
            <w:r>
              <w:rPr>
                <w:rFonts w:eastAsia="仿宋"/>
                <w:b/>
                <w:bCs/>
                <w:kern w:val="0"/>
                <w:sz w:val="28"/>
                <w:szCs w:val="28"/>
              </w:rPr>
              <w:t>指标</w:t>
            </w:r>
          </w:p>
        </w:tc>
        <w:tc>
          <w:tcPr>
            <w:tcW w:w="829" w:type="dxa"/>
            <w:shd w:val="clear" w:color="auto" w:fill="FFFFFF"/>
            <w:noWrap w:val="0"/>
            <w:vAlign w:val="center"/>
          </w:tcPr>
          <w:p>
            <w:pPr>
              <w:widowControl/>
              <w:adjustRightInd w:val="0"/>
              <w:snapToGrid w:val="0"/>
              <w:jc w:val="center"/>
              <w:textAlignment w:val="center"/>
              <w:rPr>
                <w:rFonts w:eastAsia="仿宋"/>
                <w:b/>
                <w:bCs/>
                <w:kern w:val="0"/>
                <w:sz w:val="28"/>
                <w:szCs w:val="28"/>
              </w:rPr>
            </w:pPr>
            <w:r>
              <w:rPr>
                <w:rFonts w:eastAsia="仿宋"/>
                <w:b/>
                <w:bCs/>
                <w:kern w:val="0"/>
                <w:sz w:val="28"/>
                <w:szCs w:val="28"/>
              </w:rPr>
              <w:t>单位</w:t>
            </w:r>
          </w:p>
        </w:tc>
        <w:tc>
          <w:tcPr>
            <w:tcW w:w="1045" w:type="dxa"/>
            <w:shd w:val="clear" w:color="auto" w:fill="FFFFFF"/>
            <w:noWrap w:val="0"/>
            <w:vAlign w:val="center"/>
          </w:tcPr>
          <w:p>
            <w:pPr>
              <w:widowControl/>
              <w:adjustRightInd w:val="0"/>
              <w:snapToGrid w:val="0"/>
              <w:jc w:val="center"/>
              <w:textAlignment w:val="center"/>
              <w:rPr>
                <w:rFonts w:eastAsia="仿宋"/>
                <w:b/>
                <w:bCs/>
                <w:kern w:val="0"/>
                <w:sz w:val="28"/>
                <w:szCs w:val="28"/>
              </w:rPr>
            </w:pPr>
            <w:r>
              <w:rPr>
                <w:rFonts w:eastAsia="仿宋"/>
                <w:b/>
                <w:bCs/>
                <w:kern w:val="0"/>
                <w:sz w:val="28"/>
                <w:szCs w:val="28"/>
              </w:rPr>
              <w:t>2020</w:t>
            </w:r>
            <w:r>
              <w:rPr>
                <w:rFonts w:ascii="仿宋" w:hAnsi="仿宋" w:eastAsia="仿宋"/>
                <w:b/>
                <w:bCs/>
                <w:kern w:val="0"/>
                <w:sz w:val="28"/>
                <w:szCs w:val="28"/>
              </w:rPr>
              <w:t>年</w:t>
            </w:r>
          </w:p>
        </w:tc>
        <w:tc>
          <w:tcPr>
            <w:tcW w:w="1067" w:type="dxa"/>
            <w:shd w:val="clear" w:color="auto" w:fill="FFFFFF"/>
            <w:noWrap w:val="0"/>
            <w:vAlign w:val="center"/>
          </w:tcPr>
          <w:p>
            <w:pPr>
              <w:widowControl/>
              <w:adjustRightInd w:val="0"/>
              <w:snapToGrid w:val="0"/>
              <w:jc w:val="center"/>
              <w:textAlignment w:val="center"/>
              <w:rPr>
                <w:rFonts w:eastAsia="仿宋"/>
                <w:b/>
                <w:bCs/>
                <w:kern w:val="0"/>
                <w:sz w:val="28"/>
                <w:szCs w:val="28"/>
              </w:rPr>
            </w:pPr>
            <w:r>
              <w:rPr>
                <w:rFonts w:eastAsia="仿宋"/>
                <w:b/>
                <w:bCs/>
                <w:kern w:val="0"/>
                <w:sz w:val="28"/>
                <w:szCs w:val="28"/>
              </w:rPr>
              <w:t>2025</w:t>
            </w:r>
            <w:r>
              <w:rPr>
                <w:rFonts w:ascii="仿宋" w:hAnsi="仿宋" w:eastAsia="仿宋"/>
                <w:b/>
                <w:bCs/>
                <w:kern w:val="0"/>
                <w:sz w:val="28"/>
                <w:szCs w:val="28"/>
              </w:rPr>
              <w:t>年</w:t>
            </w:r>
          </w:p>
        </w:tc>
        <w:tc>
          <w:tcPr>
            <w:tcW w:w="971" w:type="dxa"/>
            <w:noWrap w:val="0"/>
            <w:vAlign w:val="center"/>
          </w:tcPr>
          <w:p>
            <w:pPr>
              <w:widowControl/>
              <w:adjustRightInd w:val="0"/>
              <w:snapToGrid w:val="0"/>
              <w:jc w:val="center"/>
              <w:textAlignment w:val="center"/>
              <w:rPr>
                <w:rFonts w:eastAsia="仿宋"/>
                <w:b/>
                <w:bCs/>
                <w:kern w:val="0"/>
                <w:sz w:val="28"/>
                <w:szCs w:val="28"/>
              </w:rPr>
            </w:pPr>
            <w:r>
              <w:rPr>
                <w:rFonts w:hint="eastAsia" w:eastAsia="仿宋"/>
                <w:b/>
                <w:bCs/>
                <w:kern w:val="0"/>
                <w:sz w:val="28"/>
                <w:szCs w:val="28"/>
              </w:rPr>
              <w:t>年均增长/五年累计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661" w:hRule="atLeast"/>
        </w:trPr>
        <w:tc>
          <w:tcPr>
            <w:tcW w:w="759" w:type="dxa"/>
            <w:vMerge w:val="restart"/>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资源利用效率</w:t>
            </w:r>
          </w:p>
        </w:tc>
        <w:tc>
          <w:tcPr>
            <w:tcW w:w="880"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1</w:t>
            </w:r>
          </w:p>
        </w:tc>
        <w:tc>
          <w:tcPr>
            <w:tcW w:w="3504" w:type="dxa"/>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主要资源产出率提高</w:t>
            </w:r>
          </w:p>
        </w:tc>
        <w:tc>
          <w:tcPr>
            <w:tcW w:w="829"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1045"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1067"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971"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842"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2</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单位地区生产总值能耗下降率</w:t>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1067"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971" w:type="dxa"/>
            <w:shd w:val="clear" w:color="auto" w:fill="FFFFFF"/>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797"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3</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单位地区生产总值用水量下降率</w:t>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
                <w:kern w:val="0"/>
                <w:sz w:val="28"/>
                <w:szCs w:val="28"/>
              </w:rPr>
            </w:pPr>
          </w:p>
        </w:tc>
        <w:tc>
          <w:tcPr>
            <w:tcW w:w="1067" w:type="dxa"/>
            <w:shd w:val="clear" w:color="auto" w:fill="auto"/>
            <w:noWrap w:val="0"/>
            <w:vAlign w:val="center"/>
          </w:tcPr>
          <w:p>
            <w:pPr>
              <w:widowControl/>
              <w:adjustRightInd w:val="0"/>
              <w:snapToGrid w:val="0"/>
              <w:jc w:val="center"/>
              <w:textAlignment w:val="center"/>
              <w:rPr>
                <w:rFonts w:eastAsia="仿宋"/>
                <w:kern w:val="0"/>
                <w:sz w:val="28"/>
                <w:szCs w:val="28"/>
              </w:rPr>
            </w:pPr>
          </w:p>
        </w:tc>
        <w:tc>
          <w:tcPr>
            <w:tcW w:w="971" w:type="dxa"/>
            <w:shd w:val="clear" w:color="auto" w:fill="FFFFFF"/>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644" w:hRule="atLeast"/>
        </w:trPr>
        <w:tc>
          <w:tcPr>
            <w:tcW w:w="759" w:type="dxa"/>
            <w:vMerge w:val="restart"/>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资源循环利用水平</w:t>
            </w:r>
          </w:p>
        </w:tc>
        <w:tc>
          <w:tcPr>
            <w:tcW w:w="880"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4</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eastAsia="仿宋"/>
                <w:kern w:val="0"/>
                <w:sz w:val="28"/>
                <w:szCs w:val="28"/>
              </w:rPr>
              <w:t>废纸利用量</w:t>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cs="仿宋"/>
                <w:sz w:val="28"/>
                <w:szCs w:val="28"/>
              </w:rPr>
              <w:t>43.37</w:t>
            </w:r>
          </w:p>
        </w:tc>
        <w:tc>
          <w:tcPr>
            <w:tcW w:w="1067"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ascii="Arial" w:hAnsi="Arial" w:eastAsia="仿宋" w:cs="Arial"/>
                <w:kern w:val="0"/>
                <w:sz w:val="28"/>
                <w:szCs w:val="28"/>
              </w:rPr>
              <w:t>≥</w:t>
            </w:r>
            <w:r>
              <w:rPr>
                <w:rFonts w:eastAsia="仿宋"/>
                <w:kern w:val="0"/>
                <w:sz w:val="28"/>
                <w:szCs w:val="28"/>
              </w:rPr>
              <w:t>49</w:t>
            </w:r>
          </w:p>
        </w:tc>
        <w:tc>
          <w:tcPr>
            <w:tcW w:w="971" w:type="dxa"/>
            <w:shd w:val="clear" w:color="auto" w:fill="FFFFFF"/>
            <w:noWrap w:val="0"/>
            <w:vAlign w:val="center"/>
          </w:tcPr>
          <w:p>
            <w:pPr>
              <w:widowControl/>
              <w:adjustRightInd w:val="0"/>
              <w:snapToGrid w:val="0"/>
              <w:jc w:val="center"/>
              <w:textAlignment w:val="center"/>
              <w:rPr>
                <w:rFonts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644"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5</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eastAsia="仿宋"/>
                <w:kern w:val="0"/>
                <w:sz w:val="28"/>
                <w:szCs w:val="28"/>
              </w:rPr>
              <w:t>金属（铁）利用量</w:t>
            </w:r>
            <w:r>
              <w:rPr>
                <w:rFonts w:eastAsia="仿宋"/>
                <w:kern w:val="0"/>
                <w:sz w:val="28"/>
                <w:szCs w:val="28"/>
              </w:rPr>
              <w:tab/>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cs="仿宋"/>
                <w:sz w:val="28"/>
                <w:szCs w:val="28"/>
              </w:rPr>
              <w:t>44.67</w:t>
            </w:r>
          </w:p>
        </w:tc>
        <w:tc>
          <w:tcPr>
            <w:tcW w:w="1067" w:type="dxa"/>
            <w:shd w:val="clear" w:color="auto" w:fill="auto"/>
            <w:noWrap w:val="0"/>
            <w:vAlign w:val="center"/>
          </w:tcPr>
          <w:p>
            <w:pPr>
              <w:widowControl/>
              <w:tabs>
                <w:tab w:val="left" w:pos="308"/>
              </w:tabs>
              <w:adjustRightInd w:val="0"/>
              <w:snapToGrid w:val="0"/>
              <w:jc w:val="center"/>
              <w:textAlignment w:val="center"/>
              <w:rPr>
                <w:rFonts w:eastAsia="仿宋"/>
                <w:kern w:val="0"/>
                <w:sz w:val="28"/>
                <w:szCs w:val="28"/>
              </w:rPr>
            </w:pPr>
            <w:r>
              <w:rPr>
                <w:rFonts w:ascii="Arial" w:hAnsi="Arial" w:eastAsia="仿宋" w:cs="Arial"/>
                <w:kern w:val="0"/>
                <w:sz w:val="28"/>
                <w:szCs w:val="28"/>
              </w:rPr>
              <w:t>≥</w:t>
            </w:r>
            <w:r>
              <w:rPr>
                <w:rFonts w:eastAsia="仿宋"/>
                <w:kern w:val="0"/>
                <w:sz w:val="28"/>
                <w:szCs w:val="28"/>
              </w:rPr>
              <w:t>50</w:t>
            </w:r>
          </w:p>
        </w:tc>
        <w:tc>
          <w:tcPr>
            <w:tcW w:w="971" w:type="dxa"/>
            <w:shd w:val="clear" w:color="auto" w:fill="FFFFFF"/>
            <w:noWrap w:val="0"/>
            <w:vAlign w:val="center"/>
          </w:tcPr>
          <w:p>
            <w:pPr>
              <w:widowControl/>
              <w:adjustRightInd w:val="0"/>
              <w:snapToGrid w:val="0"/>
              <w:jc w:val="center"/>
              <w:textAlignment w:val="center"/>
              <w:rPr>
                <w:rFonts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74"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6</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eastAsia="仿宋"/>
                <w:kern w:val="0"/>
                <w:sz w:val="28"/>
                <w:szCs w:val="28"/>
              </w:rPr>
              <w:t>塑料利用量</w:t>
            </w:r>
          </w:p>
        </w:tc>
        <w:tc>
          <w:tcPr>
            <w:tcW w:w="829"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cs="仿宋"/>
                <w:sz w:val="28"/>
                <w:szCs w:val="28"/>
              </w:rPr>
              <w:t>40.91</w:t>
            </w:r>
          </w:p>
        </w:tc>
        <w:tc>
          <w:tcPr>
            <w:tcW w:w="1067"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ascii="Arial" w:hAnsi="Arial" w:eastAsia="仿宋" w:cs="Arial"/>
                <w:kern w:val="0"/>
                <w:sz w:val="28"/>
                <w:szCs w:val="28"/>
              </w:rPr>
              <w:t>≥</w:t>
            </w:r>
            <w:r>
              <w:rPr>
                <w:rFonts w:eastAsia="仿宋"/>
                <w:kern w:val="0"/>
                <w:sz w:val="28"/>
                <w:szCs w:val="28"/>
              </w:rPr>
              <w:t>46</w:t>
            </w:r>
          </w:p>
        </w:tc>
        <w:tc>
          <w:tcPr>
            <w:tcW w:w="971" w:type="dxa"/>
            <w:shd w:val="clear" w:color="auto" w:fill="FFFFFF"/>
            <w:noWrap w:val="0"/>
            <w:vAlign w:val="center"/>
          </w:tcPr>
          <w:p>
            <w:pPr>
              <w:widowControl/>
              <w:adjustRightInd w:val="0"/>
              <w:snapToGrid w:val="0"/>
              <w:jc w:val="center"/>
              <w:textAlignment w:val="center"/>
              <w:rPr>
                <w:rFonts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74"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7</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eastAsia="仿宋"/>
                <w:kern w:val="0"/>
                <w:sz w:val="28"/>
                <w:szCs w:val="28"/>
              </w:rPr>
              <w:t>玻璃利用量</w:t>
            </w:r>
          </w:p>
        </w:tc>
        <w:tc>
          <w:tcPr>
            <w:tcW w:w="829"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cs="仿宋"/>
                <w:sz w:val="28"/>
                <w:szCs w:val="28"/>
              </w:rPr>
              <w:t>44.37</w:t>
            </w:r>
          </w:p>
        </w:tc>
        <w:tc>
          <w:tcPr>
            <w:tcW w:w="1067"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ascii="Arial" w:hAnsi="Arial" w:eastAsia="仿宋" w:cs="Arial"/>
                <w:kern w:val="0"/>
                <w:sz w:val="28"/>
                <w:szCs w:val="28"/>
              </w:rPr>
              <w:t>≥</w:t>
            </w:r>
            <w:r>
              <w:rPr>
                <w:rFonts w:eastAsia="仿宋"/>
                <w:kern w:val="0"/>
                <w:sz w:val="28"/>
                <w:szCs w:val="28"/>
              </w:rPr>
              <w:t>50</w:t>
            </w:r>
          </w:p>
        </w:tc>
        <w:tc>
          <w:tcPr>
            <w:tcW w:w="971" w:type="dxa"/>
            <w:shd w:val="clear" w:color="auto" w:fill="FFFFFF"/>
            <w:noWrap w:val="0"/>
            <w:vAlign w:val="center"/>
          </w:tcPr>
          <w:p>
            <w:pPr>
              <w:widowControl/>
              <w:adjustRightInd w:val="0"/>
              <w:snapToGrid w:val="0"/>
              <w:jc w:val="center"/>
              <w:textAlignment w:val="center"/>
              <w:rPr>
                <w:rFonts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71"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8</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eastAsia="仿宋"/>
                <w:kern w:val="0"/>
                <w:sz w:val="28"/>
                <w:szCs w:val="28"/>
              </w:rPr>
              <w:t>农作物秸秆综合利用率</w:t>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eastAsia="仿宋"/>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87</w:t>
            </w:r>
          </w:p>
        </w:tc>
        <w:tc>
          <w:tcPr>
            <w:tcW w:w="1067"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ascii="Arial" w:hAnsi="Arial" w:eastAsia="仿宋" w:cs="Arial"/>
                <w:kern w:val="0"/>
                <w:sz w:val="28"/>
                <w:szCs w:val="28"/>
              </w:rPr>
              <w:t>≥</w:t>
            </w:r>
            <w:r>
              <w:rPr>
                <w:rFonts w:hint="eastAsia" w:eastAsia="仿宋"/>
                <w:kern w:val="0"/>
                <w:sz w:val="28"/>
                <w:szCs w:val="28"/>
              </w:rPr>
              <w:t>86</w:t>
            </w:r>
          </w:p>
        </w:tc>
        <w:tc>
          <w:tcPr>
            <w:tcW w:w="971" w:type="dxa"/>
            <w:shd w:val="clear" w:color="auto" w:fill="FFFFFF"/>
            <w:noWrap w:val="0"/>
            <w:vAlign w:val="center"/>
          </w:tcPr>
          <w:p>
            <w:pPr>
              <w:widowControl/>
              <w:adjustRightInd w:val="0"/>
              <w:snapToGrid w:val="0"/>
              <w:jc w:val="center"/>
              <w:textAlignment w:val="center"/>
              <w:rPr>
                <w:rFonts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879" w:hRule="atLeast"/>
        </w:trPr>
        <w:tc>
          <w:tcPr>
            <w:tcW w:w="759" w:type="dxa"/>
            <w:vMerge w:val="continue"/>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880" w:type="dxa"/>
            <w:shd w:val="clear" w:color="auto" w:fill="auto"/>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9</w:t>
            </w:r>
          </w:p>
        </w:tc>
        <w:tc>
          <w:tcPr>
            <w:tcW w:w="3504" w:type="dxa"/>
            <w:shd w:val="clear" w:color="auto" w:fill="auto"/>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大宗</w:t>
            </w:r>
            <w:r>
              <w:rPr>
                <w:rFonts w:eastAsia="仿宋"/>
                <w:kern w:val="0"/>
                <w:sz w:val="28"/>
                <w:szCs w:val="28"/>
              </w:rPr>
              <w:t>固体废物</w:t>
            </w:r>
            <w:r>
              <w:rPr>
                <w:rFonts w:hint="eastAsia" w:eastAsia="仿宋"/>
                <w:kern w:val="0"/>
                <w:sz w:val="28"/>
                <w:szCs w:val="28"/>
              </w:rPr>
              <w:t>综合利用率</w:t>
            </w:r>
          </w:p>
        </w:tc>
        <w:tc>
          <w:tcPr>
            <w:tcW w:w="829" w:type="dxa"/>
            <w:shd w:val="clear" w:color="auto" w:fill="auto"/>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hint="eastAsia" w:eastAsia="仿宋"/>
                <w:kern w:val="0"/>
                <w:sz w:val="28"/>
                <w:szCs w:val="28"/>
              </w:rPr>
            </w:pPr>
          </w:p>
        </w:tc>
        <w:tc>
          <w:tcPr>
            <w:tcW w:w="1067" w:type="dxa"/>
            <w:shd w:val="clear" w:color="auto" w:fill="auto"/>
            <w:noWrap w:val="0"/>
            <w:vAlign w:val="center"/>
          </w:tcPr>
          <w:p>
            <w:pPr>
              <w:widowControl/>
              <w:jc w:val="center"/>
              <w:rPr>
                <w:kern w:val="0"/>
                <w:sz w:val="28"/>
                <w:szCs w:val="28"/>
              </w:rPr>
            </w:pPr>
            <w:r>
              <w:rPr>
                <w:rFonts w:hint="eastAsia"/>
                <w:kern w:val="0"/>
                <w:sz w:val="28"/>
                <w:szCs w:val="28"/>
              </w:rPr>
              <w:t>65</w:t>
            </w:r>
          </w:p>
        </w:tc>
        <w:tc>
          <w:tcPr>
            <w:tcW w:w="971" w:type="dxa"/>
            <w:shd w:val="clear" w:color="auto" w:fill="FFFFFF"/>
            <w:noWrap w:val="0"/>
            <w:vAlign w:val="center"/>
          </w:tcPr>
          <w:p>
            <w:pPr>
              <w:widowControl/>
              <w:jc w:val="center"/>
              <w:rPr>
                <w:rFonts w:hint="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14" w:hRule="atLeast"/>
        </w:trPr>
        <w:tc>
          <w:tcPr>
            <w:tcW w:w="759" w:type="dxa"/>
            <w:vMerge w:val="continue"/>
            <w:noWrap w:val="0"/>
            <w:vAlign w:val="center"/>
          </w:tcPr>
          <w:p>
            <w:pPr>
              <w:widowControl/>
              <w:adjustRightInd w:val="0"/>
              <w:snapToGrid w:val="0"/>
              <w:jc w:val="center"/>
              <w:textAlignment w:val="center"/>
              <w:rPr>
                <w:rFonts w:hint="eastAsia" w:eastAsia="仿宋"/>
                <w:kern w:val="0"/>
                <w:sz w:val="28"/>
                <w:szCs w:val="28"/>
              </w:rPr>
            </w:pPr>
          </w:p>
        </w:tc>
        <w:tc>
          <w:tcPr>
            <w:tcW w:w="880"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10</w:t>
            </w:r>
          </w:p>
        </w:tc>
        <w:tc>
          <w:tcPr>
            <w:tcW w:w="3504" w:type="dxa"/>
            <w:noWrap w:val="0"/>
            <w:vAlign w:val="center"/>
          </w:tcPr>
          <w:p>
            <w:pPr>
              <w:widowControl/>
              <w:adjustRightInd w:val="0"/>
              <w:snapToGrid w:val="0"/>
              <w:jc w:val="left"/>
              <w:textAlignment w:val="center"/>
              <w:rPr>
                <w:rFonts w:hint="eastAsia" w:eastAsia="仿宋"/>
                <w:kern w:val="0"/>
                <w:sz w:val="28"/>
                <w:szCs w:val="28"/>
              </w:rPr>
            </w:pPr>
            <w:r>
              <w:rPr>
                <w:rFonts w:eastAsia="仿宋"/>
                <w:kern w:val="0"/>
                <w:sz w:val="28"/>
                <w:szCs w:val="28"/>
              </w:rPr>
              <w:t>资源循环利用产业产值</w:t>
            </w:r>
          </w:p>
        </w:tc>
        <w:tc>
          <w:tcPr>
            <w:tcW w:w="829"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亿元</w:t>
            </w:r>
          </w:p>
        </w:tc>
        <w:tc>
          <w:tcPr>
            <w:tcW w:w="1045" w:type="dxa"/>
            <w:noWrap w:val="0"/>
            <w:vAlign w:val="center"/>
          </w:tcPr>
          <w:p>
            <w:pPr>
              <w:jc w:val="center"/>
              <w:rPr>
                <w:rFonts w:eastAsia="仿宋"/>
                <w:kern w:val="0"/>
                <w:sz w:val="28"/>
                <w:szCs w:val="28"/>
              </w:rPr>
            </w:pPr>
            <w:r>
              <w:rPr>
                <w:rFonts w:hint="eastAsia" w:eastAsia="仿宋"/>
                <w:kern w:val="0"/>
                <w:sz w:val="28"/>
                <w:szCs w:val="28"/>
              </w:rPr>
              <w:t>175</w:t>
            </w:r>
          </w:p>
        </w:tc>
        <w:tc>
          <w:tcPr>
            <w:tcW w:w="1067" w:type="dxa"/>
            <w:noWrap w:val="0"/>
            <w:vAlign w:val="center"/>
          </w:tcPr>
          <w:p>
            <w:pPr>
              <w:widowControl/>
              <w:jc w:val="center"/>
              <w:rPr>
                <w:kern w:val="0"/>
                <w:sz w:val="28"/>
                <w:szCs w:val="28"/>
              </w:rPr>
            </w:pPr>
            <w:r>
              <w:rPr>
                <w:rFonts w:hint="eastAsia"/>
                <w:kern w:val="0"/>
                <w:sz w:val="28"/>
                <w:szCs w:val="28"/>
              </w:rPr>
              <w:t>350</w:t>
            </w:r>
          </w:p>
        </w:tc>
        <w:tc>
          <w:tcPr>
            <w:tcW w:w="971" w:type="dxa"/>
            <w:noWrap w:val="0"/>
            <w:vAlign w:val="center"/>
          </w:tcPr>
          <w:p>
            <w:pPr>
              <w:widowControl/>
              <w:jc w:val="center"/>
              <w:rPr>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862" w:hRule="atLeast"/>
        </w:trPr>
        <w:tc>
          <w:tcPr>
            <w:tcW w:w="759" w:type="dxa"/>
            <w:vMerge w:val="continue"/>
            <w:noWrap w:val="0"/>
            <w:vAlign w:val="center"/>
          </w:tcPr>
          <w:p>
            <w:pPr>
              <w:widowControl/>
              <w:adjustRightInd w:val="0"/>
              <w:snapToGrid w:val="0"/>
              <w:jc w:val="center"/>
              <w:textAlignment w:val="center"/>
              <w:rPr>
                <w:rFonts w:hint="eastAsia" w:eastAsia="仿宋"/>
                <w:kern w:val="0"/>
                <w:sz w:val="28"/>
                <w:szCs w:val="28"/>
              </w:rPr>
            </w:pPr>
          </w:p>
        </w:tc>
        <w:tc>
          <w:tcPr>
            <w:tcW w:w="880"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11</w:t>
            </w:r>
          </w:p>
        </w:tc>
        <w:tc>
          <w:tcPr>
            <w:tcW w:w="3504" w:type="dxa"/>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城市</w:t>
            </w:r>
            <w:r>
              <w:rPr>
                <w:rFonts w:eastAsia="仿宋"/>
                <w:kern w:val="0"/>
                <w:sz w:val="28"/>
                <w:szCs w:val="28"/>
              </w:rPr>
              <w:t>生活垃圾</w:t>
            </w:r>
            <w:r>
              <w:rPr>
                <w:rFonts w:hint="eastAsia" w:eastAsia="仿宋"/>
                <w:kern w:val="0"/>
                <w:sz w:val="28"/>
                <w:szCs w:val="28"/>
              </w:rPr>
              <w:t>资源化利用率</w:t>
            </w:r>
          </w:p>
        </w:tc>
        <w:tc>
          <w:tcPr>
            <w:tcW w:w="829" w:type="dxa"/>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w:t>
            </w:r>
          </w:p>
        </w:tc>
        <w:tc>
          <w:tcPr>
            <w:tcW w:w="1045" w:type="dxa"/>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35</w:t>
            </w:r>
          </w:p>
        </w:tc>
        <w:tc>
          <w:tcPr>
            <w:tcW w:w="1067" w:type="dxa"/>
            <w:noWrap w:val="0"/>
            <w:vAlign w:val="center"/>
          </w:tcPr>
          <w:p>
            <w:pPr>
              <w:jc w:val="center"/>
              <w:rPr>
                <w:rFonts w:eastAsia="仿宋"/>
                <w:kern w:val="0"/>
                <w:sz w:val="28"/>
                <w:szCs w:val="28"/>
              </w:rPr>
            </w:pPr>
            <w:r>
              <w:rPr>
                <w:rFonts w:eastAsia="仿宋"/>
                <w:kern w:val="0"/>
                <w:sz w:val="28"/>
                <w:szCs w:val="28"/>
              </w:rPr>
              <w:t>≥</w:t>
            </w:r>
            <w:r>
              <w:rPr>
                <w:rFonts w:hint="eastAsia" w:eastAsia="仿宋"/>
                <w:kern w:val="0"/>
                <w:sz w:val="28"/>
                <w:szCs w:val="28"/>
              </w:rPr>
              <w:t>6</w:t>
            </w:r>
            <w:r>
              <w:rPr>
                <w:rFonts w:eastAsia="仿宋"/>
                <w:kern w:val="0"/>
                <w:sz w:val="28"/>
                <w:szCs w:val="28"/>
              </w:rPr>
              <w:t>2</w:t>
            </w:r>
          </w:p>
        </w:tc>
        <w:tc>
          <w:tcPr>
            <w:tcW w:w="971" w:type="dxa"/>
            <w:noWrap w:val="0"/>
            <w:vAlign w:val="center"/>
          </w:tcPr>
          <w:p>
            <w:pPr>
              <w:jc w:val="center"/>
              <w:rPr>
                <w:rFonts w:hint="eastAsia"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936" w:hRule="atLeast"/>
        </w:trPr>
        <w:tc>
          <w:tcPr>
            <w:tcW w:w="759" w:type="dxa"/>
            <w:vMerge w:val="continue"/>
            <w:noWrap w:val="0"/>
            <w:vAlign w:val="center"/>
          </w:tcPr>
          <w:p>
            <w:pPr>
              <w:widowControl/>
              <w:adjustRightInd w:val="0"/>
              <w:snapToGrid w:val="0"/>
              <w:jc w:val="center"/>
              <w:textAlignment w:val="center"/>
              <w:rPr>
                <w:rFonts w:hint="eastAsia" w:eastAsia="仿宋"/>
                <w:kern w:val="0"/>
                <w:sz w:val="28"/>
                <w:szCs w:val="28"/>
              </w:rPr>
            </w:pPr>
          </w:p>
        </w:tc>
        <w:tc>
          <w:tcPr>
            <w:tcW w:w="880" w:type="dxa"/>
            <w:noWrap w:val="0"/>
            <w:vAlign w:val="center"/>
          </w:tcPr>
          <w:p>
            <w:pPr>
              <w:widowControl/>
              <w:adjustRightInd w:val="0"/>
              <w:snapToGrid w:val="0"/>
              <w:jc w:val="center"/>
              <w:textAlignment w:val="center"/>
              <w:rPr>
                <w:rFonts w:eastAsia="仿宋"/>
                <w:kern w:val="0"/>
                <w:sz w:val="28"/>
                <w:szCs w:val="28"/>
              </w:rPr>
            </w:pPr>
            <w:r>
              <w:rPr>
                <w:rFonts w:hint="eastAsia" w:eastAsia="仿宋"/>
                <w:kern w:val="0"/>
                <w:sz w:val="28"/>
                <w:szCs w:val="28"/>
              </w:rPr>
              <w:t>1</w:t>
            </w:r>
            <w:r>
              <w:rPr>
                <w:rFonts w:eastAsia="仿宋"/>
                <w:kern w:val="0"/>
                <w:sz w:val="28"/>
                <w:szCs w:val="28"/>
              </w:rPr>
              <w:t>2</w:t>
            </w:r>
          </w:p>
        </w:tc>
        <w:tc>
          <w:tcPr>
            <w:tcW w:w="3504" w:type="dxa"/>
            <w:noWrap w:val="0"/>
            <w:vAlign w:val="center"/>
          </w:tcPr>
          <w:p>
            <w:pPr>
              <w:widowControl/>
              <w:adjustRightInd w:val="0"/>
              <w:snapToGrid w:val="0"/>
              <w:jc w:val="left"/>
              <w:textAlignment w:val="center"/>
              <w:rPr>
                <w:rFonts w:eastAsia="仿宋"/>
                <w:kern w:val="0"/>
                <w:sz w:val="28"/>
                <w:szCs w:val="28"/>
              </w:rPr>
            </w:pPr>
            <w:r>
              <w:rPr>
                <w:rFonts w:hint="eastAsia" w:eastAsia="仿宋"/>
                <w:kern w:val="0"/>
                <w:sz w:val="28"/>
                <w:szCs w:val="28"/>
              </w:rPr>
              <w:t>城镇绿色建筑占新建建筑的比重</w:t>
            </w:r>
          </w:p>
        </w:tc>
        <w:tc>
          <w:tcPr>
            <w:tcW w:w="829" w:type="dxa"/>
            <w:noWrap w:val="0"/>
            <w:vAlign w:val="center"/>
          </w:tcPr>
          <w:p>
            <w:pPr>
              <w:widowControl/>
              <w:adjustRightInd w:val="0"/>
              <w:snapToGrid w:val="0"/>
              <w:jc w:val="center"/>
              <w:textAlignment w:val="center"/>
              <w:rPr>
                <w:rFonts w:hint="eastAsia" w:eastAsia="仿宋"/>
                <w:kern w:val="0"/>
                <w:sz w:val="28"/>
                <w:szCs w:val="28"/>
              </w:rPr>
            </w:pPr>
            <w:r>
              <w:rPr>
                <w:rFonts w:hint="eastAsia" w:eastAsia="仿宋"/>
                <w:kern w:val="0"/>
                <w:sz w:val="28"/>
                <w:szCs w:val="28"/>
              </w:rPr>
              <w:t>%</w:t>
            </w:r>
          </w:p>
        </w:tc>
        <w:tc>
          <w:tcPr>
            <w:tcW w:w="1045" w:type="dxa"/>
            <w:noWrap w:val="0"/>
            <w:vAlign w:val="center"/>
          </w:tcPr>
          <w:p>
            <w:pPr>
              <w:widowControl/>
              <w:adjustRightInd w:val="0"/>
              <w:snapToGrid w:val="0"/>
              <w:jc w:val="center"/>
              <w:textAlignment w:val="center"/>
              <w:rPr>
                <w:rFonts w:eastAsia="仿宋"/>
                <w:kern w:val="0"/>
                <w:sz w:val="28"/>
                <w:szCs w:val="28"/>
                <w:highlight w:val="yellow"/>
              </w:rPr>
            </w:pPr>
            <w:r>
              <w:rPr>
                <w:rFonts w:hint="eastAsia" w:eastAsia="仿宋"/>
                <w:kern w:val="0"/>
                <w:sz w:val="28"/>
                <w:szCs w:val="28"/>
              </w:rPr>
              <w:t>56</w:t>
            </w:r>
          </w:p>
        </w:tc>
        <w:tc>
          <w:tcPr>
            <w:tcW w:w="1067" w:type="dxa"/>
            <w:noWrap w:val="0"/>
            <w:vAlign w:val="center"/>
          </w:tcPr>
          <w:p>
            <w:pPr>
              <w:jc w:val="center"/>
              <w:rPr>
                <w:rFonts w:eastAsia="仿宋"/>
                <w:kern w:val="0"/>
                <w:sz w:val="28"/>
                <w:szCs w:val="28"/>
              </w:rPr>
            </w:pPr>
            <w:r>
              <w:rPr>
                <w:rFonts w:hint="eastAsia" w:eastAsia="仿宋"/>
                <w:kern w:val="0"/>
                <w:sz w:val="28"/>
                <w:szCs w:val="28"/>
              </w:rPr>
              <w:t>100</w:t>
            </w:r>
          </w:p>
        </w:tc>
        <w:tc>
          <w:tcPr>
            <w:tcW w:w="971" w:type="dxa"/>
            <w:noWrap w:val="0"/>
            <w:vAlign w:val="center"/>
          </w:tcPr>
          <w:p>
            <w:pPr>
              <w:jc w:val="center"/>
              <w:rPr>
                <w:rFonts w:hint="eastAsia" w:eastAsia="仿宋"/>
                <w:kern w:val="0"/>
                <w:sz w:val="28"/>
                <w:szCs w:val="28"/>
              </w:rPr>
            </w:pPr>
          </w:p>
        </w:tc>
      </w:tr>
    </w:tbl>
    <w:p>
      <w:pPr>
        <w:tabs>
          <w:tab w:val="left" w:pos="3600"/>
        </w:tabs>
        <w:adjustRightInd w:val="0"/>
        <w:snapToGrid w:val="0"/>
        <w:spacing w:before="156" w:beforeLines="50" w:line="360" w:lineRule="auto"/>
        <w:ind w:firstLine="405" w:firstLineChars="168"/>
        <w:jc w:val="left"/>
        <w:rPr>
          <w:rFonts w:hint="eastAsia" w:eastAsia="仿宋" w:cs="仿宋"/>
          <w:sz w:val="24"/>
        </w:rPr>
      </w:pPr>
      <w:r>
        <w:rPr>
          <w:rFonts w:hint="eastAsia" w:eastAsia="仿宋" w:cs="仿宋"/>
          <w:b/>
          <w:sz w:val="24"/>
        </w:rPr>
        <w:t>注：</w:t>
      </w:r>
      <w:r>
        <w:rPr>
          <w:rFonts w:eastAsia="仿宋" w:cs="仿宋"/>
          <w:sz w:val="24"/>
        </w:rPr>
        <w:t>[</w:t>
      </w:r>
      <w:r>
        <w:rPr>
          <w:rFonts w:hint="eastAsia" w:eastAsia="仿宋" w:cs="仿宋"/>
          <w:sz w:val="24"/>
        </w:rPr>
        <w:t xml:space="preserve"> </w:t>
      </w:r>
      <w:r>
        <w:rPr>
          <w:rFonts w:eastAsia="仿宋" w:cs="仿宋"/>
          <w:sz w:val="24"/>
        </w:rPr>
        <w:t>]</w:t>
      </w:r>
      <w:r>
        <w:rPr>
          <w:rFonts w:hint="eastAsia" w:eastAsia="仿宋" w:cs="仿宋"/>
          <w:sz w:val="24"/>
        </w:rPr>
        <w:t>内为五年累计数。</w:t>
      </w:r>
    </w:p>
    <w:p>
      <w:pPr>
        <w:pStyle w:val="9"/>
        <w:rPr>
          <w:rFonts w:hint="eastAsia"/>
        </w:rPr>
      </w:pPr>
    </w:p>
    <w:p>
      <w:pPr>
        <w:spacing w:line="560" w:lineRule="exact"/>
        <w:ind w:firstLine="640" w:firstLineChars="200"/>
        <w:jc w:val="left"/>
        <w:outlineLvl w:val="0"/>
        <w:rPr>
          <w:rFonts w:hint="eastAsia" w:ascii="黑体" w:hAnsi="黑体" w:eastAsia="黑体"/>
          <w:sz w:val="32"/>
          <w:szCs w:val="32"/>
        </w:rPr>
      </w:pPr>
      <w:bookmarkStart w:id="182" w:name="_Toc1242963285"/>
      <w:bookmarkStart w:id="183" w:name="_Toc19264"/>
      <w:bookmarkStart w:id="184" w:name="_Toc1125445413"/>
      <w:bookmarkStart w:id="185" w:name="_Toc688220533"/>
      <w:bookmarkStart w:id="186" w:name="_Toc2129"/>
      <w:bookmarkStart w:id="187" w:name="_Toc5360"/>
      <w:bookmarkStart w:id="188" w:name="_Toc29379"/>
      <w:bookmarkStart w:id="189" w:name="_Toc10869"/>
      <w:bookmarkStart w:id="190" w:name="_Toc92706644"/>
      <w:bookmarkStart w:id="191" w:name="_Toc938"/>
      <w:bookmarkStart w:id="192" w:name="_Toc32663"/>
      <w:bookmarkStart w:id="193" w:name="_Toc16917"/>
      <w:bookmarkStart w:id="194" w:name="_Toc1620288429"/>
      <w:bookmarkStart w:id="195" w:name="_Toc23518"/>
      <w:bookmarkStart w:id="196" w:name="_Toc29197"/>
      <w:bookmarkStart w:id="197" w:name="_Toc14165"/>
      <w:bookmarkStart w:id="198" w:name="_Toc5345"/>
      <w:bookmarkStart w:id="199" w:name="_Toc4255"/>
      <w:bookmarkStart w:id="200" w:name="_Toc19600"/>
      <w:bookmarkStart w:id="201" w:name="_Toc19376"/>
      <w:bookmarkStart w:id="202" w:name="_Toc30114"/>
      <w:bookmarkStart w:id="203" w:name="_Toc14479"/>
      <w:bookmarkStart w:id="204" w:name="_Toc21728"/>
      <w:bookmarkStart w:id="205" w:name="_Toc27168"/>
      <w:bookmarkStart w:id="206" w:name="_Toc30271"/>
      <w:bookmarkStart w:id="207" w:name="_Toc28885"/>
      <w:bookmarkStart w:id="208" w:name="_Toc7011"/>
      <w:bookmarkStart w:id="209" w:name="_Toc2474"/>
      <w:r>
        <w:rPr>
          <w:rFonts w:hint="eastAsia" w:ascii="黑体" w:hAnsi="黑体" w:eastAsia="黑体"/>
          <w:sz w:val="32"/>
          <w:szCs w:val="32"/>
        </w:rPr>
        <w:t>三</w:t>
      </w:r>
      <w:bookmarkEnd w:id="182"/>
      <w:bookmarkEnd w:id="183"/>
      <w:bookmarkEnd w:id="184"/>
      <w:bookmarkEnd w:id="185"/>
      <w:r>
        <w:rPr>
          <w:rFonts w:hint="eastAsia" w:ascii="黑体" w:hAnsi="黑体" w:eastAsia="黑体"/>
          <w:sz w:val="32"/>
          <w:szCs w:val="32"/>
        </w:rPr>
        <w:t>、空间</w:t>
      </w:r>
      <w:bookmarkEnd w:id="186"/>
      <w:r>
        <w:rPr>
          <w:rFonts w:hint="eastAsia" w:ascii="黑体" w:hAnsi="黑体" w:eastAsia="黑体"/>
          <w:sz w:val="32"/>
          <w:szCs w:val="32"/>
        </w:rPr>
        <w:t>布局</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adjustRightInd w:val="0"/>
        <w:snapToGrid w:val="0"/>
        <w:spacing w:line="560" w:lineRule="exact"/>
        <w:ind w:left="319" w:leftChars="152" w:firstLine="318" w:firstLineChars="99"/>
        <w:jc w:val="left"/>
        <w:outlineLvl w:val="1"/>
        <w:rPr>
          <w:rFonts w:hint="eastAsia" w:ascii="楷体_GB2312" w:hAnsi="楷体" w:eastAsia="楷体_GB2312"/>
          <w:b/>
          <w:sz w:val="32"/>
          <w:szCs w:val="32"/>
        </w:rPr>
      </w:pPr>
      <w:bookmarkStart w:id="210" w:name="_Toc1910496626"/>
      <w:bookmarkStart w:id="211" w:name="_Toc17350"/>
      <w:bookmarkStart w:id="212" w:name="_Toc325093515"/>
      <w:bookmarkStart w:id="213" w:name="_Toc575575389"/>
      <w:bookmarkStart w:id="214" w:name="_Toc28241"/>
      <w:bookmarkStart w:id="215" w:name="_Toc23482"/>
      <w:bookmarkStart w:id="216" w:name="_Toc3990"/>
      <w:bookmarkStart w:id="217" w:name="_Toc3746"/>
      <w:bookmarkStart w:id="218" w:name="_Toc2094982243"/>
      <w:bookmarkStart w:id="219" w:name="_Toc13614"/>
      <w:bookmarkStart w:id="220" w:name="_Toc13721"/>
      <w:bookmarkStart w:id="221" w:name="_Toc3560"/>
      <w:bookmarkStart w:id="222" w:name="_Toc543"/>
      <w:bookmarkStart w:id="223" w:name="_Toc2398"/>
      <w:bookmarkStart w:id="224" w:name="_Toc8334"/>
      <w:bookmarkStart w:id="225" w:name="_Toc30230"/>
      <w:bookmarkStart w:id="226" w:name="_Toc15787"/>
      <w:bookmarkStart w:id="227" w:name="_Toc994"/>
      <w:bookmarkStart w:id="228" w:name="_Toc19257"/>
      <w:bookmarkStart w:id="229" w:name="_Toc14061"/>
      <w:bookmarkStart w:id="230" w:name="_Toc20479"/>
      <w:bookmarkStart w:id="231" w:name="_Toc30636"/>
      <w:bookmarkStart w:id="232" w:name="_Toc92706645"/>
      <w:bookmarkStart w:id="233" w:name="_Toc11182"/>
      <w:bookmarkStart w:id="234" w:name="_Toc30592"/>
      <w:bookmarkStart w:id="235" w:name="_Toc21471"/>
      <w:bookmarkStart w:id="236" w:name="_Toc28461"/>
      <w:bookmarkStart w:id="237" w:name="_Toc20480"/>
      <w:r>
        <w:rPr>
          <w:rFonts w:hint="eastAsia" w:ascii="楷体_GB2312" w:hAnsi="楷体" w:eastAsia="楷体_GB2312"/>
          <w:b/>
          <w:sz w:val="32"/>
          <w:szCs w:val="32"/>
        </w:rPr>
        <w:t>（一）</w:t>
      </w:r>
      <w:bookmarkEnd w:id="210"/>
      <w:bookmarkEnd w:id="211"/>
      <w:bookmarkEnd w:id="212"/>
      <w:bookmarkEnd w:id="213"/>
      <w:r>
        <w:rPr>
          <w:rFonts w:hint="eastAsia" w:ascii="楷体_GB2312" w:hAnsi="楷体" w:eastAsia="楷体_GB2312"/>
          <w:b/>
          <w:sz w:val="32"/>
          <w:szCs w:val="32"/>
        </w:rPr>
        <w:t>城乡统筹</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adjustRightInd w:val="0"/>
        <w:snapToGrid w:val="0"/>
        <w:spacing w:line="560" w:lineRule="exact"/>
        <w:ind w:left="2" w:firstLine="537" w:firstLineChars="168"/>
        <w:rPr>
          <w:rFonts w:eastAsia="仿宋"/>
          <w:sz w:val="32"/>
          <w:szCs w:val="32"/>
        </w:rPr>
      </w:pPr>
      <w:bookmarkStart w:id="238" w:name="_Toc1429216835"/>
      <w:bookmarkStart w:id="239" w:name="_Toc541303238"/>
      <w:bookmarkStart w:id="240" w:name="_Toc18593"/>
      <w:bookmarkStart w:id="241" w:name="_Toc3361"/>
      <w:bookmarkStart w:id="242" w:name="_Toc648308637"/>
      <w:r>
        <w:rPr>
          <w:rFonts w:hint="eastAsia" w:eastAsia="仿宋"/>
          <w:sz w:val="32"/>
          <w:szCs w:val="32"/>
        </w:rPr>
        <w:t>统筹城乡垃圾、污水处理以及固体废弃物、废旧物资回收处理等设施建设，</w:t>
      </w:r>
      <w:bookmarkEnd w:id="238"/>
      <w:bookmarkEnd w:id="239"/>
      <w:bookmarkEnd w:id="240"/>
      <w:bookmarkEnd w:id="241"/>
      <w:bookmarkEnd w:id="242"/>
      <w:r>
        <w:rPr>
          <w:rFonts w:hint="eastAsia" w:eastAsia="仿宋"/>
          <w:sz w:val="32"/>
          <w:szCs w:val="32"/>
        </w:rPr>
        <w:t>探索可回收物处置利用途径，推进城乡</w:t>
      </w:r>
      <w:r>
        <w:rPr>
          <w:rFonts w:eastAsia="仿宋"/>
          <w:sz w:val="32"/>
          <w:szCs w:val="32"/>
        </w:rPr>
        <w:t>资源利用节约化、生产过程清洁化、产业链接循环化、废物处理资源化，形成</w:t>
      </w:r>
      <w:r>
        <w:rPr>
          <w:rFonts w:hint="eastAsia" w:eastAsia="仿宋"/>
          <w:sz w:val="32"/>
          <w:szCs w:val="32"/>
        </w:rPr>
        <w:t>城乡</w:t>
      </w:r>
      <w:r>
        <w:rPr>
          <w:rFonts w:eastAsia="仿宋"/>
          <w:sz w:val="32"/>
          <w:szCs w:val="32"/>
        </w:rPr>
        <w:t>多业共生的循环</w:t>
      </w:r>
      <w:r>
        <w:rPr>
          <w:rFonts w:hint="eastAsia" w:eastAsia="仿宋"/>
          <w:sz w:val="32"/>
          <w:szCs w:val="32"/>
        </w:rPr>
        <w:t>经济发展模式</w:t>
      </w:r>
      <w:r>
        <w:rPr>
          <w:rFonts w:eastAsia="仿宋"/>
          <w:sz w:val="32"/>
          <w:szCs w:val="32"/>
        </w:rPr>
        <w:t>。</w:t>
      </w:r>
      <w:r>
        <w:rPr>
          <w:rFonts w:hint="eastAsia" w:eastAsia="仿宋"/>
          <w:sz w:val="32"/>
          <w:szCs w:val="32"/>
        </w:rPr>
        <w:t>按照城乡一体化原则，因地制宜加强乡村有机废弃物与农林废弃物、畜禽粪便的协同处置。加快构建种、养、加、游等深度融合的工农服复合型循环经济产业链，</w:t>
      </w:r>
      <w:r>
        <w:rPr>
          <w:rFonts w:eastAsia="仿宋"/>
          <w:sz w:val="32"/>
          <w:szCs w:val="32"/>
        </w:rPr>
        <w:t>推进企业间、行业间、产业间共生耦合，</w:t>
      </w:r>
      <w:r>
        <w:rPr>
          <w:rFonts w:hint="eastAsia" w:eastAsia="仿宋"/>
          <w:sz w:val="32"/>
          <w:szCs w:val="32"/>
        </w:rPr>
        <w:t>推动城乡之间形成“</w:t>
      </w:r>
      <w:r>
        <w:rPr>
          <w:rFonts w:eastAsia="仿宋"/>
          <w:sz w:val="32"/>
          <w:szCs w:val="32"/>
        </w:rPr>
        <w:t>资源</w:t>
      </w:r>
      <w:r>
        <w:rPr>
          <w:rFonts w:hint="eastAsia" w:eastAsia="仿宋"/>
          <w:sz w:val="32"/>
          <w:szCs w:val="32"/>
        </w:rPr>
        <w:t>—</w:t>
      </w:r>
      <w:r>
        <w:rPr>
          <w:rFonts w:eastAsia="仿宋"/>
          <w:sz w:val="32"/>
          <w:szCs w:val="32"/>
        </w:rPr>
        <w:t>产品</w:t>
      </w:r>
      <w:r>
        <w:rPr>
          <w:rFonts w:hint="eastAsia" w:eastAsia="仿宋"/>
          <w:sz w:val="32"/>
          <w:szCs w:val="32"/>
        </w:rPr>
        <w:t>—</w:t>
      </w:r>
      <w:r>
        <w:rPr>
          <w:rFonts w:eastAsia="仿宋"/>
          <w:sz w:val="32"/>
          <w:szCs w:val="32"/>
        </w:rPr>
        <w:t>再生资源</w:t>
      </w:r>
      <w:r>
        <w:rPr>
          <w:rFonts w:hint="eastAsia" w:eastAsia="仿宋"/>
          <w:sz w:val="32"/>
          <w:szCs w:val="32"/>
        </w:rPr>
        <w:t>—</w:t>
      </w:r>
      <w:r>
        <w:rPr>
          <w:rFonts w:eastAsia="仿宋"/>
          <w:sz w:val="32"/>
          <w:szCs w:val="32"/>
        </w:rPr>
        <w:t>产品</w:t>
      </w:r>
      <w:r>
        <w:rPr>
          <w:rFonts w:hint="eastAsia" w:eastAsia="仿宋"/>
          <w:sz w:val="32"/>
          <w:szCs w:val="32"/>
        </w:rPr>
        <w:t>”</w:t>
      </w:r>
      <w:r>
        <w:rPr>
          <w:rFonts w:eastAsia="仿宋"/>
          <w:sz w:val="32"/>
          <w:szCs w:val="32"/>
        </w:rPr>
        <w:t>循环</w:t>
      </w:r>
      <w:r>
        <w:rPr>
          <w:rFonts w:hint="eastAsia" w:eastAsia="仿宋"/>
          <w:sz w:val="32"/>
          <w:szCs w:val="32"/>
        </w:rPr>
        <w:t>经济</w:t>
      </w:r>
      <w:r>
        <w:rPr>
          <w:rFonts w:eastAsia="仿宋"/>
          <w:sz w:val="32"/>
          <w:szCs w:val="32"/>
        </w:rPr>
        <w:t>体系。</w:t>
      </w:r>
    </w:p>
    <w:p>
      <w:pPr>
        <w:adjustRightInd w:val="0"/>
        <w:snapToGrid w:val="0"/>
        <w:spacing w:line="560" w:lineRule="exact"/>
        <w:ind w:left="319" w:leftChars="152" w:firstLine="318" w:firstLineChars="99"/>
        <w:jc w:val="left"/>
        <w:outlineLvl w:val="1"/>
        <w:rPr>
          <w:rFonts w:ascii="楷体_GB2312" w:hAnsi="楷体" w:eastAsia="楷体_GB2312"/>
          <w:b/>
          <w:sz w:val="32"/>
          <w:szCs w:val="32"/>
        </w:rPr>
      </w:pPr>
      <w:bookmarkStart w:id="243" w:name="_Toc597018835"/>
      <w:bookmarkStart w:id="244" w:name="_Toc1389407507"/>
      <w:bookmarkStart w:id="245" w:name="_Toc32306"/>
      <w:bookmarkStart w:id="246" w:name="_Toc1179485284"/>
      <w:bookmarkStart w:id="247" w:name="_Toc21136"/>
      <w:bookmarkStart w:id="248" w:name="_Toc13888"/>
      <w:bookmarkStart w:id="249" w:name="_Toc2054"/>
      <w:bookmarkStart w:id="250" w:name="_Toc15190"/>
      <w:bookmarkStart w:id="251" w:name="_Toc3030"/>
      <w:bookmarkStart w:id="252" w:name="_Toc22220"/>
      <w:bookmarkStart w:id="253" w:name="_Toc31200"/>
      <w:bookmarkStart w:id="254" w:name="_Toc12464"/>
      <w:bookmarkStart w:id="255" w:name="_Toc12379"/>
      <w:bookmarkStart w:id="256" w:name="_Toc24930"/>
      <w:bookmarkStart w:id="257" w:name="_Toc2642"/>
      <w:bookmarkStart w:id="258" w:name="_Toc14508"/>
      <w:bookmarkStart w:id="259" w:name="_Toc22154"/>
      <w:bookmarkStart w:id="260" w:name="_Toc27759"/>
      <w:bookmarkStart w:id="261" w:name="_Toc3823"/>
      <w:bookmarkStart w:id="262" w:name="_Toc3201"/>
      <w:bookmarkStart w:id="263" w:name="_Toc21839"/>
      <w:bookmarkStart w:id="264" w:name="_Toc27271"/>
      <w:bookmarkStart w:id="265" w:name="_Toc224681889"/>
      <w:bookmarkStart w:id="266" w:name="_Toc17907"/>
      <w:bookmarkStart w:id="267" w:name="_Toc6443"/>
      <w:bookmarkStart w:id="268" w:name="_Toc11361"/>
      <w:bookmarkStart w:id="269" w:name="_Toc92706646"/>
      <w:bookmarkStart w:id="270" w:name="_Toc24104"/>
      <w:r>
        <w:rPr>
          <w:rFonts w:hint="eastAsia" w:ascii="楷体_GB2312" w:hAnsi="楷体" w:eastAsia="楷体_GB2312"/>
          <w:b/>
          <w:sz w:val="32"/>
          <w:szCs w:val="32"/>
        </w:rPr>
        <w:t>（二）“五带</w:t>
      </w:r>
      <w:bookmarkEnd w:id="243"/>
      <w:bookmarkEnd w:id="244"/>
      <w:bookmarkEnd w:id="245"/>
      <w:bookmarkEnd w:id="246"/>
      <w:r>
        <w:rPr>
          <w:rFonts w:hint="eastAsia" w:ascii="楷体_GB2312" w:hAnsi="楷体" w:eastAsia="楷体_GB2312"/>
          <w:b/>
          <w:sz w:val="32"/>
          <w:szCs w:val="32"/>
        </w:rPr>
        <w:t>”联动</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adjustRightInd w:val="0"/>
        <w:snapToGrid w:val="0"/>
        <w:spacing w:line="560" w:lineRule="exact"/>
        <w:ind w:left="2" w:firstLine="540" w:firstLineChars="168"/>
        <w:jc w:val="left"/>
        <w:outlineLvl w:val="2"/>
        <w:rPr>
          <w:rFonts w:eastAsia="仿宋"/>
          <w:b/>
          <w:bCs/>
          <w:sz w:val="32"/>
          <w:szCs w:val="32"/>
        </w:rPr>
      </w:pPr>
      <w:bookmarkStart w:id="271" w:name="_Toc6033"/>
      <w:bookmarkStart w:id="272" w:name="_Toc34792671"/>
      <w:bookmarkStart w:id="273" w:name="_Toc23046"/>
      <w:bookmarkStart w:id="274" w:name="_Toc187622731"/>
      <w:bookmarkStart w:id="275" w:name="_Toc1051961061"/>
      <w:r>
        <w:rPr>
          <w:rFonts w:eastAsia="仿宋"/>
          <w:b/>
          <w:bCs/>
          <w:sz w:val="32"/>
          <w:szCs w:val="32"/>
        </w:rPr>
        <w:t>1</w:t>
      </w:r>
      <w:r>
        <w:rPr>
          <w:rFonts w:hint="eastAsia" w:eastAsia="仿宋"/>
          <w:b/>
          <w:bCs/>
          <w:sz w:val="32"/>
          <w:szCs w:val="32"/>
        </w:rPr>
        <w:t>.</w:t>
      </w:r>
      <w:r>
        <w:rPr>
          <w:rFonts w:eastAsia="仿宋"/>
          <w:b/>
          <w:bCs/>
          <w:sz w:val="32"/>
          <w:szCs w:val="32"/>
        </w:rPr>
        <w:t xml:space="preserve"> </w:t>
      </w:r>
      <w:r>
        <w:rPr>
          <w:rFonts w:hint="eastAsia" w:eastAsia="仿宋"/>
          <w:b/>
          <w:bCs/>
          <w:sz w:val="32"/>
          <w:szCs w:val="32"/>
        </w:rPr>
        <w:t>南北向循环经济发展带</w:t>
      </w:r>
      <w:bookmarkEnd w:id="271"/>
      <w:bookmarkEnd w:id="272"/>
      <w:bookmarkEnd w:id="273"/>
      <w:bookmarkEnd w:id="274"/>
      <w:bookmarkEnd w:id="275"/>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该发展带上有南宁高新区</w:t>
      </w:r>
      <w:r>
        <w:rPr>
          <w:rFonts w:eastAsia="仿宋"/>
          <w:sz w:val="32"/>
          <w:szCs w:val="32"/>
        </w:rPr>
        <w:t>、</w:t>
      </w:r>
      <w:r>
        <w:rPr>
          <w:rFonts w:hint="eastAsia" w:eastAsia="仿宋"/>
          <w:sz w:val="32"/>
          <w:szCs w:val="32"/>
        </w:rPr>
        <w:t>广西—东盟经开区</w:t>
      </w:r>
      <w:r>
        <w:rPr>
          <w:rFonts w:eastAsia="仿宋"/>
          <w:sz w:val="32"/>
          <w:szCs w:val="32"/>
        </w:rPr>
        <w:t>、</w:t>
      </w:r>
      <w:r>
        <w:rPr>
          <w:rFonts w:hint="eastAsia" w:eastAsia="仿宋"/>
          <w:sz w:val="32"/>
          <w:szCs w:val="32"/>
        </w:rPr>
        <w:t>广西良庆经开区</w:t>
      </w:r>
      <w:r>
        <w:rPr>
          <w:rFonts w:eastAsia="仿宋"/>
          <w:sz w:val="32"/>
          <w:szCs w:val="32"/>
        </w:rPr>
        <w:t>、</w:t>
      </w:r>
      <w:r>
        <w:rPr>
          <w:rFonts w:hint="eastAsia" w:eastAsia="仿宋"/>
          <w:sz w:val="32"/>
          <w:szCs w:val="32"/>
        </w:rPr>
        <w:t>南宁综保区</w:t>
      </w:r>
      <w:r>
        <w:rPr>
          <w:rFonts w:eastAsia="仿宋"/>
          <w:sz w:val="32"/>
          <w:szCs w:val="32"/>
        </w:rPr>
        <w:t>、</w:t>
      </w:r>
      <w:r>
        <w:rPr>
          <w:rFonts w:hint="eastAsia" w:eastAsia="仿宋"/>
          <w:sz w:val="32"/>
          <w:szCs w:val="32"/>
        </w:rPr>
        <w:t>南宁现代工业园等园区</w:t>
      </w:r>
      <w:r>
        <w:rPr>
          <w:rFonts w:eastAsia="仿宋"/>
          <w:sz w:val="32"/>
          <w:szCs w:val="32"/>
        </w:rPr>
        <w:t>，</w:t>
      </w:r>
      <w:r>
        <w:rPr>
          <w:rFonts w:hint="eastAsia" w:eastAsia="仿宋"/>
          <w:sz w:val="32"/>
          <w:szCs w:val="32"/>
        </w:rPr>
        <w:t>重点加快建设绿色制造</w:t>
      </w:r>
      <w:r>
        <w:rPr>
          <w:rFonts w:eastAsia="仿宋"/>
          <w:sz w:val="32"/>
          <w:szCs w:val="32"/>
        </w:rPr>
        <w:t>、</w:t>
      </w:r>
      <w:r>
        <w:rPr>
          <w:rFonts w:hint="eastAsia" w:eastAsia="仿宋"/>
          <w:sz w:val="32"/>
          <w:szCs w:val="32"/>
        </w:rPr>
        <w:t>节能环保、生态农业等行业为代表的循环经济产业链</w:t>
      </w:r>
      <w:r>
        <w:rPr>
          <w:rFonts w:eastAsia="仿宋"/>
          <w:sz w:val="32"/>
          <w:szCs w:val="32"/>
        </w:rPr>
        <w:t>，</w:t>
      </w:r>
      <w:r>
        <w:rPr>
          <w:rFonts w:hint="eastAsia" w:eastAsia="仿宋"/>
          <w:sz w:val="32"/>
          <w:szCs w:val="32"/>
        </w:rPr>
        <w:t>已建成工业园区积极推进园区循环化改造</w:t>
      </w:r>
      <w:r>
        <w:rPr>
          <w:rFonts w:eastAsia="仿宋"/>
          <w:sz w:val="32"/>
          <w:szCs w:val="32"/>
        </w:rPr>
        <w:t>。</w:t>
      </w:r>
    </w:p>
    <w:p>
      <w:pPr>
        <w:adjustRightInd w:val="0"/>
        <w:snapToGrid w:val="0"/>
        <w:spacing w:line="560" w:lineRule="exact"/>
        <w:ind w:left="2" w:firstLine="540" w:firstLineChars="168"/>
        <w:jc w:val="left"/>
        <w:outlineLvl w:val="2"/>
        <w:rPr>
          <w:rFonts w:eastAsia="仿宋"/>
          <w:b/>
          <w:bCs/>
          <w:sz w:val="32"/>
          <w:szCs w:val="32"/>
        </w:rPr>
      </w:pPr>
      <w:bookmarkStart w:id="276" w:name="_Toc14752"/>
      <w:bookmarkStart w:id="277" w:name="_Toc869246121"/>
      <w:bookmarkStart w:id="278" w:name="_Toc644869513"/>
      <w:bookmarkStart w:id="279" w:name="_Toc8102"/>
      <w:bookmarkStart w:id="280" w:name="_Toc76686476"/>
      <w:r>
        <w:rPr>
          <w:rFonts w:eastAsia="仿宋"/>
          <w:b/>
          <w:bCs/>
          <w:sz w:val="32"/>
          <w:szCs w:val="32"/>
        </w:rPr>
        <w:t>2</w:t>
      </w:r>
      <w:r>
        <w:rPr>
          <w:rFonts w:hint="eastAsia" w:eastAsia="仿宋"/>
          <w:b/>
          <w:bCs/>
          <w:sz w:val="32"/>
          <w:szCs w:val="32"/>
        </w:rPr>
        <w:t>.</w:t>
      </w:r>
      <w:r>
        <w:rPr>
          <w:rFonts w:eastAsia="仿宋"/>
          <w:b/>
          <w:bCs/>
          <w:sz w:val="32"/>
          <w:szCs w:val="32"/>
        </w:rPr>
        <w:t xml:space="preserve"> </w:t>
      </w:r>
      <w:r>
        <w:rPr>
          <w:rFonts w:hint="eastAsia" w:eastAsia="仿宋"/>
          <w:b/>
          <w:bCs/>
          <w:sz w:val="32"/>
          <w:szCs w:val="32"/>
        </w:rPr>
        <w:t>东向循环经济发展带</w:t>
      </w:r>
      <w:bookmarkEnd w:id="276"/>
      <w:bookmarkEnd w:id="277"/>
      <w:bookmarkEnd w:id="278"/>
      <w:bookmarkEnd w:id="279"/>
      <w:bookmarkEnd w:id="280"/>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该发展带上有南宁伶俐工业园</w:t>
      </w:r>
      <w:r>
        <w:rPr>
          <w:rFonts w:eastAsia="仿宋"/>
          <w:sz w:val="32"/>
          <w:szCs w:val="32"/>
        </w:rPr>
        <w:t>、</w:t>
      </w:r>
      <w:r>
        <w:rPr>
          <w:rFonts w:hint="eastAsia" w:eastAsia="仿宋"/>
          <w:sz w:val="32"/>
          <w:szCs w:val="32"/>
        </w:rPr>
        <w:t>南宁六景工业园区等</w:t>
      </w:r>
      <w:r>
        <w:rPr>
          <w:rFonts w:eastAsia="仿宋"/>
          <w:sz w:val="32"/>
          <w:szCs w:val="32"/>
        </w:rPr>
        <w:t>，</w:t>
      </w:r>
      <w:r>
        <w:rPr>
          <w:rFonts w:hint="eastAsia" w:eastAsia="仿宋"/>
          <w:sz w:val="32"/>
          <w:szCs w:val="32"/>
        </w:rPr>
        <w:t>重点加快建设新能源汽车</w:t>
      </w:r>
      <w:r>
        <w:rPr>
          <w:rFonts w:eastAsia="仿宋"/>
          <w:sz w:val="32"/>
          <w:szCs w:val="32"/>
        </w:rPr>
        <w:t>、</w:t>
      </w:r>
      <w:r>
        <w:rPr>
          <w:rFonts w:hint="eastAsia" w:eastAsia="仿宋"/>
          <w:sz w:val="32"/>
          <w:szCs w:val="32"/>
        </w:rPr>
        <w:t>装配式建筑</w:t>
      </w:r>
      <w:r>
        <w:rPr>
          <w:rFonts w:eastAsia="仿宋"/>
          <w:sz w:val="32"/>
          <w:szCs w:val="32"/>
        </w:rPr>
        <w:t>、</w:t>
      </w:r>
      <w:r>
        <w:rPr>
          <w:rFonts w:hint="eastAsia" w:eastAsia="仿宋"/>
          <w:sz w:val="32"/>
          <w:szCs w:val="32"/>
        </w:rPr>
        <w:t>新型节能建材</w:t>
      </w:r>
      <w:r>
        <w:rPr>
          <w:rFonts w:eastAsia="仿宋"/>
          <w:sz w:val="32"/>
          <w:szCs w:val="32"/>
        </w:rPr>
        <w:t>、</w:t>
      </w:r>
      <w:r>
        <w:rPr>
          <w:rFonts w:hint="eastAsia" w:eastAsia="仿宋"/>
          <w:sz w:val="32"/>
          <w:szCs w:val="32"/>
        </w:rPr>
        <w:t>林产品加工等行业为代表的循环经济产业链</w:t>
      </w:r>
      <w:r>
        <w:rPr>
          <w:rFonts w:eastAsia="仿宋"/>
          <w:sz w:val="32"/>
          <w:szCs w:val="32"/>
        </w:rPr>
        <w:t>，</w:t>
      </w:r>
      <w:r>
        <w:rPr>
          <w:rFonts w:hint="eastAsia" w:eastAsia="仿宋"/>
          <w:sz w:val="32"/>
          <w:szCs w:val="32"/>
        </w:rPr>
        <w:t>已建成工业园区积极推进园区循环化改造</w:t>
      </w:r>
      <w:r>
        <w:rPr>
          <w:rFonts w:eastAsia="仿宋"/>
          <w:sz w:val="32"/>
          <w:szCs w:val="32"/>
        </w:rPr>
        <w:t>。</w:t>
      </w:r>
      <w:r>
        <w:rPr>
          <w:rFonts w:hint="eastAsia" w:eastAsia="仿宋"/>
          <w:sz w:val="32"/>
          <w:szCs w:val="32"/>
        </w:rPr>
        <w:t>规划并建设六景循环经济产业园，统筹实现横州市、青秀区东部地区固体废弃物回收和循环利用</w:t>
      </w:r>
      <w:r>
        <w:rPr>
          <w:rFonts w:eastAsia="仿宋"/>
          <w:sz w:val="32"/>
          <w:szCs w:val="32"/>
        </w:rPr>
        <w:t>。</w:t>
      </w:r>
    </w:p>
    <w:p>
      <w:pPr>
        <w:adjustRightInd w:val="0"/>
        <w:snapToGrid w:val="0"/>
        <w:spacing w:line="560" w:lineRule="exact"/>
        <w:ind w:left="2" w:firstLine="540" w:firstLineChars="168"/>
        <w:jc w:val="left"/>
        <w:outlineLvl w:val="2"/>
        <w:rPr>
          <w:rFonts w:eastAsia="仿宋"/>
          <w:b/>
          <w:bCs/>
          <w:sz w:val="32"/>
          <w:szCs w:val="32"/>
        </w:rPr>
      </w:pPr>
      <w:bookmarkStart w:id="281" w:name="_Toc379413932"/>
      <w:bookmarkStart w:id="282" w:name="_Toc31206"/>
      <w:bookmarkStart w:id="283" w:name="_Toc88305106"/>
      <w:bookmarkStart w:id="284" w:name="_Toc4545"/>
      <w:bookmarkStart w:id="285" w:name="_Toc2119422229"/>
      <w:r>
        <w:rPr>
          <w:rFonts w:eastAsia="仿宋"/>
          <w:b/>
          <w:bCs/>
          <w:sz w:val="32"/>
          <w:szCs w:val="32"/>
        </w:rPr>
        <w:t>3</w:t>
      </w:r>
      <w:r>
        <w:rPr>
          <w:rFonts w:hint="eastAsia" w:eastAsia="仿宋"/>
          <w:b/>
          <w:bCs/>
          <w:sz w:val="32"/>
          <w:szCs w:val="32"/>
        </w:rPr>
        <w:t>.</w:t>
      </w:r>
      <w:r>
        <w:rPr>
          <w:rFonts w:eastAsia="仿宋"/>
          <w:b/>
          <w:bCs/>
          <w:sz w:val="32"/>
          <w:szCs w:val="32"/>
        </w:rPr>
        <w:t xml:space="preserve"> </w:t>
      </w:r>
      <w:r>
        <w:rPr>
          <w:rFonts w:hint="eastAsia" w:eastAsia="仿宋"/>
          <w:b/>
          <w:bCs/>
          <w:sz w:val="32"/>
          <w:szCs w:val="32"/>
        </w:rPr>
        <w:t>东北向循环经济发展带</w:t>
      </w:r>
      <w:bookmarkEnd w:id="281"/>
      <w:bookmarkEnd w:id="282"/>
      <w:bookmarkEnd w:id="283"/>
      <w:bookmarkEnd w:id="284"/>
      <w:bookmarkEnd w:id="285"/>
    </w:p>
    <w:p>
      <w:pPr>
        <w:adjustRightInd w:val="0"/>
        <w:snapToGrid w:val="0"/>
        <w:spacing w:line="560" w:lineRule="exact"/>
        <w:ind w:left="2" w:firstLine="537" w:firstLineChars="168"/>
        <w:jc w:val="left"/>
        <w:rPr>
          <w:rFonts w:eastAsia="仿宋"/>
          <w:b/>
          <w:bCs/>
          <w:sz w:val="32"/>
          <w:szCs w:val="32"/>
        </w:rPr>
      </w:pPr>
      <w:r>
        <w:rPr>
          <w:rFonts w:hint="eastAsia" w:eastAsia="仿宋"/>
          <w:sz w:val="32"/>
          <w:szCs w:val="32"/>
        </w:rPr>
        <w:t>该发展带上有南宁市平里静脉产业园</w:t>
      </w:r>
      <w:r>
        <w:rPr>
          <w:rFonts w:eastAsia="仿宋"/>
          <w:sz w:val="32"/>
          <w:szCs w:val="32"/>
        </w:rPr>
        <w:t>、南宁绿色家居产业园（规划）、</w:t>
      </w:r>
      <w:r>
        <w:rPr>
          <w:rFonts w:hint="eastAsia" w:eastAsia="仿宋"/>
          <w:sz w:val="32"/>
          <w:szCs w:val="32"/>
        </w:rPr>
        <w:t>三塘工业集中区</w:t>
      </w:r>
      <w:r>
        <w:rPr>
          <w:rFonts w:eastAsia="仿宋"/>
          <w:sz w:val="32"/>
          <w:szCs w:val="32"/>
        </w:rPr>
        <w:t>、</w:t>
      </w:r>
      <w:r>
        <w:rPr>
          <w:rFonts w:hint="eastAsia" w:eastAsia="仿宋"/>
          <w:sz w:val="32"/>
          <w:szCs w:val="32"/>
        </w:rPr>
        <w:t>五塘工业集中区等，持续推进生活垃圾、餐厨废弃物资源化利用</w:t>
      </w:r>
      <w:r>
        <w:rPr>
          <w:rFonts w:eastAsia="仿宋"/>
          <w:sz w:val="32"/>
          <w:szCs w:val="32"/>
        </w:rPr>
        <w:t>，</w:t>
      </w:r>
      <w:r>
        <w:rPr>
          <w:rFonts w:hint="eastAsia" w:eastAsia="仿宋"/>
          <w:sz w:val="32"/>
          <w:szCs w:val="32"/>
        </w:rPr>
        <w:t>重点加快建设农副产品绿色加工</w:t>
      </w:r>
      <w:r>
        <w:rPr>
          <w:rFonts w:eastAsia="仿宋"/>
          <w:sz w:val="32"/>
          <w:szCs w:val="32"/>
        </w:rPr>
        <w:t>、</w:t>
      </w:r>
      <w:r>
        <w:rPr>
          <w:rFonts w:hint="eastAsia" w:eastAsia="仿宋"/>
          <w:sz w:val="32"/>
          <w:szCs w:val="32"/>
        </w:rPr>
        <w:t>林产品精深加工、生态绿色农业等为代表的循环经济产业链</w:t>
      </w:r>
      <w:r>
        <w:rPr>
          <w:rFonts w:eastAsia="仿宋"/>
          <w:sz w:val="32"/>
          <w:szCs w:val="32"/>
        </w:rPr>
        <w:t>。规划</w:t>
      </w:r>
      <w:r>
        <w:rPr>
          <w:rFonts w:hint="eastAsia" w:eastAsia="仿宋"/>
          <w:sz w:val="32"/>
          <w:szCs w:val="32"/>
        </w:rPr>
        <w:t>并</w:t>
      </w:r>
      <w:r>
        <w:rPr>
          <w:rFonts w:eastAsia="仿宋"/>
          <w:sz w:val="32"/>
          <w:szCs w:val="32"/>
        </w:rPr>
        <w:t>建设宾阳循环经济产业园，统筹</w:t>
      </w:r>
      <w:r>
        <w:rPr>
          <w:rFonts w:hint="eastAsia" w:eastAsia="仿宋"/>
          <w:sz w:val="32"/>
          <w:szCs w:val="32"/>
        </w:rPr>
        <w:t>实现</w:t>
      </w:r>
      <w:r>
        <w:rPr>
          <w:rFonts w:eastAsia="仿宋"/>
          <w:sz w:val="32"/>
          <w:szCs w:val="32"/>
        </w:rPr>
        <w:t>上林、宾阳</w:t>
      </w:r>
      <w:r>
        <w:rPr>
          <w:rFonts w:hint="eastAsia" w:eastAsia="仿宋"/>
          <w:sz w:val="32"/>
          <w:szCs w:val="32"/>
        </w:rPr>
        <w:t>和</w:t>
      </w:r>
      <w:r>
        <w:rPr>
          <w:rFonts w:eastAsia="仿宋"/>
          <w:sz w:val="32"/>
          <w:szCs w:val="32"/>
        </w:rPr>
        <w:t>马山</w:t>
      </w:r>
      <w:r>
        <w:rPr>
          <w:rFonts w:hint="eastAsia" w:eastAsia="仿宋"/>
          <w:sz w:val="32"/>
          <w:szCs w:val="32"/>
        </w:rPr>
        <w:t>等地区固体废弃物</w:t>
      </w:r>
      <w:r>
        <w:rPr>
          <w:rFonts w:eastAsia="仿宋"/>
          <w:sz w:val="32"/>
          <w:szCs w:val="32"/>
        </w:rPr>
        <w:t>回收和循环利用。</w:t>
      </w:r>
    </w:p>
    <w:p>
      <w:pPr>
        <w:adjustRightInd w:val="0"/>
        <w:snapToGrid w:val="0"/>
        <w:spacing w:line="560" w:lineRule="exact"/>
        <w:ind w:left="2" w:firstLine="540" w:firstLineChars="168"/>
        <w:jc w:val="left"/>
        <w:outlineLvl w:val="2"/>
        <w:rPr>
          <w:rFonts w:eastAsia="仿宋"/>
          <w:b/>
          <w:bCs/>
          <w:sz w:val="32"/>
          <w:szCs w:val="32"/>
        </w:rPr>
      </w:pPr>
      <w:bookmarkStart w:id="286" w:name="_Toc931007181"/>
      <w:bookmarkStart w:id="287" w:name="_Toc232716465"/>
      <w:bookmarkStart w:id="288" w:name="_Toc19037"/>
      <w:bookmarkStart w:id="289" w:name="_Toc29702"/>
      <w:bookmarkStart w:id="290" w:name="_Toc818150014"/>
      <w:r>
        <w:rPr>
          <w:rFonts w:eastAsia="仿宋"/>
          <w:b/>
          <w:bCs/>
          <w:sz w:val="32"/>
          <w:szCs w:val="32"/>
        </w:rPr>
        <w:t>4</w:t>
      </w:r>
      <w:r>
        <w:rPr>
          <w:rFonts w:hint="eastAsia" w:eastAsia="仿宋"/>
          <w:b/>
          <w:bCs/>
          <w:sz w:val="32"/>
          <w:szCs w:val="32"/>
        </w:rPr>
        <w:t>.</w:t>
      </w:r>
      <w:r>
        <w:rPr>
          <w:rFonts w:eastAsia="仿宋"/>
          <w:b/>
          <w:bCs/>
          <w:sz w:val="32"/>
          <w:szCs w:val="32"/>
        </w:rPr>
        <w:t xml:space="preserve"> </w:t>
      </w:r>
      <w:r>
        <w:rPr>
          <w:rFonts w:hint="eastAsia" w:eastAsia="仿宋"/>
          <w:b/>
          <w:bCs/>
          <w:sz w:val="32"/>
          <w:szCs w:val="32"/>
        </w:rPr>
        <w:t>西南向循环经济发展带</w:t>
      </w:r>
      <w:bookmarkEnd w:id="286"/>
      <w:bookmarkEnd w:id="287"/>
      <w:bookmarkEnd w:id="288"/>
      <w:bookmarkEnd w:id="289"/>
      <w:bookmarkEnd w:id="290"/>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该发展带上有南宁经开区</w:t>
      </w:r>
      <w:r>
        <w:rPr>
          <w:rFonts w:eastAsia="仿宋"/>
          <w:sz w:val="32"/>
          <w:szCs w:val="32"/>
        </w:rPr>
        <w:t>、</w:t>
      </w:r>
      <w:r>
        <w:rPr>
          <w:rFonts w:hint="eastAsia" w:eastAsia="仿宋"/>
          <w:sz w:val="32"/>
          <w:szCs w:val="32"/>
        </w:rPr>
        <w:t>南宁江南工业园区</w:t>
      </w:r>
      <w:r>
        <w:rPr>
          <w:rFonts w:eastAsia="仿宋"/>
          <w:sz w:val="32"/>
          <w:szCs w:val="32"/>
        </w:rPr>
        <w:t>、</w:t>
      </w:r>
      <w:r>
        <w:rPr>
          <w:rFonts w:hint="eastAsia" w:eastAsia="仿宋"/>
          <w:sz w:val="32"/>
          <w:szCs w:val="32"/>
        </w:rPr>
        <w:t>南宁临空经济示范区等</w:t>
      </w:r>
      <w:r>
        <w:rPr>
          <w:rFonts w:eastAsia="仿宋"/>
          <w:sz w:val="32"/>
          <w:szCs w:val="32"/>
        </w:rPr>
        <w:t>，</w:t>
      </w:r>
      <w:r>
        <w:rPr>
          <w:rFonts w:hint="eastAsia" w:eastAsia="仿宋"/>
          <w:sz w:val="32"/>
          <w:szCs w:val="32"/>
        </w:rPr>
        <w:t>重点加快建设江南综合能源服务示范区、特色生物质资源加工利用等行业为代表的循环经济产业链</w:t>
      </w:r>
      <w:r>
        <w:rPr>
          <w:rFonts w:eastAsia="仿宋"/>
          <w:sz w:val="32"/>
          <w:szCs w:val="32"/>
        </w:rPr>
        <w:t>，</w:t>
      </w:r>
      <w:r>
        <w:rPr>
          <w:rFonts w:hint="eastAsia" w:eastAsia="仿宋"/>
          <w:sz w:val="32"/>
          <w:szCs w:val="32"/>
        </w:rPr>
        <w:t>已建成工业园区积极推进园区循环化改造</w:t>
      </w:r>
      <w:r>
        <w:rPr>
          <w:rFonts w:eastAsia="仿宋"/>
          <w:sz w:val="32"/>
          <w:szCs w:val="32"/>
        </w:rPr>
        <w:t>。规划</w:t>
      </w:r>
      <w:r>
        <w:rPr>
          <w:rFonts w:hint="eastAsia" w:eastAsia="仿宋"/>
          <w:sz w:val="32"/>
          <w:szCs w:val="32"/>
        </w:rPr>
        <w:t>并</w:t>
      </w:r>
      <w:r>
        <w:rPr>
          <w:rFonts w:eastAsia="仿宋"/>
          <w:sz w:val="32"/>
          <w:szCs w:val="32"/>
        </w:rPr>
        <w:t>建设江南循环经济产业园，统筹</w:t>
      </w:r>
      <w:r>
        <w:rPr>
          <w:rFonts w:hint="eastAsia" w:eastAsia="仿宋"/>
          <w:sz w:val="32"/>
          <w:szCs w:val="32"/>
        </w:rPr>
        <w:t>实现江南区</w:t>
      </w:r>
      <w:r>
        <w:rPr>
          <w:rFonts w:eastAsia="仿宋"/>
          <w:sz w:val="32"/>
          <w:szCs w:val="32"/>
        </w:rPr>
        <w:t>（</w:t>
      </w:r>
      <w:r>
        <w:rPr>
          <w:rFonts w:hint="eastAsia" w:eastAsia="仿宋"/>
          <w:sz w:val="32"/>
          <w:szCs w:val="32"/>
        </w:rPr>
        <w:t>含南宁临空经济示范区</w:t>
      </w:r>
      <w:r>
        <w:rPr>
          <w:rFonts w:eastAsia="仿宋"/>
          <w:sz w:val="32"/>
          <w:szCs w:val="32"/>
        </w:rPr>
        <w:t>）、</w:t>
      </w:r>
      <w:r>
        <w:rPr>
          <w:rFonts w:hint="eastAsia" w:eastAsia="仿宋"/>
          <w:sz w:val="32"/>
          <w:szCs w:val="32"/>
        </w:rPr>
        <w:t>良庆区等地区固体废弃物</w:t>
      </w:r>
      <w:r>
        <w:rPr>
          <w:rFonts w:eastAsia="仿宋"/>
          <w:sz w:val="32"/>
          <w:szCs w:val="32"/>
        </w:rPr>
        <w:t>回收和循环利用。</w:t>
      </w:r>
    </w:p>
    <w:p>
      <w:pPr>
        <w:adjustRightInd w:val="0"/>
        <w:snapToGrid w:val="0"/>
        <w:spacing w:line="560" w:lineRule="exact"/>
        <w:ind w:left="2" w:firstLine="540" w:firstLineChars="168"/>
        <w:jc w:val="left"/>
        <w:outlineLvl w:val="2"/>
        <w:rPr>
          <w:rFonts w:eastAsia="仿宋"/>
          <w:b/>
          <w:bCs/>
          <w:sz w:val="32"/>
          <w:szCs w:val="32"/>
        </w:rPr>
      </w:pPr>
      <w:bookmarkStart w:id="291" w:name="_Toc871839025"/>
      <w:bookmarkStart w:id="292" w:name="_Toc22340"/>
      <w:bookmarkStart w:id="293" w:name="_Toc24302"/>
      <w:bookmarkStart w:id="294" w:name="_Toc309493557"/>
      <w:bookmarkStart w:id="295" w:name="_Toc697906068"/>
      <w:r>
        <w:rPr>
          <w:rFonts w:eastAsia="仿宋"/>
          <w:b/>
          <w:bCs/>
          <w:sz w:val="32"/>
          <w:szCs w:val="32"/>
        </w:rPr>
        <w:t>5</w:t>
      </w:r>
      <w:r>
        <w:rPr>
          <w:rFonts w:hint="eastAsia" w:eastAsia="仿宋"/>
          <w:b/>
          <w:bCs/>
          <w:sz w:val="32"/>
          <w:szCs w:val="32"/>
        </w:rPr>
        <w:t>.</w:t>
      </w:r>
      <w:r>
        <w:rPr>
          <w:rFonts w:eastAsia="仿宋"/>
          <w:b/>
          <w:bCs/>
          <w:sz w:val="32"/>
          <w:szCs w:val="32"/>
        </w:rPr>
        <w:t xml:space="preserve"> </w:t>
      </w:r>
      <w:r>
        <w:rPr>
          <w:rFonts w:hint="eastAsia" w:eastAsia="仿宋"/>
          <w:b/>
          <w:bCs/>
          <w:sz w:val="32"/>
          <w:szCs w:val="32"/>
        </w:rPr>
        <w:t>西北向循环经济发展带</w:t>
      </w:r>
      <w:bookmarkEnd w:id="291"/>
      <w:bookmarkEnd w:id="292"/>
      <w:bookmarkEnd w:id="293"/>
      <w:bookmarkEnd w:id="294"/>
      <w:bookmarkEnd w:id="295"/>
    </w:p>
    <w:p>
      <w:pPr>
        <w:adjustRightInd w:val="0"/>
        <w:snapToGrid w:val="0"/>
        <w:spacing w:line="560" w:lineRule="exact"/>
        <w:ind w:left="2" w:firstLine="537" w:firstLineChars="168"/>
        <w:jc w:val="left"/>
        <w:rPr>
          <w:rFonts w:ascii="楷体" w:hAnsi="楷体" w:eastAsia="楷体"/>
          <w:b/>
          <w:sz w:val="32"/>
          <w:szCs w:val="32"/>
        </w:rPr>
      </w:pPr>
      <w:r>
        <w:rPr>
          <w:rFonts w:hint="eastAsia" w:eastAsia="仿宋"/>
          <w:sz w:val="32"/>
          <w:szCs w:val="32"/>
        </w:rPr>
        <w:t>该发展带上有南宁生态产业园</w:t>
      </w:r>
      <w:r>
        <w:rPr>
          <w:rFonts w:eastAsia="仿宋"/>
          <w:sz w:val="32"/>
          <w:szCs w:val="32"/>
        </w:rPr>
        <w:t>、</w:t>
      </w:r>
      <w:r>
        <w:rPr>
          <w:rFonts w:hint="eastAsia" w:eastAsia="仿宋"/>
          <w:sz w:val="32"/>
          <w:szCs w:val="32"/>
        </w:rPr>
        <w:t>双定循环经济产业园等</w:t>
      </w:r>
      <w:r>
        <w:rPr>
          <w:rFonts w:eastAsia="仿宋"/>
          <w:sz w:val="32"/>
          <w:szCs w:val="32"/>
        </w:rPr>
        <w:t>，</w:t>
      </w:r>
      <w:r>
        <w:rPr>
          <w:rFonts w:hint="eastAsia" w:eastAsia="仿宋"/>
          <w:sz w:val="32"/>
          <w:szCs w:val="32"/>
        </w:rPr>
        <w:t>重点加快发展环保生物燃料油</w:t>
      </w:r>
      <w:r>
        <w:rPr>
          <w:rFonts w:eastAsia="仿宋"/>
          <w:sz w:val="32"/>
          <w:szCs w:val="32"/>
        </w:rPr>
        <w:t>、</w:t>
      </w:r>
      <w:r>
        <w:rPr>
          <w:rFonts w:hint="eastAsia" w:eastAsia="仿宋"/>
          <w:sz w:val="32"/>
          <w:szCs w:val="32"/>
        </w:rPr>
        <w:t>节能装备制造等行业</w:t>
      </w:r>
      <w:r>
        <w:rPr>
          <w:rFonts w:eastAsia="仿宋"/>
          <w:sz w:val="32"/>
          <w:szCs w:val="32"/>
        </w:rPr>
        <w:t>，</w:t>
      </w:r>
      <w:r>
        <w:rPr>
          <w:rFonts w:hint="eastAsia" w:eastAsia="仿宋"/>
          <w:sz w:val="32"/>
          <w:szCs w:val="32"/>
        </w:rPr>
        <w:t>统筹实现西乡塘区</w:t>
      </w:r>
      <w:r>
        <w:rPr>
          <w:rFonts w:eastAsia="仿宋"/>
          <w:sz w:val="32"/>
          <w:szCs w:val="32"/>
        </w:rPr>
        <w:t>、</w:t>
      </w:r>
      <w:r>
        <w:rPr>
          <w:rFonts w:hint="eastAsia" w:eastAsia="仿宋"/>
          <w:sz w:val="32"/>
          <w:szCs w:val="32"/>
        </w:rPr>
        <w:t>武鸣区等地区固体废弃物回收和循环利用。</w:t>
      </w:r>
      <w:bookmarkStart w:id="296" w:name="_Toc452819465"/>
      <w:bookmarkStart w:id="297" w:name="_Toc717569694"/>
      <w:bookmarkStart w:id="298" w:name="_Toc151604962"/>
      <w:bookmarkStart w:id="299" w:name="_Toc13315"/>
    </w:p>
    <w:p>
      <w:pPr>
        <w:adjustRightInd w:val="0"/>
        <w:snapToGrid w:val="0"/>
        <w:spacing w:line="560" w:lineRule="exact"/>
        <w:ind w:left="319" w:leftChars="152" w:firstLine="318" w:firstLineChars="99"/>
        <w:jc w:val="left"/>
        <w:outlineLvl w:val="1"/>
        <w:rPr>
          <w:rFonts w:eastAsia="仿宋"/>
          <w:sz w:val="32"/>
          <w:szCs w:val="32"/>
        </w:rPr>
      </w:pPr>
      <w:bookmarkStart w:id="300" w:name="_Toc23117"/>
      <w:bookmarkStart w:id="301" w:name="_Toc3196"/>
      <w:bookmarkStart w:id="302" w:name="_Toc15813"/>
      <w:bookmarkStart w:id="303" w:name="_Toc11223"/>
      <w:bookmarkStart w:id="304" w:name="_Toc14080"/>
      <w:bookmarkStart w:id="305" w:name="_Toc11709"/>
      <w:bookmarkStart w:id="306" w:name="_Toc12070"/>
      <w:bookmarkStart w:id="307" w:name="_Toc19834"/>
      <w:bookmarkStart w:id="308" w:name="_Toc11348"/>
      <w:bookmarkStart w:id="309" w:name="_Toc8665"/>
      <w:bookmarkStart w:id="310" w:name="_Toc7250"/>
      <w:bookmarkStart w:id="311" w:name="_Toc952256997"/>
      <w:bookmarkStart w:id="312" w:name="_Toc21046"/>
      <w:bookmarkStart w:id="313" w:name="_Toc10313"/>
      <w:bookmarkStart w:id="314" w:name="_Toc6754"/>
      <w:bookmarkStart w:id="315" w:name="_Toc14228"/>
      <w:bookmarkStart w:id="316" w:name="_Toc25725"/>
      <w:bookmarkStart w:id="317" w:name="_Toc9656"/>
      <w:bookmarkStart w:id="318" w:name="_Toc22191"/>
      <w:bookmarkStart w:id="319" w:name="_Toc15056"/>
      <w:bookmarkStart w:id="320" w:name="_Toc6383"/>
      <w:bookmarkStart w:id="321" w:name="_Toc92706647"/>
      <w:bookmarkStart w:id="322" w:name="_Toc157"/>
      <w:bookmarkStart w:id="323" w:name="_Toc10962"/>
      <w:r>
        <w:rPr>
          <w:rFonts w:hint="eastAsia" w:ascii="楷体" w:hAnsi="楷体" w:eastAsia="楷体"/>
          <w:b/>
          <w:sz w:val="32"/>
          <w:szCs w:val="32"/>
        </w:rPr>
        <w:t>（三）“多点</w:t>
      </w:r>
      <w:bookmarkEnd w:id="296"/>
      <w:bookmarkEnd w:id="297"/>
      <w:bookmarkEnd w:id="298"/>
      <w:bookmarkEnd w:id="299"/>
      <w:r>
        <w:rPr>
          <w:rFonts w:hint="eastAsia" w:ascii="楷体" w:hAnsi="楷体" w:eastAsia="楷体"/>
          <w:b/>
          <w:sz w:val="32"/>
          <w:szCs w:val="32"/>
        </w:rPr>
        <w:t>”辐射</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adjustRightInd w:val="0"/>
        <w:snapToGrid w:val="0"/>
        <w:spacing w:line="560" w:lineRule="exact"/>
        <w:ind w:left="2" w:firstLine="540" w:firstLineChars="168"/>
        <w:jc w:val="left"/>
        <w:outlineLvl w:val="2"/>
        <w:rPr>
          <w:rFonts w:eastAsia="仿宋"/>
          <w:sz w:val="32"/>
          <w:szCs w:val="32"/>
        </w:rPr>
      </w:pPr>
      <w:bookmarkStart w:id="324" w:name="_Toc3265"/>
      <w:bookmarkStart w:id="325" w:name="_Toc207748946"/>
      <w:bookmarkStart w:id="326" w:name="_Toc1164382469"/>
      <w:bookmarkStart w:id="327" w:name="_Toc1190145645"/>
      <w:bookmarkStart w:id="328" w:name="_Toc27056"/>
      <w:bookmarkStart w:id="329" w:name="_Toc2002186934"/>
      <w:bookmarkStart w:id="330" w:name="_Toc2073169153"/>
      <w:bookmarkStart w:id="331" w:name="_Toc1108990992"/>
      <w:bookmarkStart w:id="332" w:name="_Toc21128"/>
      <w:r>
        <w:rPr>
          <w:rFonts w:eastAsia="仿宋"/>
          <w:b/>
          <w:bCs/>
          <w:sz w:val="32"/>
          <w:szCs w:val="32"/>
        </w:rPr>
        <w:t>1</w:t>
      </w:r>
      <w:r>
        <w:rPr>
          <w:rFonts w:hint="eastAsia" w:eastAsia="仿宋"/>
          <w:b/>
          <w:bCs/>
          <w:sz w:val="32"/>
          <w:szCs w:val="32"/>
        </w:rPr>
        <w:t>.</w:t>
      </w:r>
      <w:r>
        <w:rPr>
          <w:rFonts w:eastAsia="仿宋"/>
          <w:b/>
          <w:bCs/>
          <w:sz w:val="32"/>
          <w:szCs w:val="32"/>
        </w:rPr>
        <w:t xml:space="preserve"> </w:t>
      </w:r>
      <w:r>
        <w:rPr>
          <w:rFonts w:hint="eastAsia" w:eastAsia="仿宋"/>
          <w:b/>
          <w:bCs/>
          <w:sz w:val="32"/>
          <w:szCs w:val="32"/>
        </w:rPr>
        <w:t>循环工业</w:t>
      </w:r>
      <w:bookmarkEnd w:id="324"/>
      <w:bookmarkEnd w:id="325"/>
      <w:bookmarkEnd w:id="326"/>
      <w:bookmarkEnd w:id="327"/>
      <w:r>
        <w:rPr>
          <w:rFonts w:hint="eastAsia" w:eastAsia="仿宋"/>
          <w:b/>
          <w:bCs/>
          <w:sz w:val="32"/>
          <w:szCs w:val="32"/>
        </w:rPr>
        <w:t>园</w:t>
      </w:r>
      <w:bookmarkEnd w:id="328"/>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实施园区循环化改造</w:t>
      </w:r>
      <w:r>
        <w:rPr>
          <w:rFonts w:eastAsia="仿宋"/>
          <w:sz w:val="32"/>
          <w:szCs w:val="32"/>
        </w:rPr>
        <w:t>，</w:t>
      </w:r>
      <w:r>
        <w:rPr>
          <w:rFonts w:hint="eastAsia" w:eastAsia="仿宋"/>
          <w:sz w:val="32"/>
          <w:szCs w:val="32"/>
        </w:rPr>
        <w:t>推进产业链接循环化改造</w:t>
      </w:r>
      <w:r>
        <w:rPr>
          <w:rFonts w:eastAsia="仿宋"/>
          <w:sz w:val="32"/>
          <w:szCs w:val="32"/>
        </w:rPr>
        <w:t>、</w:t>
      </w:r>
      <w:r>
        <w:rPr>
          <w:rFonts w:hint="eastAsia" w:eastAsia="仿宋"/>
          <w:sz w:val="32"/>
          <w:szCs w:val="32"/>
        </w:rPr>
        <w:t>资源利用高效化改造</w:t>
      </w:r>
      <w:r>
        <w:rPr>
          <w:rFonts w:eastAsia="仿宋"/>
          <w:sz w:val="32"/>
          <w:szCs w:val="32"/>
        </w:rPr>
        <w:t>、</w:t>
      </w:r>
      <w:r>
        <w:rPr>
          <w:rFonts w:hint="eastAsia" w:eastAsia="仿宋"/>
          <w:sz w:val="32"/>
          <w:szCs w:val="32"/>
        </w:rPr>
        <w:t>污染治理集中化改造</w:t>
      </w:r>
      <w:r>
        <w:rPr>
          <w:rFonts w:eastAsia="仿宋"/>
          <w:sz w:val="32"/>
          <w:szCs w:val="32"/>
        </w:rPr>
        <w:t>、</w:t>
      </w:r>
      <w:r>
        <w:rPr>
          <w:rFonts w:hint="eastAsia" w:eastAsia="仿宋"/>
          <w:sz w:val="32"/>
          <w:szCs w:val="32"/>
        </w:rPr>
        <w:t>重点行业清洁生产改造</w:t>
      </w:r>
      <w:r>
        <w:rPr>
          <w:rFonts w:eastAsia="仿宋"/>
          <w:sz w:val="32"/>
          <w:szCs w:val="32"/>
        </w:rPr>
        <w:t>，</w:t>
      </w:r>
      <w:r>
        <w:rPr>
          <w:rFonts w:hint="eastAsia" w:eastAsia="仿宋"/>
          <w:sz w:val="32"/>
          <w:szCs w:val="32"/>
        </w:rPr>
        <w:t>构建工业循环经济产业链，推动资源高效利用、综合利用</w:t>
      </w:r>
      <w:r>
        <w:rPr>
          <w:rFonts w:eastAsia="仿宋"/>
          <w:sz w:val="32"/>
          <w:szCs w:val="32"/>
        </w:rPr>
        <w:t>。</w:t>
      </w:r>
      <w:r>
        <w:rPr>
          <w:rFonts w:hint="eastAsia" w:eastAsia="仿宋"/>
          <w:sz w:val="32"/>
          <w:szCs w:val="32"/>
        </w:rPr>
        <w:t>继续改造落后工艺，淘汰落后设备，引进先进技术，推动节能降碳，</w:t>
      </w:r>
      <w:r>
        <w:rPr>
          <w:rFonts w:eastAsia="仿宋"/>
          <w:sz w:val="32"/>
          <w:szCs w:val="32"/>
        </w:rPr>
        <w:t>促进企业循环式生产、园区循环式发展、产业循环式组合，实现能源梯级利用、水资源循环利用、废物交换利用等，有效提高园区能源与资源的利用效率。</w:t>
      </w:r>
      <w:bookmarkStart w:id="333" w:name="_Toc1905165019"/>
      <w:bookmarkStart w:id="334" w:name="_Toc1975609047"/>
      <w:bookmarkStart w:id="335" w:name="_Toc25878"/>
      <w:bookmarkStart w:id="336" w:name="_Toc1115167357"/>
    </w:p>
    <w:p>
      <w:pPr>
        <w:adjustRightInd w:val="0"/>
        <w:snapToGrid w:val="0"/>
        <w:spacing w:line="560" w:lineRule="exact"/>
        <w:ind w:left="2" w:firstLine="540" w:firstLineChars="168"/>
        <w:jc w:val="left"/>
        <w:outlineLvl w:val="2"/>
        <w:rPr>
          <w:rFonts w:eastAsia="仿宋"/>
          <w:b/>
          <w:bCs/>
          <w:sz w:val="32"/>
          <w:szCs w:val="32"/>
        </w:rPr>
      </w:pPr>
      <w:bookmarkStart w:id="337" w:name="_Toc26902"/>
      <w:r>
        <w:rPr>
          <w:rFonts w:hint="eastAsia" w:eastAsia="仿宋"/>
          <w:b/>
          <w:bCs/>
          <w:sz w:val="32"/>
          <w:szCs w:val="32"/>
        </w:rPr>
        <w:t>2.</w:t>
      </w:r>
      <w:r>
        <w:rPr>
          <w:rFonts w:eastAsia="仿宋"/>
          <w:b/>
          <w:bCs/>
          <w:sz w:val="32"/>
          <w:szCs w:val="32"/>
        </w:rPr>
        <w:t xml:space="preserve"> </w:t>
      </w:r>
      <w:r>
        <w:rPr>
          <w:rFonts w:hint="eastAsia" w:eastAsia="仿宋"/>
          <w:b/>
          <w:bCs/>
          <w:sz w:val="32"/>
          <w:szCs w:val="32"/>
        </w:rPr>
        <w:t>循环经济产业园</w:t>
      </w:r>
      <w:bookmarkEnd w:id="333"/>
      <w:bookmarkEnd w:id="334"/>
      <w:bookmarkEnd w:id="335"/>
      <w:bookmarkEnd w:id="336"/>
      <w:bookmarkEnd w:id="337"/>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围绕国家资源循环利用基地的建设</w:t>
      </w:r>
      <w:r>
        <w:rPr>
          <w:rFonts w:eastAsia="仿宋"/>
          <w:sz w:val="32"/>
          <w:szCs w:val="32"/>
        </w:rPr>
        <w:t>，</w:t>
      </w:r>
      <w:r>
        <w:rPr>
          <w:rFonts w:hint="eastAsia" w:eastAsia="仿宋"/>
          <w:sz w:val="32"/>
          <w:szCs w:val="32"/>
        </w:rPr>
        <w:t>统筹规划建设若干循环经济产业园</w:t>
      </w:r>
      <w:r>
        <w:rPr>
          <w:rFonts w:eastAsia="仿宋"/>
          <w:sz w:val="32"/>
          <w:szCs w:val="32"/>
        </w:rPr>
        <w:t>，</w:t>
      </w:r>
      <w:r>
        <w:rPr>
          <w:rFonts w:hint="eastAsia" w:eastAsia="仿宋"/>
          <w:sz w:val="32"/>
          <w:szCs w:val="32"/>
        </w:rPr>
        <w:t>重点</w:t>
      </w:r>
      <w:r>
        <w:rPr>
          <w:rFonts w:eastAsia="仿宋"/>
          <w:sz w:val="32"/>
          <w:szCs w:val="32"/>
        </w:rPr>
        <w:t>推进</w:t>
      </w:r>
      <w:r>
        <w:rPr>
          <w:rFonts w:hint="eastAsia" w:eastAsia="仿宋"/>
          <w:sz w:val="32"/>
          <w:szCs w:val="32"/>
        </w:rPr>
        <w:t>以</w:t>
      </w:r>
      <w:r>
        <w:rPr>
          <w:rFonts w:eastAsia="仿宋"/>
          <w:sz w:val="32"/>
          <w:szCs w:val="32"/>
        </w:rPr>
        <w:t>生活垃圾焚烧发电为主的循环经济产业园</w:t>
      </w:r>
      <w:r>
        <w:rPr>
          <w:rFonts w:hint="eastAsia" w:eastAsia="仿宋"/>
          <w:sz w:val="32"/>
          <w:szCs w:val="32"/>
        </w:rPr>
        <w:t>建设</w:t>
      </w:r>
      <w:r>
        <w:rPr>
          <w:rFonts w:eastAsia="仿宋"/>
          <w:sz w:val="32"/>
          <w:szCs w:val="32"/>
        </w:rPr>
        <w:t>，</w:t>
      </w:r>
      <w:r>
        <w:rPr>
          <w:rFonts w:hint="eastAsia" w:eastAsia="仿宋"/>
          <w:sz w:val="32"/>
          <w:szCs w:val="32"/>
        </w:rPr>
        <w:t>构建以废旧物资和典型废弃物为重点的可再生、可利用资源综合利用产业链。按时完成南宁市双定循环经济产业园一期建设</w:t>
      </w:r>
      <w:r>
        <w:rPr>
          <w:rFonts w:eastAsia="仿宋"/>
          <w:sz w:val="32"/>
          <w:szCs w:val="32"/>
        </w:rPr>
        <w:t>，</w:t>
      </w:r>
      <w:r>
        <w:rPr>
          <w:rFonts w:hint="eastAsia" w:eastAsia="仿宋"/>
          <w:sz w:val="32"/>
          <w:szCs w:val="32"/>
        </w:rPr>
        <w:t>适时启动二期建设</w:t>
      </w:r>
      <w:r>
        <w:rPr>
          <w:rFonts w:eastAsia="仿宋"/>
          <w:sz w:val="32"/>
          <w:szCs w:val="32"/>
        </w:rPr>
        <w:t>，</w:t>
      </w:r>
      <w:r>
        <w:rPr>
          <w:rFonts w:hint="eastAsia" w:eastAsia="仿宋"/>
          <w:sz w:val="32"/>
          <w:szCs w:val="32"/>
        </w:rPr>
        <w:t>构建集生活垃圾</w:t>
      </w:r>
      <w:r>
        <w:rPr>
          <w:rFonts w:eastAsia="仿宋"/>
          <w:sz w:val="32"/>
          <w:szCs w:val="32"/>
        </w:rPr>
        <w:t>、</w:t>
      </w:r>
      <w:r>
        <w:rPr>
          <w:rFonts w:hint="eastAsia" w:eastAsia="仿宋"/>
          <w:sz w:val="32"/>
          <w:szCs w:val="32"/>
        </w:rPr>
        <w:t>有机垃圾</w:t>
      </w:r>
      <w:r>
        <w:rPr>
          <w:rFonts w:eastAsia="仿宋"/>
          <w:sz w:val="32"/>
          <w:szCs w:val="32"/>
        </w:rPr>
        <w:t>、</w:t>
      </w:r>
      <w:r>
        <w:rPr>
          <w:rFonts w:hint="eastAsia" w:eastAsia="仿宋"/>
          <w:sz w:val="32"/>
          <w:szCs w:val="32"/>
        </w:rPr>
        <w:t>污泥</w:t>
      </w:r>
      <w:r>
        <w:rPr>
          <w:rFonts w:eastAsia="仿宋"/>
          <w:sz w:val="32"/>
          <w:szCs w:val="32"/>
        </w:rPr>
        <w:t>、</w:t>
      </w:r>
      <w:r>
        <w:rPr>
          <w:rFonts w:hint="eastAsia" w:eastAsia="仿宋"/>
          <w:sz w:val="32"/>
          <w:szCs w:val="32"/>
        </w:rPr>
        <w:t>有害垃圾</w:t>
      </w:r>
      <w:r>
        <w:rPr>
          <w:rFonts w:eastAsia="仿宋"/>
          <w:sz w:val="32"/>
          <w:szCs w:val="32"/>
        </w:rPr>
        <w:t>、</w:t>
      </w:r>
      <w:r>
        <w:rPr>
          <w:rFonts w:hint="eastAsia" w:eastAsia="仿宋"/>
          <w:sz w:val="32"/>
          <w:szCs w:val="32"/>
          <w:lang w:eastAsia="zh-Hans"/>
        </w:rPr>
        <w:t>一般</w:t>
      </w:r>
      <w:r>
        <w:rPr>
          <w:rFonts w:hint="eastAsia" w:eastAsia="仿宋"/>
          <w:sz w:val="32"/>
          <w:szCs w:val="32"/>
        </w:rPr>
        <w:t>废弃物</w:t>
      </w:r>
      <w:r>
        <w:rPr>
          <w:rFonts w:eastAsia="仿宋"/>
          <w:sz w:val="32"/>
          <w:szCs w:val="32"/>
        </w:rPr>
        <w:t>、</w:t>
      </w:r>
      <w:r>
        <w:rPr>
          <w:rFonts w:hint="eastAsia" w:eastAsia="仿宋"/>
          <w:sz w:val="32"/>
          <w:szCs w:val="32"/>
        </w:rPr>
        <w:t>炉渣等处理设施于一体的循环经济产业园</w:t>
      </w:r>
      <w:r>
        <w:rPr>
          <w:rFonts w:eastAsia="仿宋"/>
          <w:sz w:val="32"/>
          <w:szCs w:val="32"/>
        </w:rPr>
        <w:t>。</w:t>
      </w:r>
      <w:r>
        <w:rPr>
          <w:rFonts w:hint="eastAsia" w:eastAsia="仿宋"/>
          <w:sz w:val="32"/>
          <w:szCs w:val="32"/>
        </w:rPr>
        <w:t>积极推进江南循环经济产业园建设研究和规划选址，争取尽早启动建设。</w:t>
      </w:r>
    </w:p>
    <w:p>
      <w:pPr>
        <w:adjustRightInd w:val="0"/>
        <w:snapToGrid w:val="0"/>
        <w:spacing w:line="560" w:lineRule="exact"/>
        <w:ind w:left="2" w:firstLine="540" w:firstLineChars="168"/>
        <w:jc w:val="left"/>
        <w:outlineLvl w:val="2"/>
        <w:rPr>
          <w:rFonts w:eastAsia="仿宋"/>
          <w:b/>
          <w:bCs/>
          <w:sz w:val="32"/>
          <w:szCs w:val="32"/>
        </w:rPr>
      </w:pPr>
      <w:bookmarkStart w:id="338" w:name="_Toc1527981730"/>
      <w:bookmarkStart w:id="339" w:name="_Toc1127297563"/>
      <w:bookmarkStart w:id="340" w:name="_Toc1816586662"/>
      <w:bookmarkStart w:id="341" w:name="_Toc15641"/>
      <w:bookmarkStart w:id="342" w:name="_Toc15656"/>
      <w:r>
        <w:rPr>
          <w:rFonts w:hint="eastAsia" w:eastAsia="仿宋"/>
          <w:b/>
          <w:bCs/>
          <w:sz w:val="32"/>
          <w:szCs w:val="32"/>
        </w:rPr>
        <w:t>3.</w:t>
      </w:r>
      <w:r>
        <w:rPr>
          <w:rFonts w:eastAsia="仿宋"/>
          <w:b/>
          <w:bCs/>
          <w:sz w:val="32"/>
          <w:szCs w:val="32"/>
        </w:rPr>
        <w:t xml:space="preserve"> </w:t>
      </w:r>
      <w:r>
        <w:rPr>
          <w:rFonts w:hint="eastAsia" w:eastAsia="仿宋"/>
          <w:b/>
          <w:bCs/>
          <w:sz w:val="32"/>
          <w:szCs w:val="32"/>
        </w:rPr>
        <w:t>循环农业园</w:t>
      </w:r>
      <w:bookmarkEnd w:id="338"/>
      <w:bookmarkEnd w:id="339"/>
      <w:bookmarkEnd w:id="340"/>
      <w:bookmarkEnd w:id="341"/>
      <w:bookmarkEnd w:id="342"/>
    </w:p>
    <w:p>
      <w:pPr>
        <w:adjustRightInd w:val="0"/>
        <w:snapToGrid w:val="0"/>
        <w:spacing w:line="560" w:lineRule="exact"/>
        <w:ind w:left="2" w:firstLine="537" w:firstLineChars="168"/>
        <w:jc w:val="left"/>
        <w:rPr>
          <w:rFonts w:eastAsia="仿宋"/>
          <w:sz w:val="32"/>
          <w:szCs w:val="32"/>
        </w:rPr>
        <w:sectPr>
          <w:footerReference r:id="rId4" w:type="first"/>
          <w:footerReference r:id="rId3" w:type="default"/>
          <w:pgSz w:w="11906" w:h="16838"/>
          <w:pgMar w:top="1417" w:right="1531" w:bottom="1417" w:left="1531" w:header="851" w:footer="992" w:gutter="0"/>
          <w:pgNumType w:start="2"/>
          <w:cols w:space="720" w:num="1"/>
          <w:docGrid w:type="lines" w:linePitch="312" w:charSpace="0"/>
        </w:sectPr>
      </w:pPr>
      <w:r>
        <w:rPr>
          <w:rFonts w:hint="eastAsia" w:eastAsia="仿宋"/>
          <w:sz w:val="32"/>
          <w:szCs w:val="32"/>
        </w:rPr>
        <w:t>依托现代农业园区</w:t>
      </w:r>
      <w:r>
        <w:rPr>
          <w:rFonts w:eastAsia="仿宋"/>
          <w:sz w:val="32"/>
          <w:szCs w:val="32"/>
        </w:rPr>
        <w:t>，</w:t>
      </w:r>
      <w:r>
        <w:rPr>
          <w:rFonts w:hint="eastAsia" w:eastAsia="仿宋"/>
          <w:sz w:val="32"/>
          <w:szCs w:val="32"/>
        </w:rPr>
        <w:t>大力发展生态养殖</w:t>
      </w:r>
      <w:r>
        <w:rPr>
          <w:rFonts w:eastAsia="仿宋"/>
          <w:sz w:val="32"/>
          <w:szCs w:val="32"/>
        </w:rPr>
        <w:t>、</w:t>
      </w:r>
      <w:r>
        <w:rPr>
          <w:rFonts w:hint="eastAsia" w:eastAsia="仿宋"/>
          <w:sz w:val="32"/>
          <w:szCs w:val="32"/>
        </w:rPr>
        <w:t>生态种植</w:t>
      </w:r>
      <w:r>
        <w:rPr>
          <w:rFonts w:eastAsia="仿宋"/>
          <w:sz w:val="32"/>
          <w:szCs w:val="32"/>
        </w:rPr>
        <w:t>、</w:t>
      </w:r>
      <w:r>
        <w:rPr>
          <w:rFonts w:hint="eastAsia" w:eastAsia="仿宋"/>
          <w:sz w:val="32"/>
          <w:szCs w:val="32"/>
        </w:rPr>
        <w:t>节水农业等生态循环农业</w:t>
      </w:r>
      <w:r>
        <w:rPr>
          <w:rFonts w:eastAsia="仿宋"/>
          <w:sz w:val="32"/>
          <w:szCs w:val="32"/>
        </w:rPr>
        <w:t>。</w:t>
      </w:r>
      <w:r>
        <w:rPr>
          <w:rFonts w:hint="eastAsia" w:eastAsia="仿宋"/>
          <w:sz w:val="32"/>
          <w:szCs w:val="32"/>
        </w:rPr>
        <w:t>大力发展林业循环经济，实施森林生态标志产品建设工程</w:t>
      </w:r>
      <w:r>
        <w:rPr>
          <w:rFonts w:eastAsia="仿宋"/>
          <w:sz w:val="32"/>
          <w:szCs w:val="32"/>
        </w:rPr>
        <w:t>，</w:t>
      </w:r>
      <w:r>
        <w:rPr>
          <w:rFonts w:hint="eastAsia" w:eastAsia="仿宋"/>
          <w:sz w:val="32"/>
          <w:szCs w:val="32"/>
        </w:rPr>
        <w:t>积极推进林业循环产业园区建设和发展</w:t>
      </w:r>
      <w:r>
        <w:rPr>
          <w:rFonts w:eastAsia="仿宋"/>
          <w:sz w:val="32"/>
          <w:szCs w:val="32"/>
        </w:rPr>
        <w:t>。</w:t>
      </w:r>
      <w:r>
        <w:rPr>
          <w:rFonts w:hint="eastAsia" w:eastAsia="仿宋"/>
          <w:sz w:val="32"/>
          <w:szCs w:val="32"/>
        </w:rPr>
        <w:t>积极探索推进采取种养加功能复合</w:t>
      </w:r>
      <w:r>
        <w:rPr>
          <w:rFonts w:eastAsia="仿宋"/>
          <w:sz w:val="32"/>
          <w:szCs w:val="32"/>
        </w:rPr>
        <w:t>、</w:t>
      </w:r>
      <w:r>
        <w:rPr>
          <w:rFonts w:hint="eastAsia" w:eastAsia="仿宋"/>
          <w:sz w:val="32"/>
          <w:szCs w:val="32"/>
        </w:rPr>
        <w:t>立体复合循环</w:t>
      </w:r>
      <w:r>
        <w:rPr>
          <w:rFonts w:eastAsia="仿宋"/>
          <w:sz w:val="32"/>
          <w:szCs w:val="32"/>
        </w:rPr>
        <w:t>、</w:t>
      </w:r>
      <w:r>
        <w:rPr>
          <w:rFonts w:hint="eastAsia" w:eastAsia="仿宋"/>
          <w:sz w:val="32"/>
          <w:szCs w:val="32"/>
        </w:rPr>
        <w:t>以秸秆</w:t>
      </w:r>
      <w:r>
        <w:rPr>
          <w:rFonts w:hint="eastAsia" w:eastAsia="仿宋"/>
          <w:sz w:val="32"/>
          <w:szCs w:val="32"/>
          <w:lang w:eastAsia="zh-Hans"/>
        </w:rPr>
        <w:t>资源综合利用</w:t>
      </w:r>
      <w:r>
        <w:rPr>
          <w:rFonts w:hint="eastAsia" w:eastAsia="仿宋"/>
          <w:sz w:val="32"/>
          <w:szCs w:val="32"/>
        </w:rPr>
        <w:t>为纽带的循环</w:t>
      </w:r>
      <w:r>
        <w:rPr>
          <w:rFonts w:eastAsia="仿宋"/>
          <w:sz w:val="32"/>
          <w:szCs w:val="32"/>
        </w:rPr>
        <w:t>、</w:t>
      </w:r>
      <w:r>
        <w:rPr>
          <w:rFonts w:hint="eastAsia" w:eastAsia="仿宋"/>
          <w:sz w:val="32"/>
          <w:szCs w:val="32"/>
        </w:rPr>
        <w:t>以禽畜</w:t>
      </w:r>
      <w:r>
        <w:rPr>
          <w:rFonts w:hint="eastAsia" w:eastAsia="仿宋"/>
          <w:sz w:val="32"/>
          <w:szCs w:val="32"/>
          <w:lang w:eastAsia="zh-Hans"/>
        </w:rPr>
        <w:t>废弃物资源化利用</w:t>
      </w:r>
      <w:r>
        <w:rPr>
          <w:rFonts w:hint="eastAsia" w:eastAsia="仿宋"/>
          <w:sz w:val="32"/>
          <w:szCs w:val="32"/>
        </w:rPr>
        <w:t>为纽带的循环等模式</w:t>
      </w:r>
      <w:r>
        <w:rPr>
          <w:rFonts w:eastAsia="仿宋"/>
          <w:sz w:val="32"/>
          <w:szCs w:val="32"/>
        </w:rPr>
        <w:t>，</w:t>
      </w:r>
      <w:r>
        <w:rPr>
          <w:rFonts w:hint="eastAsia" w:eastAsia="仿宋"/>
          <w:sz w:val="32"/>
          <w:szCs w:val="32"/>
        </w:rPr>
        <w:t>推动</w:t>
      </w:r>
      <w:r>
        <w:rPr>
          <w:rFonts w:eastAsia="仿宋"/>
          <w:sz w:val="32"/>
          <w:szCs w:val="32"/>
        </w:rPr>
        <w:t>种植业、畜牧业、渔业等与加工业有机联系，</w:t>
      </w:r>
      <w:r>
        <w:rPr>
          <w:rFonts w:hint="eastAsia" w:eastAsia="仿宋"/>
          <w:sz w:val="32"/>
          <w:szCs w:val="32"/>
        </w:rPr>
        <w:t>促进</w:t>
      </w:r>
      <w:r>
        <w:rPr>
          <w:rFonts w:eastAsia="仿宋"/>
          <w:sz w:val="32"/>
          <w:szCs w:val="32"/>
        </w:rPr>
        <w:t>农林牧副渔多模块间形成整体生态链</w:t>
      </w:r>
      <w:r>
        <w:rPr>
          <w:rFonts w:hint="eastAsia" w:eastAsia="仿宋"/>
          <w:sz w:val="32"/>
          <w:szCs w:val="32"/>
        </w:rPr>
        <w:t>，构建农业与其他产业相互耦合的循环经济产业链</w:t>
      </w:r>
      <w:r>
        <w:rPr>
          <w:rFonts w:eastAsia="仿宋"/>
          <w:sz w:val="32"/>
          <w:szCs w:val="32"/>
        </w:rPr>
        <w:t>。</w:t>
      </w:r>
      <w:bookmarkEnd w:id="329"/>
      <w:bookmarkEnd w:id="330"/>
      <w:bookmarkEnd w:id="331"/>
      <w:bookmarkEnd w:id="332"/>
    </w:p>
    <w:p>
      <w:pPr>
        <w:jc w:val="center"/>
        <w:sectPr>
          <w:pgSz w:w="16838" w:h="11906" w:orient="landscape"/>
          <w:pgMar w:top="1418" w:right="1588" w:bottom="1985" w:left="1588" w:header="851" w:footer="992" w:gutter="0"/>
          <w:cols w:space="720" w:num="1"/>
          <w:docGrid w:linePitch="312" w:charSpace="0"/>
        </w:sectPr>
      </w:pPr>
      <w:r>
        <w:drawing>
          <wp:inline distT="0" distB="0" distL="114300" distR="114300">
            <wp:extent cx="7566660" cy="5376545"/>
            <wp:effectExtent l="0" t="0" r="15240" b="14605"/>
            <wp:docPr id="2" name="图片 1"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33"/>
                    <pic:cNvPicPr>
                      <a:picLocks noChangeAspect="1"/>
                    </pic:cNvPicPr>
                  </pic:nvPicPr>
                  <pic:blipFill>
                    <a:blip r:embed="rId6"/>
                    <a:stretch>
                      <a:fillRect/>
                    </a:stretch>
                  </pic:blipFill>
                  <pic:spPr>
                    <a:xfrm>
                      <a:off x="0" y="0"/>
                      <a:ext cx="7566660" cy="5376545"/>
                    </a:xfrm>
                    <a:prstGeom prst="rect">
                      <a:avLst/>
                    </a:prstGeom>
                    <a:noFill/>
                    <a:ln>
                      <a:noFill/>
                    </a:ln>
                  </pic:spPr>
                </pic:pic>
              </a:graphicData>
            </a:graphic>
          </wp:inline>
        </w:drawing>
      </w:r>
    </w:p>
    <w:p>
      <w:pPr>
        <w:spacing w:before="120" w:beforeLines="50" w:line="560" w:lineRule="exact"/>
        <w:ind w:firstLine="640" w:firstLineChars="200"/>
        <w:jc w:val="left"/>
        <w:outlineLvl w:val="0"/>
        <w:rPr>
          <w:rFonts w:ascii="黑体" w:hAnsi="黑体" w:eastAsia="黑体"/>
          <w:sz w:val="32"/>
          <w:szCs w:val="32"/>
        </w:rPr>
      </w:pPr>
      <w:bookmarkStart w:id="343" w:name="pindex234"/>
      <w:bookmarkEnd w:id="343"/>
      <w:bookmarkStart w:id="344" w:name="_Toc28083"/>
      <w:bookmarkStart w:id="345" w:name="_Toc350882301"/>
      <w:bookmarkStart w:id="346" w:name="_Toc1441"/>
      <w:bookmarkStart w:id="347" w:name="_Toc1529120304"/>
      <w:bookmarkStart w:id="348" w:name="_Toc750631677"/>
      <w:bookmarkStart w:id="349" w:name="_Toc19177"/>
      <w:bookmarkStart w:id="350" w:name="_Toc30556"/>
      <w:bookmarkStart w:id="351" w:name="_Toc19819"/>
      <w:bookmarkStart w:id="352" w:name="_Toc1535211135"/>
      <w:bookmarkStart w:id="353" w:name="_Toc9830"/>
      <w:bookmarkStart w:id="354" w:name="_Toc14582"/>
      <w:bookmarkStart w:id="355" w:name="_Toc7133"/>
      <w:bookmarkStart w:id="356" w:name="_Toc32474"/>
      <w:bookmarkStart w:id="357" w:name="_Toc30553"/>
      <w:bookmarkStart w:id="358" w:name="_Toc29378"/>
      <w:bookmarkStart w:id="359" w:name="_Toc10560"/>
      <w:bookmarkStart w:id="360" w:name="_Toc92706648"/>
      <w:bookmarkStart w:id="361" w:name="_Toc20477"/>
      <w:bookmarkStart w:id="362" w:name="_Toc7364"/>
      <w:bookmarkStart w:id="363" w:name="_Toc10757"/>
      <w:bookmarkStart w:id="364" w:name="_Toc10991"/>
      <w:bookmarkStart w:id="365" w:name="_Toc27170"/>
      <w:bookmarkStart w:id="366" w:name="_Toc5275"/>
      <w:bookmarkStart w:id="367" w:name="_Toc28257"/>
      <w:bookmarkStart w:id="368" w:name="_Toc11911"/>
      <w:bookmarkStart w:id="369" w:name="_Toc18766"/>
      <w:bookmarkStart w:id="370" w:name="_Toc16284"/>
      <w:bookmarkStart w:id="371" w:name="_Toc11057"/>
      <w:r>
        <w:rPr>
          <w:rFonts w:hint="eastAsia" w:ascii="黑体" w:hAnsi="黑体" w:eastAsia="黑体"/>
          <w:sz w:val="32"/>
          <w:szCs w:val="32"/>
        </w:rPr>
        <w:t>四、</w:t>
      </w:r>
      <w:bookmarkEnd w:id="344"/>
      <w:bookmarkEnd w:id="345"/>
      <w:bookmarkEnd w:id="346"/>
      <w:bookmarkEnd w:id="347"/>
      <w:bookmarkEnd w:id="348"/>
      <w:bookmarkStart w:id="372" w:name="pindex235"/>
      <w:bookmarkEnd w:id="372"/>
      <w:r>
        <w:rPr>
          <w:rFonts w:hint="eastAsia" w:ascii="黑体" w:hAnsi="黑体" w:eastAsia="黑体"/>
          <w:sz w:val="32"/>
          <w:szCs w:val="32"/>
        </w:rPr>
        <w:t>重点任务</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adjustRightInd w:val="0"/>
        <w:snapToGrid w:val="0"/>
        <w:spacing w:line="560" w:lineRule="exact"/>
        <w:ind w:left="319" w:leftChars="152" w:firstLine="318" w:firstLineChars="99"/>
        <w:jc w:val="left"/>
        <w:outlineLvl w:val="1"/>
        <w:rPr>
          <w:rFonts w:ascii="楷体" w:hAnsi="楷体" w:eastAsia="楷体"/>
          <w:b/>
          <w:sz w:val="32"/>
          <w:szCs w:val="32"/>
        </w:rPr>
      </w:pPr>
      <w:bookmarkStart w:id="373" w:name="_Toc1547652861"/>
      <w:bookmarkStart w:id="374" w:name="_Toc288738245"/>
      <w:bookmarkStart w:id="375" w:name="_Toc988145679"/>
      <w:bookmarkStart w:id="376" w:name="_Toc27845"/>
      <w:bookmarkStart w:id="377" w:name="_Toc935"/>
      <w:bookmarkStart w:id="378" w:name="_Toc25087"/>
      <w:bookmarkStart w:id="379" w:name="_Toc30541"/>
      <w:bookmarkStart w:id="380" w:name="_Toc26627"/>
      <w:bookmarkStart w:id="381" w:name="_Toc17004"/>
      <w:bookmarkStart w:id="382" w:name="_Toc21343"/>
      <w:bookmarkStart w:id="383" w:name="_Toc11439"/>
      <w:bookmarkStart w:id="384" w:name="_Toc19804"/>
      <w:bookmarkStart w:id="385" w:name="_Toc21599"/>
      <w:bookmarkStart w:id="386" w:name="_Toc277527240"/>
      <w:bookmarkStart w:id="387" w:name="_Toc16650"/>
      <w:bookmarkStart w:id="388" w:name="_Toc18332"/>
      <w:bookmarkStart w:id="389" w:name="_Toc20814"/>
      <w:bookmarkStart w:id="390" w:name="_Toc19580"/>
      <w:bookmarkStart w:id="391" w:name="_Toc14170"/>
      <w:bookmarkStart w:id="392" w:name="_Toc31687"/>
      <w:bookmarkStart w:id="393" w:name="_Toc8506"/>
      <w:bookmarkStart w:id="394" w:name="_Toc22421"/>
      <w:bookmarkStart w:id="395" w:name="_Toc8397"/>
      <w:bookmarkStart w:id="396" w:name="_Toc3969"/>
      <w:bookmarkStart w:id="397" w:name="_Toc92706649"/>
      <w:bookmarkStart w:id="398" w:name="_Toc1396"/>
      <w:bookmarkStart w:id="399" w:name="_Toc6918"/>
      <w:bookmarkStart w:id="400" w:name="_Toc26509"/>
      <w:r>
        <w:rPr>
          <w:rFonts w:hint="eastAsia" w:ascii="楷体" w:hAnsi="楷体" w:eastAsia="楷体"/>
          <w:b/>
          <w:sz w:val="32"/>
          <w:szCs w:val="32"/>
        </w:rPr>
        <w:t>（一）</w:t>
      </w:r>
      <w:bookmarkEnd w:id="373"/>
      <w:bookmarkEnd w:id="374"/>
      <w:bookmarkEnd w:id="375"/>
      <w:bookmarkEnd w:id="376"/>
      <w:bookmarkEnd w:id="377"/>
      <w:r>
        <w:rPr>
          <w:rFonts w:hint="eastAsia" w:ascii="楷体" w:hAnsi="楷体" w:eastAsia="楷体"/>
          <w:b/>
          <w:sz w:val="32"/>
          <w:szCs w:val="32"/>
        </w:rPr>
        <w:t>构建现代化循环产业体系</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adjustRightInd w:val="0"/>
        <w:snapToGrid w:val="0"/>
        <w:spacing w:line="560" w:lineRule="exact"/>
        <w:ind w:left="2" w:firstLine="540" w:firstLineChars="168"/>
        <w:jc w:val="left"/>
        <w:rPr>
          <w:rFonts w:hint="eastAsia" w:eastAsia="仿宋"/>
          <w:b/>
          <w:bCs/>
          <w:sz w:val="32"/>
          <w:szCs w:val="32"/>
        </w:rPr>
      </w:pPr>
      <w:r>
        <w:rPr>
          <w:rFonts w:hint="eastAsia" w:eastAsia="仿宋"/>
          <w:b/>
          <w:bCs/>
          <w:sz w:val="32"/>
          <w:szCs w:val="32"/>
        </w:rPr>
        <w:t>1. 加快传统产业转型升级</w:t>
      </w:r>
    </w:p>
    <w:p>
      <w:pPr>
        <w:spacing w:line="560" w:lineRule="exact"/>
        <w:ind w:left="2" w:firstLine="537" w:firstLineChars="168"/>
        <w:jc w:val="left"/>
        <w:rPr>
          <w:rFonts w:eastAsia="仿宋"/>
          <w:sz w:val="32"/>
          <w:szCs w:val="32"/>
        </w:rPr>
      </w:pPr>
      <w:r>
        <w:rPr>
          <w:rFonts w:hint="eastAsia" w:eastAsia="仿宋"/>
          <w:sz w:val="32"/>
          <w:szCs w:val="32"/>
        </w:rPr>
        <w:t>进一步调整优化产业结构，坚决遏制“两高”项目盲目发展，加快淘汰落后低效产能。持续加强能耗双控工作，严格能效约束推动重点领域节能降碳，实施重点行业领域减污降碳行动，大力推动企业节能技术改造。对标国内外生产企业先进能效水平，聚焦制糖、非金属矿物制品业、电力热力生产和供应业、造纸和纸制品业、化学原料和原学制品制造业等重点能耗行业，推动实施节能降耗改造，提升资源能源利用效率。完成南宁市能源大数据综合服务平台建设，加强对重点用能单位能耗、水耗的智能化监测预警调度管理。依托优势资源，拉伸产业链条，降低对能源资源的过度依赖，提高资源产出率。到2025年，全市主要资源产出率累计提高20%。</w:t>
      </w:r>
    </w:p>
    <w:p>
      <w:pPr>
        <w:adjustRightInd w:val="0"/>
        <w:snapToGrid w:val="0"/>
        <w:spacing w:line="560" w:lineRule="exact"/>
        <w:ind w:left="2" w:firstLine="540" w:firstLineChars="168"/>
        <w:jc w:val="left"/>
        <w:rPr>
          <w:rFonts w:hint="eastAsia" w:eastAsia="仿宋"/>
          <w:b/>
          <w:bCs/>
          <w:sz w:val="32"/>
          <w:szCs w:val="32"/>
        </w:rPr>
      </w:pPr>
      <w:r>
        <w:rPr>
          <w:rFonts w:eastAsia="仿宋"/>
          <w:b/>
          <w:bCs/>
          <w:sz w:val="32"/>
          <w:szCs w:val="32"/>
        </w:rPr>
        <w:t>2</w:t>
      </w:r>
      <w:r>
        <w:rPr>
          <w:rFonts w:hint="eastAsia" w:eastAsia="仿宋"/>
          <w:b/>
          <w:bCs/>
          <w:sz w:val="32"/>
          <w:szCs w:val="32"/>
        </w:rPr>
        <w:t>. 强化重点行业清洁生产</w:t>
      </w:r>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积极推行清洁生产，重点在化工、造纸、水泥、制糖、酒精等行业领域推进清洁生产</w:t>
      </w:r>
      <w:r>
        <w:rPr>
          <w:rFonts w:eastAsia="仿宋"/>
          <w:sz w:val="32"/>
          <w:szCs w:val="32"/>
        </w:rPr>
        <w:t>，</w:t>
      </w:r>
      <w:r>
        <w:rPr>
          <w:rFonts w:hint="eastAsia" w:eastAsia="仿宋"/>
          <w:sz w:val="32"/>
          <w:szCs w:val="32"/>
        </w:rPr>
        <w:t>依法严格对“双超双有高耗能”企业实施强制性清洁生产审核，推动新建工业项目单位产品物耗、能耗、水耗等达到清洁生产国内先进水平。鼓励企业开展自愿性清洁生产</w:t>
      </w:r>
      <w:r>
        <w:rPr>
          <w:rFonts w:eastAsia="仿宋"/>
          <w:sz w:val="32"/>
          <w:szCs w:val="32"/>
        </w:rPr>
        <w:t>，支持重点行业企业实施清洁生产技术改造，加大落后和严重过剩产能淘汰力度。</w:t>
      </w:r>
      <w:r>
        <w:rPr>
          <w:rFonts w:hint="eastAsia" w:eastAsia="仿宋"/>
          <w:sz w:val="32"/>
          <w:szCs w:val="32"/>
        </w:rPr>
        <w:t>推进采用先进适用节能低碳环保科技替代或改造传统工业</w:t>
      </w:r>
      <w:r>
        <w:rPr>
          <w:rFonts w:eastAsia="仿宋"/>
          <w:sz w:val="32"/>
          <w:szCs w:val="32"/>
        </w:rPr>
        <w:t>，强化工业企业除尘脱硫脱硝设施建设，在火电、水泥等行业推行低碳燃烧技术，</w:t>
      </w:r>
      <w:r>
        <w:rPr>
          <w:rFonts w:hint="eastAsia" w:eastAsia="仿宋"/>
          <w:sz w:val="32"/>
          <w:szCs w:val="32"/>
        </w:rPr>
        <w:t>实现工业企业废弃物的“零排放”</w:t>
      </w:r>
      <w:r>
        <w:rPr>
          <w:rFonts w:eastAsia="仿宋"/>
          <w:sz w:val="32"/>
          <w:szCs w:val="32"/>
        </w:rPr>
        <w:t>。</w:t>
      </w:r>
      <w:r>
        <w:rPr>
          <w:rFonts w:hint="eastAsia" w:eastAsia="仿宋"/>
          <w:sz w:val="32"/>
          <w:szCs w:val="32"/>
        </w:rPr>
        <w:t>加快清洁生产技术创新、成果转化与标准体系建设，探索推进工业园区和行业清洁生产整体审核试点示范。</w:t>
      </w:r>
    </w:p>
    <w:p>
      <w:pPr>
        <w:adjustRightInd w:val="0"/>
        <w:snapToGrid w:val="0"/>
        <w:spacing w:line="560" w:lineRule="exact"/>
        <w:ind w:left="2" w:firstLine="540" w:firstLineChars="168"/>
        <w:jc w:val="left"/>
        <w:rPr>
          <w:rFonts w:hint="eastAsia" w:eastAsia="仿宋"/>
          <w:b/>
          <w:bCs/>
          <w:sz w:val="32"/>
          <w:szCs w:val="32"/>
        </w:rPr>
      </w:pPr>
      <w:r>
        <w:rPr>
          <w:rFonts w:hint="eastAsia" w:eastAsia="仿宋"/>
          <w:b/>
          <w:bCs/>
          <w:sz w:val="32"/>
          <w:szCs w:val="32"/>
        </w:rPr>
        <w:t>3. 加快构建绿色制造体系</w:t>
      </w:r>
    </w:p>
    <w:p>
      <w:pPr>
        <w:adjustRightInd w:val="0"/>
        <w:snapToGrid w:val="0"/>
        <w:spacing w:line="560" w:lineRule="exact"/>
        <w:ind w:left="2" w:firstLine="537" w:firstLineChars="168"/>
        <w:jc w:val="left"/>
        <w:rPr>
          <w:rFonts w:eastAsia="仿宋"/>
          <w:sz w:val="32"/>
          <w:szCs w:val="32"/>
        </w:rPr>
      </w:pPr>
      <w:r>
        <w:rPr>
          <w:rFonts w:eastAsia="仿宋"/>
          <w:sz w:val="32"/>
          <w:szCs w:val="32"/>
        </w:rPr>
        <w:t>深入实施绿色制造工程，</w:t>
      </w:r>
      <w:r>
        <w:rPr>
          <w:rFonts w:hint="eastAsia" w:eastAsia="仿宋"/>
          <w:sz w:val="32"/>
          <w:szCs w:val="32"/>
        </w:rPr>
        <w:t>在重点行业继续推进绿色设计产品、绿色工厂、绿色园区和绿色供应链创建工作，加快构建绿色制造体系</w:t>
      </w:r>
      <w:r>
        <w:rPr>
          <w:rFonts w:eastAsia="仿宋"/>
          <w:sz w:val="32"/>
          <w:szCs w:val="32"/>
        </w:rPr>
        <w:t>。</w:t>
      </w:r>
      <w:r>
        <w:rPr>
          <w:rFonts w:hint="eastAsia" w:eastAsia="仿宋"/>
          <w:sz w:val="32"/>
          <w:szCs w:val="32"/>
        </w:rPr>
        <w:t>大力发展绿色食品</w:t>
      </w:r>
      <w:r>
        <w:rPr>
          <w:rFonts w:eastAsia="仿宋"/>
          <w:sz w:val="32"/>
          <w:szCs w:val="32"/>
        </w:rPr>
        <w:t>、</w:t>
      </w:r>
      <w:r>
        <w:rPr>
          <w:rFonts w:hint="eastAsia" w:eastAsia="仿宋"/>
          <w:sz w:val="32"/>
          <w:szCs w:val="32"/>
        </w:rPr>
        <w:t>绿色建材</w:t>
      </w:r>
      <w:r>
        <w:rPr>
          <w:rFonts w:eastAsia="仿宋"/>
          <w:sz w:val="32"/>
          <w:szCs w:val="32"/>
        </w:rPr>
        <w:t>、</w:t>
      </w:r>
      <w:r>
        <w:rPr>
          <w:rFonts w:hint="eastAsia" w:eastAsia="仿宋"/>
          <w:sz w:val="32"/>
          <w:szCs w:val="32"/>
        </w:rPr>
        <w:t>绿色家居等产业</w:t>
      </w:r>
      <w:r>
        <w:rPr>
          <w:rFonts w:eastAsia="仿宋"/>
          <w:sz w:val="32"/>
          <w:szCs w:val="32"/>
        </w:rPr>
        <w:t>，</w:t>
      </w:r>
      <w:r>
        <w:rPr>
          <w:rFonts w:hint="eastAsia" w:eastAsia="仿宋"/>
          <w:sz w:val="32"/>
          <w:szCs w:val="32"/>
        </w:rPr>
        <w:t>鼓励在电子信息</w:t>
      </w:r>
      <w:r>
        <w:rPr>
          <w:rFonts w:eastAsia="仿宋"/>
          <w:sz w:val="32"/>
          <w:szCs w:val="32"/>
        </w:rPr>
        <w:t>、</w:t>
      </w:r>
      <w:r>
        <w:rPr>
          <w:rFonts w:hint="eastAsia" w:eastAsia="仿宋"/>
          <w:sz w:val="32"/>
          <w:szCs w:val="32"/>
        </w:rPr>
        <w:t>生物医药</w:t>
      </w:r>
      <w:r>
        <w:rPr>
          <w:rFonts w:eastAsia="仿宋"/>
          <w:sz w:val="32"/>
          <w:szCs w:val="32"/>
        </w:rPr>
        <w:t>、</w:t>
      </w:r>
      <w:r>
        <w:rPr>
          <w:rFonts w:hint="eastAsia" w:eastAsia="仿宋"/>
          <w:sz w:val="32"/>
          <w:szCs w:val="32"/>
        </w:rPr>
        <w:t>食品</w:t>
      </w:r>
      <w:r>
        <w:rPr>
          <w:rFonts w:eastAsia="仿宋"/>
          <w:sz w:val="32"/>
          <w:szCs w:val="32"/>
        </w:rPr>
        <w:t>、</w:t>
      </w:r>
      <w:r>
        <w:rPr>
          <w:rFonts w:hint="eastAsia" w:eastAsia="仿宋"/>
          <w:sz w:val="32"/>
          <w:szCs w:val="32"/>
        </w:rPr>
        <w:t>建材等领域推进绿色工厂建设，实现厂房集约化、原料无害化、生产洁净化、废物资源化、能源低碳化和建材绿色化，积极创建国家级</w:t>
      </w:r>
      <w:r>
        <w:rPr>
          <w:rFonts w:eastAsia="仿宋"/>
          <w:sz w:val="32"/>
          <w:szCs w:val="32"/>
        </w:rPr>
        <w:t>、</w:t>
      </w:r>
      <w:r>
        <w:rPr>
          <w:rFonts w:hint="eastAsia" w:eastAsia="仿宋"/>
          <w:sz w:val="32"/>
          <w:szCs w:val="32"/>
        </w:rPr>
        <w:t>自治区级绿色工厂。推行产品绿色设计，大力开发具有无害化、节能、环保、高可靠性、长寿命和易回收等特性的绿色产品</w:t>
      </w:r>
      <w:r>
        <w:rPr>
          <w:rFonts w:eastAsia="仿宋"/>
          <w:sz w:val="32"/>
          <w:szCs w:val="32"/>
        </w:rPr>
        <w:t>，</w:t>
      </w:r>
      <w:r>
        <w:rPr>
          <w:rFonts w:hint="eastAsia" w:eastAsia="仿宋"/>
          <w:sz w:val="32"/>
          <w:szCs w:val="32"/>
        </w:rPr>
        <w:t>丰富绿色产品生产</w:t>
      </w:r>
      <w:r>
        <w:rPr>
          <w:rFonts w:eastAsia="仿宋"/>
          <w:sz w:val="32"/>
          <w:szCs w:val="32"/>
        </w:rPr>
        <w:t>，</w:t>
      </w:r>
      <w:r>
        <w:rPr>
          <w:rFonts w:hint="eastAsia" w:eastAsia="仿宋"/>
          <w:sz w:val="32"/>
          <w:szCs w:val="32"/>
        </w:rPr>
        <w:t>积极申报国家绿色产品</w:t>
      </w:r>
      <w:r>
        <w:rPr>
          <w:rFonts w:eastAsia="仿宋"/>
          <w:sz w:val="32"/>
          <w:szCs w:val="32"/>
        </w:rPr>
        <w:t>。</w:t>
      </w:r>
      <w:r>
        <w:rPr>
          <w:rFonts w:hint="eastAsia" w:eastAsia="仿宋"/>
          <w:sz w:val="32"/>
          <w:szCs w:val="32"/>
        </w:rPr>
        <w:t>加快布局集聚化、结构绿色化、链接生态化等特色的绿色园区</w:t>
      </w:r>
      <w:r>
        <w:rPr>
          <w:rFonts w:eastAsia="仿宋"/>
          <w:sz w:val="32"/>
          <w:szCs w:val="32"/>
        </w:rPr>
        <w:t>，</w:t>
      </w:r>
      <w:r>
        <w:rPr>
          <w:rFonts w:hint="eastAsia" w:eastAsia="仿宋"/>
          <w:sz w:val="32"/>
          <w:szCs w:val="32"/>
        </w:rPr>
        <w:t>鼓励和支持南宁高新区申报创建</w:t>
      </w:r>
      <w:r>
        <w:rPr>
          <w:rFonts w:hint="eastAsia" w:eastAsia="仿宋" w:cs="仿宋"/>
          <w:sz w:val="32"/>
          <w:szCs w:val="32"/>
        </w:rPr>
        <w:t>国家级和自治区级绿色园区</w:t>
      </w:r>
      <w:r>
        <w:rPr>
          <w:rFonts w:eastAsia="仿宋" w:cs="仿宋"/>
          <w:sz w:val="32"/>
          <w:szCs w:val="32"/>
        </w:rPr>
        <w:t>。</w:t>
      </w:r>
    </w:p>
    <w:p>
      <w:pPr>
        <w:adjustRightInd w:val="0"/>
        <w:snapToGrid w:val="0"/>
        <w:spacing w:line="560" w:lineRule="exact"/>
        <w:ind w:firstLine="643" w:firstLineChars="200"/>
        <w:jc w:val="left"/>
        <w:outlineLvl w:val="2"/>
        <w:rPr>
          <w:rFonts w:hint="eastAsia" w:eastAsia="仿宋"/>
          <w:b/>
          <w:bCs/>
          <w:sz w:val="32"/>
          <w:szCs w:val="32"/>
        </w:rPr>
      </w:pPr>
      <w:r>
        <w:rPr>
          <w:rFonts w:hint="eastAsia" w:eastAsia="仿宋"/>
          <w:b/>
          <w:bCs/>
          <w:sz w:val="32"/>
          <w:szCs w:val="32"/>
        </w:rPr>
        <w:t>4. 推进园区循环化改造</w:t>
      </w:r>
    </w:p>
    <w:p>
      <w:pPr>
        <w:adjustRightInd w:val="0"/>
        <w:snapToGrid w:val="0"/>
        <w:spacing w:line="560" w:lineRule="exact"/>
        <w:ind w:left="2" w:firstLine="537" w:firstLineChars="168"/>
        <w:jc w:val="left"/>
        <w:rPr>
          <w:rFonts w:eastAsia="仿宋"/>
          <w:sz w:val="32"/>
          <w:szCs w:val="32"/>
          <w:highlight w:val="yellow"/>
        </w:rPr>
      </w:pPr>
      <w:r>
        <w:rPr>
          <w:rFonts w:hint="eastAsia" w:eastAsia="仿宋"/>
          <w:sz w:val="32"/>
          <w:szCs w:val="32"/>
        </w:rPr>
        <w:t>全面优化园区空间布局，大力推动园区循环化改造，促进产业结构提档升级。积极推进各类产业园区建设发展，加强园区内不同产业之间纵向、横向产业链接，推动园区之间建立上下游循环产业链条，构建循环经济发展的核心节点。合理延伸产业链，引进关键项目，提升固体废弃物、废水、废气及废液的综合利用能力，实现园区物质流闭路循环。推动园区部分行业（如板材加工业等）企业间余热余压梯级利用和水资源循环利用，积极推广集中供气供热。优化园区用能结构，推广合同能源管理、合同节水管理，引导低碳建设和产业低碳转型。积极申报创建国家生态工业示范园区，显著提升园区绿色低碳循环发展水平。到2025年，全市具备条件的自治区级以上园区全部实施循环化改造。</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8617" w:type="dxa"/>
            <w:noWrap w:val="0"/>
            <w:vAlign w:val="center"/>
          </w:tcPr>
          <w:p>
            <w:pPr>
              <w:adjustRightInd w:val="0"/>
              <w:snapToGrid w:val="0"/>
              <w:spacing w:line="560" w:lineRule="exact"/>
              <w:jc w:val="center"/>
              <w:rPr>
                <w:rFonts w:hint="eastAsia" w:ascii="仿宋" w:hAnsi="仿宋" w:eastAsia="仿宋" w:cs="仿宋"/>
                <w:b/>
                <w:bCs/>
                <w:sz w:val="30"/>
                <w:szCs w:val="30"/>
                <w:shd w:val="clear" w:color="auto" w:fill="FFFFFF"/>
              </w:rPr>
            </w:pPr>
            <w:r>
              <w:rPr>
                <w:rFonts w:hint="eastAsia" w:ascii="仿宋" w:hAnsi="仿宋" w:eastAsia="仿宋" w:cs="仿宋"/>
                <w:b/>
                <w:bCs/>
                <w:sz w:val="30"/>
                <w:szCs w:val="30"/>
                <w:shd w:val="clear" w:color="auto" w:fill="FFFFFF"/>
              </w:rPr>
              <w:t>专栏</w:t>
            </w:r>
            <w:r>
              <w:rPr>
                <w:rFonts w:eastAsia="仿宋"/>
                <w:b/>
                <w:bCs/>
                <w:sz w:val="30"/>
                <w:szCs w:val="30"/>
                <w:shd w:val="clear" w:color="auto" w:fill="FFFFFF"/>
              </w:rPr>
              <w:t>4-1</w:t>
            </w:r>
            <w:r>
              <w:rPr>
                <w:rFonts w:hint="eastAsia" w:ascii="仿宋" w:hAnsi="仿宋" w:eastAsia="仿宋" w:cs="仿宋"/>
                <w:b/>
                <w:bCs/>
                <w:sz w:val="30"/>
                <w:szCs w:val="30"/>
                <w:shd w:val="clear" w:color="auto" w:fill="FFFFFF"/>
              </w:rPr>
              <w:t>“十四五”时期循环化改造园区</w:t>
            </w:r>
          </w:p>
          <w:p>
            <w:pPr>
              <w:adjustRightInd w:val="0"/>
              <w:snapToGrid w:val="0"/>
              <w:spacing w:line="560" w:lineRule="exact"/>
              <w:ind w:firstLine="602" w:firstLineChars="200"/>
              <w:rPr>
                <w:rFonts w:hint="eastAsia" w:ascii="仿宋" w:hAnsi="仿宋" w:eastAsia="仿宋" w:cs="仿宋"/>
                <w:sz w:val="30"/>
                <w:szCs w:val="30"/>
                <w:shd w:val="clear" w:color="auto" w:fill="FFFFFF"/>
              </w:rPr>
            </w:pPr>
            <w:r>
              <w:rPr>
                <w:rFonts w:hint="eastAsia" w:ascii="仿宋" w:hAnsi="仿宋" w:eastAsia="仿宋" w:cs="仿宋"/>
                <w:b/>
                <w:bCs/>
                <w:sz w:val="30"/>
                <w:szCs w:val="30"/>
                <w:shd w:val="clear" w:color="auto" w:fill="FFFFFF"/>
              </w:rPr>
              <w:t>国家级园区：</w:t>
            </w:r>
            <w:r>
              <w:rPr>
                <w:rFonts w:hint="eastAsia" w:ascii="仿宋" w:hAnsi="仿宋" w:eastAsia="仿宋" w:cs="仿宋"/>
                <w:sz w:val="30"/>
                <w:szCs w:val="30"/>
                <w:shd w:val="clear" w:color="auto" w:fill="FFFFFF"/>
              </w:rPr>
              <w:t>南宁经开区、广西—东盟经开区；</w:t>
            </w:r>
          </w:p>
          <w:p>
            <w:pPr>
              <w:adjustRightInd w:val="0"/>
              <w:snapToGrid w:val="0"/>
              <w:spacing w:line="560" w:lineRule="exact"/>
              <w:ind w:firstLine="602" w:firstLineChars="200"/>
              <w:rPr>
                <w:rFonts w:ascii="仿宋" w:hAnsi="仿宋" w:eastAsia="仿宋" w:cs="仿宋"/>
                <w:sz w:val="30"/>
                <w:szCs w:val="30"/>
                <w:shd w:val="clear" w:color="auto" w:fill="FFFFFF"/>
              </w:rPr>
            </w:pPr>
            <w:r>
              <w:rPr>
                <w:rFonts w:hint="eastAsia" w:ascii="仿宋" w:hAnsi="仿宋" w:eastAsia="仿宋" w:cs="仿宋"/>
                <w:b/>
                <w:bCs/>
                <w:sz w:val="30"/>
                <w:szCs w:val="30"/>
                <w:shd w:val="clear" w:color="auto" w:fill="FFFFFF"/>
              </w:rPr>
              <w:t>自治区级园区：</w:t>
            </w:r>
            <w:r>
              <w:rPr>
                <w:rFonts w:hint="eastAsia" w:ascii="仿宋" w:hAnsi="仿宋" w:eastAsia="仿宋" w:cs="仿宋"/>
                <w:sz w:val="30"/>
                <w:szCs w:val="30"/>
                <w:shd w:val="clear" w:color="auto" w:fill="FFFFFF"/>
              </w:rPr>
              <w:t>广西良庆经开区、宾阳县黎塘工业园区、南宁仙葫经开区、南宁江南工业园区、南宁六景工业园区。</w:t>
            </w:r>
          </w:p>
        </w:tc>
      </w:tr>
    </w:tbl>
    <w:p/>
    <w:p>
      <w:pPr>
        <w:numPr>
          <w:ilvl w:val="0"/>
          <w:numId w:val="1"/>
        </w:numPr>
        <w:spacing w:line="560" w:lineRule="exact"/>
        <w:ind w:firstLine="643" w:firstLineChars="200"/>
        <w:jc w:val="left"/>
        <w:rPr>
          <w:rFonts w:hint="eastAsia" w:eastAsia="仿宋"/>
          <w:b/>
          <w:bCs/>
          <w:sz w:val="32"/>
          <w:szCs w:val="32"/>
        </w:rPr>
      </w:pPr>
      <w:r>
        <w:rPr>
          <w:rFonts w:hint="eastAsia" w:eastAsia="仿宋"/>
          <w:b/>
          <w:bCs/>
          <w:sz w:val="32"/>
          <w:szCs w:val="32"/>
        </w:rPr>
        <w:t>加强大宗固体废弃物综合利用</w:t>
      </w:r>
    </w:p>
    <w:p>
      <w:pPr>
        <w:adjustRightInd w:val="0"/>
        <w:snapToGrid w:val="0"/>
        <w:spacing w:line="560" w:lineRule="exact"/>
        <w:ind w:left="2" w:firstLine="537" w:firstLineChars="168"/>
        <w:rPr>
          <w:rFonts w:eastAsia="仿宋"/>
          <w:b/>
          <w:bCs/>
          <w:kern w:val="0"/>
          <w:sz w:val="30"/>
          <w:szCs w:val="30"/>
        </w:rPr>
      </w:pPr>
      <w:r>
        <w:rPr>
          <w:rFonts w:ascii="仿宋" w:hAnsi="仿宋" w:eastAsia="仿宋"/>
          <w:sz w:val="32"/>
          <w:szCs w:val="32"/>
        </w:rPr>
        <w:t>重点加强粉煤灰、</w:t>
      </w:r>
      <w:r>
        <w:rPr>
          <w:rFonts w:hint="eastAsia" w:ascii="仿宋" w:hAnsi="仿宋" w:eastAsia="仿宋"/>
          <w:sz w:val="32"/>
          <w:szCs w:val="32"/>
        </w:rPr>
        <w:t>炉渣、</w:t>
      </w:r>
      <w:r>
        <w:rPr>
          <w:rFonts w:ascii="仿宋" w:hAnsi="仿宋" w:eastAsia="仿宋"/>
          <w:sz w:val="32"/>
          <w:szCs w:val="32"/>
        </w:rPr>
        <w:t>脱硫石膏</w:t>
      </w:r>
      <w:r>
        <w:rPr>
          <w:rFonts w:hint="eastAsia" w:ascii="仿宋" w:hAnsi="仿宋" w:eastAsia="仿宋"/>
          <w:sz w:val="32"/>
          <w:szCs w:val="32"/>
        </w:rPr>
        <w:t>、污泥、煤矸石以及建筑垃圾等大宗固体废物的</w:t>
      </w:r>
      <w:r>
        <w:rPr>
          <w:rFonts w:ascii="仿宋" w:hAnsi="仿宋" w:eastAsia="仿宋"/>
          <w:sz w:val="32"/>
          <w:szCs w:val="32"/>
        </w:rPr>
        <w:t>综合利用</w:t>
      </w:r>
      <w:r>
        <w:rPr>
          <w:rFonts w:hint="eastAsia" w:ascii="仿宋" w:hAnsi="仿宋" w:eastAsia="仿宋"/>
          <w:sz w:val="32"/>
          <w:szCs w:val="32"/>
        </w:rPr>
        <w:t>，推动大宗固体废物由低效分散利用向高效规模利用转变，形成稳定的利废和资源再生能力。构建大</w:t>
      </w:r>
      <w:r>
        <w:rPr>
          <w:rFonts w:hint="eastAsia" w:ascii="仿宋" w:hAnsi="仿宋" w:eastAsia="仿宋" w:cs="楷体_GB2312"/>
          <w:kern w:val="0"/>
          <w:sz w:val="32"/>
          <w:szCs w:val="32"/>
        </w:rPr>
        <w:t>宗固体废弃物回收整理、物流配送、加工利用和再制造等一条龙产业体系，促进资源回收再利用技术创新和产业化发展。针对不同工业类别的大宗固体废弃物，培育相关的固体废弃物处理企业，吸引</w:t>
      </w:r>
      <w:r>
        <w:rPr>
          <w:rFonts w:hint="eastAsia" w:ascii="仿宋" w:hAnsi="仿宋" w:eastAsia="仿宋"/>
          <w:sz w:val="32"/>
          <w:szCs w:val="32"/>
        </w:rPr>
        <w:t>相关科技研发机构加强固体废弃物的资源化利用等技术的研发、推广和应用。建设大宗固体废弃物综合利用公共服务平台，打造大宗固体废弃物高效综合利用产业新模式。</w:t>
      </w:r>
      <w:r>
        <w:rPr>
          <w:rFonts w:eastAsia="仿宋"/>
          <w:sz w:val="32"/>
          <w:szCs w:val="32"/>
        </w:rPr>
        <w:t>到2025年，</w:t>
      </w:r>
      <w:r>
        <w:rPr>
          <w:rFonts w:hint="eastAsia" w:eastAsia="仿宋"/>
          <w:sz w:val="32"/>
          <w:szCs w:val="32"/>
        </w:rPr>
        <w:t>全市</w:t>
      </w:r>
      <w:r>
        <w:rPr>
          <w:rFonts w:eastAsia="仿宋"/>
          <w:sz w:val="32"/>
          <w:szCs w:val="32"/>
        </w:rPr>
        <w:t>大宗固体废弃物综合利用率达到65%。</w:t>
      </w:r>
    </w:p>
    <w:p>
      <w:pPr>
        <w:adjustRightInd w:val="0"/>
        <w:snapToGrid w:val="0"/>
        <w:spacing w:line="560" w:lineRule="exact"/>
        <w:ind w:firstLine="643" w:firstLineChars="200"/>
        <w:jc w:val="left"/>
        <w:outlineLvl w:val="2"/>
        <w:rPr>
          <w:rFonts w:hint="eastAsia" w:ascii="仿宋" w:hAnsi="仿宋" w:eastAsia="仿宋"/>
          <w:b/>
          <w:bCs/>
          <w:sz w:val="32"/>
        </w:rPr>
      </w:pPr>
      <w:r>
        <w:rPr>
          <w:rFonts w:hint="eastAsia" w:eastAsia="仿宋"/>
          <w:b/>
          <w:bCs/>
          <w:sz w:val="32"/>
          <w:szCs w:val="32"/>
        </w:rPr>
        <w:t>6. 大力发展</w:t>
      </w:r>
      <w:r>
        <w:rPr>
          <w:rFonts w:hint="eastAsia" w:ascii="仿宋" w:hAnsi="仿宋" w:eastAsia="仿宋"/>
          <w:b/>
          <w:bCs/>
          <w:kern w:val="0"/>
          <w:sz w:val="32"/>
          <w:szCs w:val="32"/>
        </w:rPr>
        <w:t>节</w:t>
      </w:r>
      <w:r>
        <w:rPr>
          <w:rFonts w:hint="eastAsia" w:ascii="仿宋" w:hAnsi="仿宋" w:eastAsia="仿宋"/>
          <w:b/>
          <w:bCs/>
          <w:sz w:val="32"/>
        </w:rPr>
        <w:t>能环保产业</w:t>
      </w:r>
    </w:p>
    <w:p>
      <w:pPr>
        <w:adjustRightInd w:val="0"/>
        <w:snapToGrid w:val="0"/>
        <w:spacing w:line="560" w:lineRule="exact"/>
        <w:ind w:left="2" w:firstLine="537" w:firstLineChars="168"/>
        <w:jc w:val="left"/>
        <w:outlineLvl w:val="2"/>
        <w:rPr>
          <w:rFonts w:ascii="仿宋" w:eastAsia="仿宋"/>
          <w:sz w:val="32"/>
          <w:szCs w:val="32"/>
        </w:rPr>
      </w:pPr>
      <w:r>
        <w:rPr>
          <w:rFonts w:hint="eastAsia" w:eastAsia="仿宋"/>
          <w:sz w:val="32"/>
          <w:szCs w:val="32"/>
        </w:rPr>
        <w:t>重点</w:t>
      </w:r>
      <w:r>
        <w:rPr>
          <w:rFonts w:eastAsia="仿宋"/>
          <w:sz w:val="32"/>
          <w:szCs w:val="32"/>
        </w:rPr>
        <w:t>发展余热余压利用</w:t>
      </w:r>
      <w:r>
        <w:rPr>
          <w:rFonts w:hint="eastAsia" w:eastAsia="仿宋"/>
          <w:sz w:val="32"/>
          <w:szCs w:val="32"/>
        </w:rPr>
        <w:t>设备</w:t>
      </w:r>
      <w:r>
        <w:rPr>
          <w:rFonts w:eastAsia="仿宋"/>
          <w:sz w:val="32"/>
          <w:szCs w:val="32"/>
        </w:rPr>
        <w:t>、节能仪器设备、高效</w:t>
      </w:r>
      <w:r>
        <w:rPr>
          <w:rFonts w:hint="eastAsia" w:eastAsia="仿宋"/>
          <w:sz w:val="32"/>
          <w:szCs w:val="32"/>
        </w:rPr>
        <w:t>节能</w:t>
      </w:r>
      <w:r>
        <w:rPr>
          <w:rFonts w:eastAsia="仿宋"/>
          <w:sz w:val="32"/>
          <w:szCs w:val="32"/>
        </w:rPr>
        <w:t>照明产品、</w:t>
      </w:r>
      <w:r>
        <w:rPr>
          <w:rFonts w:hint="eastAsia" w:eastAsia="仿宋"/>
          <w:sz w:val="32"/>
          <w:szCs w:val="32"/>
        </w:rPr>
        <w:t>可降解塑料</w:t>
      </w:r>
      <w:r>
        <w:rPr>
          <w:rFonts w:eastAsia="仿宋"/>
          <w:sz w:val="32"/>
          <w:szCs w:val="32"/>
        </w:rPr>
        <w:t>（</w:t>
      </w:r>
      <w:r>
        <w:rPr>
          <w:rFonts w:hint="eastAsia" w:eastAsia="仿宋"/>
          <w:sz w:val="32"/>
          <w:szCs w:val="32"/>
        </w:rPr>
        <w:t>生物塑料</w:t>
      </w:r>
      <w:r>
        <w:rPr>
          <w:rFonts w:eastAsia="仿宋"/>
          <w:sz w:val="32"/>
          <w:szCs w:val="32"/>
        </w:rPr>
        <w:t>）等</w:t>
      </w:r>
      <w:r>
        <w:rPr>
          <w:rFonts w:hint="eastAsia" w:eastAsia="仿宋"/>
          <w:sz w:val="32"/>
          <w:szCs w:val="32"/>
        </w:rPr>
        <w:t>环保产品生产制造</w:t>
      </w:r>
      <w:r>
        <w:rPr>
          <w:rFonts w:eastAsia="仿宋"/>
          <w:sz w:val="32"/>
          <w:szCs w:val="32"/>
        </w:rPr>
        <w:t>，</w:t>
      </w:r>
      <w:r>
        <w:rPr>
          <w:rFonts w:hint="eastAsia" w:eastAsia="仿宋"/>
          <w:sz w:val="32"/>
          <w:szCs w:val="32"/>
        </w:rPr>
        <w:t>加快推广工业节能装备、建筑节能设备等节能装备以及生产生活废弃物综合利用装备、</w:t>
      </w:r>
      <w:r>
        <w:rPr>
          <w:rFonts w:hint="eastAsia" w:ascii="仿宋" w:eastAsia="仿宋"/>
          <w:sz w:val="32"/>
          <w:szCs w:val="32"/>
        </w:rPr>
        <w:t>资源综合利用装备等</w:t>
      </w:r>
      <w:r>
        <w:rPr>
          <w:rFonts w:hint="eastAsia" w:eastAsia="仿宋"/>
          <w:sz w:val="32"/>
          <w:szCs w:val="32"/>
        </w:rPr>
        <w:t>，</w:t>
      </w:r>
      <w:r>
        <w:rPr>
          <w:rFonts w:hint="eastAsia" w:ascii="仿宋" w:eastAsia="仿宋"/>
          <w:sz w:val="32"/>
          <w:szCs w:val="32"/>
        </w:rPr>
        <w:t>培育发展</w:t>
      </w:r>
      <w:r>
        <w:rPr>
          <w:rFonts w:hint="eastAsia" w:eastAsia="仿宋"/>
          <w:sz w:val="32"/>
          <w:szCs w:val="32"/>
        </w:rPr>
        <w:t>大气污染治理、水污染</w:t>
      </w:r>
      <w:r>
        <w:rPr>
          <w:rFonts w:hint="eastAsia" w:ascii="仿宋" w:eastAsia="仿宋"/>
          <w:sz w:val="32"/>
          <w:szCs w:val="32"/>
        </w:rPr>
        <w:t>治理</w:t>
      </w:r>
      <w:r>
        <w:rPr>
          <w:rFonts w:hint="eastAsia" w:eastAsia="仿宋"/>
          <w:sz w:val="32"/>
          <w:szCs w:val="32"/>
        </w:rPr>
        <w:t>、垃圾处理、土壤污染修复、环境监测等环保装备，构建节能环保优势产业和产品体系</w:t>
      </w:r>
      <w:r>
        <w:rPr>
          <w:rFonts w:eastAsia="仿宋"/>
          <w:sz w:val="32"/>
          <w:szCs w:val="32"/>
        </w:rPr>
        <w:t>。</w:t>
      </w:r>
      <w:r>
        <w:rPr>
          <w:rFonts w:hint="eastAsia" w:eastAsia="仿宋"/>
          <w:sz w:val="32"/>
          <w:szCs w:val="32"/>
        </w:rPr>
        <w:t>依托环保科技产业园</w:t>
      </w:r>
      <w:r>
        <w:rPr>
          <w:rFonts w:eastAsia="仿宋"/>
          <w:sz w:val="32"/>
          <w:szCs w:val="32"/>
        </w:rPr>
        <w:t>、</w:t>
      </w:r>
      <w:r>
        <w:rPr>
          <w:rFonts w:hint="eastAsia" w:eastAsia="仿宋"/>
          <w:sz w:val="32"/>
          <w:szCs w:val="32"/>
        </w:rPr>
        <w:t>节能环保产业园等平台</w:t>
      </w:r>
      <w:r>
        <w:rPr>
          <w:rFonts w:eastAsia="仿宋"/>
          <w:sz w:val="32"/>
          <w:szCs w:val="32"/>
        </w:rPr>
        <w:t>，</w:t>
      </w:r>
      <w:r>
        <w:rPr>
          <w:rFonts w:hint="eastAsia" w:eastAsia="仿宋"/>
          <w:sz w:val="32"/>
          <w:szCs w:val="32"/>
        </w:rPr>
        <w:t>大力</w:t>
      </w:r>
      <w:r>
        <w:rPr>
          <w:rFonts w:eastAsia="仿宋"/>
          <w:sz w:val="32"/>
          <w:szCs w:val="32"/>
        </w:rPr>
        <w:t>发展第三方节能环保服务业，鼓励发展节能评估、环境评价、节能环保工程设计、污染治理、环境修复、节能和环境监测等服务。加快</w:t>
      </w:r>
      <w:r>
        <w:rPr>
          <w:rFonts w:hint="eastAsia" w:eastAsia="仿宋"/>
          <w:sz w:val="32"/>
          <w:szCs w:val="32"/>
        </w:rPr>
        <w:t>南宁生态产业园</w:t>
      </w:r>
      <w:r>
        <w:rPr>
          <w:rFonts w:eastAsia="仿宋"/>
          <w:sz w:val="32"/>
          <w:szCs w:val="32"/>
        </w:rPr>
        <w:t>、绿色智能制造环保设备生产项目</w:t>
      </w:r>
      <w:r>
        <w:rPr>
          <w:rFonts w:hint="eastAsia" w:eastAsia="仿宋"/>
          <w:sz w:val="32"/>
          <w:szCs w:val="32"/>
        </w:rPr>
        <w:t>等</w:t>
      </w:r>
      <w:r>
        <w:rPr>
          <w:rFonts w:eastAsia="仿宋"/>
          <w:sz w:val="32"/>
          <w:szCs w:val="32"/>
        </w:rPr>
        <w:t>建设，</w:t>
      </w:r>
      <w:r>
        <w:rPr>
          <w:rFonts w:hint="eastAsia" w:ascii="仿宋" w:eastAsia="仿宋"/>
          <w:sz w:val="32"/>
          <w:szCs w:val="32"/>
        </w:rPr>
        <w:t>加快构建从核心技术研发</w:t>
      </w:r>
      <w:r>
        <w:rPr>
          <w:rFonts w:ascii="仿宋" w:eastAsia="仿宋"/>
          <w:sz w:val="32"/>
          <w:szCs w:val="32"/>
        </w:rPr>
        <w:t>、</w:t>
      </w:r>
      <w:r>
        <w:rPr>
          <w:rFonts w:hint="eastAsia" w:ascii="仿宋" w:eastAsia="仿宋"/>
          <w:sz w:val="32"/>
          <w:szCs w:val="32"/>
        </w:rPr>
        <w:t>装备制造集成</w:t>
      </w:r>
      <w:r>
        <w:rPr>
          <w:rFonts w:ascii="仿宋" w:eastAsia="仿宋"/>
          <w:sz w:val="32"/>
          <w:szCs w:val="32"/>
        </w:rPr>
        <w:t>、</w:t>
      </w:r>
      <w:r>
        <w:rPr>
          <w:rFonts w:hint="eastAsia" w:ascii="仿宋" w:eastAsia="仿宋"/>
          <w:sz w:val="32"/>
          <w:szCs w:val="32"/>
        </w:rPr>
        <w:t>治理方案设计</w:t>
      </w:r>
      <w:r>
        <w:rPr>
          <w:rFonts w:ascii="仿宋" w:eastAsia="仿宋"/>
          <w:sz w:val="32"/>
          <w:szCs w:val="32"/>
        </w:rPr>
        <w:t>、</w:t>
      </w:r>
      <w:r>
        <w:rPr>
          <w:rFonts w:hint="eastAsia" w:ascii="仿宋" w:eastAsia="仿宋"/>
          <w:sz w:val="32"/>
          <w:szCs w:val="32"/>
        </w:rPr>
        <w:t>工程施工到运营维护的完整产业链</w:t>
      </w:r>
      <w:r>
        <w:rPr>
          <w:rFonts w:ascii="仿宋" w:eastAsia="仿宋"/>
          <w:sz w:val="32"/>
          <w:szCs w:val="32"/>
        </w:rPr>
        <w:t>。</w:t>
      </w:r>
      <w:bookmarkStart w:id="401" w:name="_Toc16412"/>
      <w:bookmarkStart w:id="402" w:name="_Toc4503"/>
      <w:bookmarkStart w:id="403" w:name="_Toc1474922205"/>
      <w:bookmarkStart w:id="404" w:name="_Toc10036"/>
      <w:bookmarkStart w:id="405" w:name="_Toc855094113"/>
      <w:bookmarkStart w:id="406" w:name="_Toc1382658694"/>
    </w:p>
    <w:p>
      <w:pPr>
        <w:adjustRightInd w:val="0"/>
        <w:snapToGrid w:val="0"/>
        <w:spacing w:line="560" w:lineRule="exact"/>
        <w:ind w:left="353" w:leftChars="168" w:firstLine="321" w:firstLineChars="100"/>
        <w:rPr>
          <w:rFonts w:eastAsia="仿宋"/>
          <w:b/>
          <w:bCs/>
          <w:sz w:val="32"/>
          <w:szCs w:val="32"/>
        </w:rPr>
      </w:pPr>
      <w:r>
        <w:rPr>
          <w:rFonts w:hint="eastAsia" w:eastAsia="仿宋"/>
          <w:b/>
          <w:bCs/>
          <w:sz w:val="32"/>
          <w:szCs w:val="32"/>
        </w:rPr>
        <w:t xml:space="preserve">7. </w:t>
      </w:r>
      <w:r>
        <w:rPr>
          <w:rFonts w:eastAsia="仿宋"/>
          <w:b/>
          <w:bCs/>
          <w:sz w:val="32"/>
          <w:szCs w:val="32"/>
        </w:rPr>
        <w:t>促进生产系统和生活系统循环链接</w:t>
      </w:r>
    </w:p>
    <w:p>
      <w:pPr>
        <w:spacing w:line="560" w:lineRule="exact"/>
        <w:ind w:left="2" w:firstLine="537" w:firstLineChars="168"/>
      </w:pPr>
      <w:r>
        <w:rPr>
          <w:rFonts w:eastAsia="仿宋"/>
          <w:sz w:val="32"/>
          <w:szCs w:val="32"/>
        </w:rPr>
        <w:t>探索建立协同处置设施纳入城市环境基础设施管理机制，保障设施持续稳定运行，加快健全市场化收费运行机制。</w:t>
      </w:r>
      <w:r>
        <w:rPr>
          <w:rFonts w:hint="eastAsia" w:eastAsia="仿宋"/>
          <w:sz w:val="32"/>
          <w:szCs w:val="32"/>
        </w:rPr>
        <w:t>推进</w:t>
      </w:r>
      <w:r>
        <w:rPr>
          <w:rFonts w:eastAsia="仿宋"/>
          <w:sz w:val="32"/>
          <w:szCs w:val="32"/>
        </w:rPr>
        <w:t>生产系统协同处理城市及产业废弃物。完善城市再生水回用</w:t>
      </w:r>
      <w:r>
        <w:rPr>
          <w:rFonts w:hint="eastAsia" w:eastAsia="仿宋"/>
          <w:sz w:val="32"/>
          <w:szCs w:val="32"/>
        </w:rPr>
        <w:t>系统</w:t>
      </w:r>
      <w:r>
        <w:rPr>
          <w:rFonts w:eastAsia="仿宋"/>
          <w:sz w:val="32"/>
          <w:szCs w:val="32"/>
        </w:rPr>
        <w:t>，推动将城市生活污水经过处理后的再生水引入用水企业的生产系统，实现水资源循环利用。</w:t>
      </w:r>
      <w:r>
        <w:rPr>
          <w:rFonts w:hint="eastAsia" w:eastAsia="仿宋"/>
          <w:sz w:val="32"/>
          <w:szCs w:val="32"/>
        </w:rPr>
        <w:t>推进工业节水和废水处理回用，</w:t>
      </w:r>
      <w:r>
        <w:rPr>
          <w:rFonts w:eastAsia="仿宋"/>
          <w:sz w:val="32"/>
          <w:szCs w:val="32"/>
        </w:rPr>
        <w:t>加强</w:t>
      </w:r>
      <w:bookmarkStart w:id="1074" w:name="_GoBack"/>
      <w:bookmarkEnd w:id="1074"/>
      <w:r>
        <w:rPr>
          <w:rFonts w:hint="eastAsia" w:eastAsia="仿宋"/>
          <w:sz w:val="32"/>
          <w:szCs w:val="32"/>
          <w:lang w:eastAsia="zh-CN"/>
        </w:rPr>
        <w:t>污水处理厂</w:t>
      </w:r>
      <w:r>
        <w:rPr>
          <w:rFonts w:eastAsia="仿宋"/>
          <w:sz w:val="32"/>
          <w:szCs w:val="32"/>
        </w:rPr>
        <w:t>对生活污水回收处理，推进回收处理后用于道路、绿化浇洒，实现循环利用。开展造纸、农副食品加工、原料药制造、制革、农药、制糖、酒精等工业企业水污染专项整治，推动城市再生水在工业领域梯级利用试点</w:t>
      </w:r>
      <w:r>
        <w:rPr>
          <w:rFonts w:hint="eastAsia" w:eastAsia="仿宋"/>
          <w:sz w:val="32"/>
          <w:szCs w:val="32"/>
        </w:rPr>
        <w:t>，</w:t>
      </w:r>
      <w:r>
        <w:rPr>
          <w:rFonts w:eastAsia="仿宋"/>
          <w:sz w:val="32"/>
          <w:szCs w:val="32"/>
        </w:rPr>
        <w:t>提高工业废水、污水处理回用率。</w:t>
      </w:r>
    </w:p>
    <w:bookmarkEnd w:id="401"/>
    <w:bookmarkEnd w:id="402"/>
    <w:bookmarkEnd w:id="403"/>
    <w:bookmarkEnd w:id="404"/>
    <w:bookmarkEnd w:id="405"/>
    <w:bookmarkEnd w:id="406"/>
    <w:p>
      <w:pPr>
        <w:adjustRightInd w:val="0"/>
        <w:snapToGrid w:val="0"/>
        <w:spacing w:line="560" w:lineRule="exact"/>
        <w:ind w:firstLine="643" w:firstLineChars="200"/>
        <w:jc w:val="left"/>
        <w:outlineLvl w:val="1"/>
        <w:rPr>
          <w:rFonts w:hint="eastAsia" w:ascii="楷体" w:hAnsi="楷体" w:eastAsia="楷体"/>
          <w:b/>
          <w:sz w:val="32"/>
          <w:szCs w:val="32"/>
        </w:rPr>
      </w:pPr>
      <w:bookmarkStart w:id="407" w:name="_Toc14673"/>
      <w:bookmarkStart w:id="408" w:name="_Toc18366"/>
      <w:bookmarkStart w:id="409" w:name="_Toc6230"/>
      <w:bookmarkStart w:id="410" w:name="_Toc11680"/>
      <w:bookmarkStart w:id="411" w:name="_Toc5436"/>
      <w:bookmarkStart w:id="412" w:name="_Toc32423"/>
      <w:bookmarkStart w:id="413" w:name="_Toc6234"/>
      <w:bookmarkStart w:id="414" w:name="_Toc2232"/>
      <w:bookmarkStart w:id="415" w:name="_Toc21858"/>
      <w:bookmarkStart w:id="416" w:name="_Toc28716"/>
      <w:bookmarkStart w:id="417" w:name="_Toc14437"/>
      <w:bookmarkStart w:id="418" w:name="_Toc9684"/>
      <w:bookmarkStart w:id="419" w:name="_Toc92706650"/>
      <w:bookmarkStart w:id="420" w:name="_Toc6250"/>
      <w:bookmarkStart w:id="421" w:name="_Toc21230"/>
      <w:bookmarkStart w:id="422" w:name="_Toc23410"/>
      <w:bookmarkStart w:id="423" w:name="_Toc65841396"/>
      <w:bookmarkStart w:id="424" w:name="_Toc22857"/>
      <w:bookmarkStart w:id="425" w:name="_Toc20952"/>
      <w:bookmarkStart w:id="426" w:name="_Toc8449"/>
      <w:bookmarkStart w:id="427" w:name="_Toc8488"/>
      <w:bookmarkStart w:id="428" w:name="_Toc1599"/>
      <w:bookmarkStart w:id="429" w:name="_Toc4914"/>
      <w:r>
        <w:rPr>
          <w:rFonts w:hint="eastAsia" w:ascii="楷体" w:hAnsi="楷体" w:eastAsia="楷体"/>
          <w:b/>
          <w:sz w:val="32"/>
          <w:szCs w:val="32"/>
        </w:rPr>
        <w:t>（二）构建废旧物资循环利用体系</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numPr>
          <w:ilvl w:val="0"/>
          <w:numId w:val="2"/>
        </w:numPr>
        <w:adjustRightInd w:val="0"/>
        <w:snapToGrid w:val="0"/>
        <w:spacing w:line="560" w:lineRule="exact"/>
        <w:ind w:firstLine="643" w:firstLineChars="200"/>
        <w:jc w:val="left"/>
        <w:outlineLvl w:val="2"/>
        <w:rPr>
          <w:rFonts w:hint="eastAsia" w:eastAsia="仿宋"/>
          <w:b/>
          <w:bCs/>
          <w:sz w:val="32"/>
          <w:szCs w:val="32"/>
        </w:rPr>
      </w:pPr>
      <w:bookmarkStart w:id="430" w:name="_Toc13737"/>
      <w:r>
        <w:rPr>
          <w:rFonts w:hint="eastAsia" w:eastAsia="仿宋"/>
          <w:b/>
          <w:bCs/>
          <w:sz w:val="32"/>
          <w:szCs w:val="32"/>
        </w:rPr>
        <w:t>完善废旧物资回收网络</w:t>
      </w:r>
      <w:bookmarkEnd w:id="430"/>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将废旧物资回收相关设施纳入国土空间规划，保障用地需求，规范建设废旧资源循环利用体系。放宽废旧物资回收车辆进城、进小区限制并规范管理，保障合理路权。合理布局废旧物资回收站点。提升废旧物资回收行业信息化水平，加快构建以互联网、物联网为基础的线上线下融合的智能回收网络，深入推进生活垃圾分类网点与废旧物资回收网点“两网融合”。推行“互联网+回收”模式，实现线上线下协同，提高规范化回收企业对个体经营者的整合能力，进一步提高居民交投家庭废旧物资便利化水平。支持供销合作社系统依托销售服务网络，开展废旧物资回收。推动废旧物资回收专业化，采取特许经营等方式，授权专业化企业开展废旧物资回收业务。规范二手商品市场的发展，丰富二手商品交易渠道，完善二手商品交易管理制度，促进二手商品在定价、交易、售后等全流程标准化和规范化，促进二手商品的环保有序流通。积极组织申报创建废旧物资循环利用体系示范城市。</w:t>
      </w:r>
    </w:p>
    <w:p>
      <w:pPr>
        <w:numPr>
          <w:ilvl w:val="0"/>
          <w:numId w:val="2"/>
        </w:numPr>
        <w:spacing w:line="560" w:lineRule="exact"/>
        <w:ind w:firstLine="643" w:firstLineChars="200"/>
        <w:jc w:val="left"/>
        <w:rPr>
          <w:rFonts w:hint="eastAsia" w:eastAsia="仿宋"/>
          <w:b/>
          <w:bCs/>
          <w:sz w:val="32"/>
          <w:szCs w:val="32"/>
        </w:rPr>
      </w:pPr>
      <w:bookmarkStart w:id="431" w:name="_Toc30962"/>
      <w:bookmarkStart w:id="432" w:name="_Toc18361"/>
      <w:bookmarkStart w:id="433" w:name="_Toc27724"/>
      <w:bookmarkStart w:id="434" w:name="_Toc88908035"/>
      <w:bookmarkStart w:id="435" w:name="_Toc20168"/>
      <w:bookmarkStart w:id="436" w:name="_Toc1455106369"/>
      <w:bookmarkStart w:id="437" w:name="_Toc12164"/>
      <w:bookmarkStart w:id="438" w:name="_Toc924271163"/>
      <w:bookmarkStart w:id="439" w:name="_Toc1420608872"/>
      <w:bookmarkStart w:id="440" w:name="_Toc21057"/>
      <w:r>
        <w:rPr>
          <w:rFonts w:hint="eastAsia" w:eastAsia="仿宋"/>
          <w:b/>
          <w:bCs/>
          <w:sz w:val="32"/>
          <w:szCs w:val="32"/>
        </w:rPr>
        <w:t>提升再生资源加工利用水平</w:t>
      </w:r>
      <w:bookmarkEnd w:id="431"/>
      <w:bookmarkEnd w:id="432"/>
      <w:bookmarkEnd w:id="433"/>
      <w:bookmarkEnd w:id="434"/>
      <w:bookmarkEnd w:id="435"/>
    </w:p>
    <w:p>
      <w:pPr>
        <w:numPr>
          <w:ilvl w:val="0"/>
          <w:numId w:val="2"/>
        </w:numPr>
        <w:spacing w:line="560" w:lineRule="exact"/>
        <w:ind w:firstLine="640" w:firstLineChars="200"/>
        <w:jc w:val="left"/>
        <w:rPr>
          <w:rFonts w:hint="eastAsia" w:eastAsia="仿宋"/>
          <w:b/>
          <w:bCs/>
          <w:sz w:val="32"/>
          <w:szCs w:val="32"/>
        </w:rPr>
      </w:pPr>
      <w:r>
        <w:rPr>
          <w:rFonts w:hint="eastAsia" w:eastAsia="仿宋_GB2312"/>
          <w:kern w:val="0"/>
          <w:sz w:val="32"/>
          <w:szCs w:val="32"/>
        </w:rPr>
        <w:t>依托我市作为资源循环利用基地以及创建“无废城市”的有利条件，统筹规划布局再生资源加工利用基地，重点打造废铝、废钢、废纸、废塑料及废弃电器电子产品循环利用产业链。</w:t>
      </w:r>
      <w:r>
        <w:rPr>
          <w:rFonts w:eastAsia="仿宋_GB2312"/>
          <w:sz w:val="32"/>
          <w:szCs w:val="32"/>
        </w:rPr>
        <w:t>加大对再生资源加工利用行业、企业的规范管理和环境监管力度，积极培育一批再生资源利用龙头企业，扶持企业依托项目建设和业务拓展，实现规模化发展。</w:t>
      </w:r>
      <w:r>
        <w:rPr>
          <w:rFonts w:hint="eastAsia" w:eastAsia="仿宋_GB2312"/>
          <w:kern w:val="0"/>
          <w:sz w:val="32"/>
          <w:szCs w:val="32"/>
        </w:rPr>
        <w:t>同时，通过我市推进工业振兴各项优惠政策，做好用地、水电气等要素保障，推进环境、能源等基础设施共建共享，促进再生资源产业集聚发展，推动再生资源规模化、规范化、清洁化利用。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20" w:lineRule="exact"/>
              <w:jc w:val="center"/>
              <w:rPr>
                <w:rFonts w:hint="eastAsia" w:ascii="宋体" w:hAnsi="宋体" w:eastAsia="仿宋" w:cs="宋体"/>
                <w:b/>
                <w:bCs/>
                <w:kern w:val="0"/>
                <w:sz w:val="30"/>
                <w:szCs w:val="30"/>
              </w:rPr>
            </w:pPr>
            <w:r>
              <w:rPr>
                <w:rFonts w:hint="eastAsia" w:eastAsia="仿宋"/>
                <w:b/>
                <w:bCs/>
                <w:sz w:val="30"/>
                <w:szCs w:val="30"/>
              </w:rPr>
              <w:t>专栏4-2 城市废旧物资</w:t>
            </w:r>
            <w:r>
              <w:rPr>
                <w:rFonts w:hint="eastAsia" w:eastAsia="仿宋"/>
                <w:b/>
                <w:bCs/>
                <w:sz w:val="30"/>
                <w:szCs w:val="30"/>
                <w:lang w:eastAsia="zh-Hans"/>
              </w:rPr>
              <w:t>和废弃物</w:t>
            </w:r>
            <w:r>
              <w:rPr>
                <w:rFonts w:hint="eastAsia" w:eastAsia="仿宋"/>
                <w:b/>
                <w:bCs/>
                <w:sz w:val="30"/>
                <w:szCs w:val="30"/>
              </w:rPr>
              <w:t>循环利用方向</w:t>
            </w:r>
          </w:p>
          <w:p>
            <w:pPr>
              <w:adjustRightInd w:val="0"/>
              <w:snapToGrid w:val="0"/>
              <w:spacing w:line="520" w:lineRule="exact"/>
              <w:ind w:firstLine="602" w:firstLineChars="200"/>
              <w:rPr>
                <w:rFonts w:eastAsia="仿宋_GB2312"/>
                <w:kern w:val="0"/>
                <w:sz w:val="30"/>
                <w:szCs w:val="30"/>
              </w:rPr>
            </w:pPr>
            <w:r>
              <w:rPr>
                <w:rFonts w:eastAsia="仿宋_GB2312"/>
                <w:b/>
                <w:bCs/>
                <w:kern w:val="0"/>
                <w:sz w:val="30"/>
                <w:szCs w:val="30"/>
                <w:lang w:eastAsia="zh-Hans"/>
              </w:rPr>
              <w:t>废铝循环利用：</w:t>
            </w:r>
            <w:r>
              <w:rPr>
                <w:rFonts w:eastAsia="仿宋_GB2312"/>
                <w:kern w:val="0"/>
                <w:sz w:val="30"/>
                <w:szCs w:val="30"/>
                <w:lang w:eastAsia="zh-Hans"/>
              </w:rPr>
              <w:t>规划建设南宁再生铝产业园，引入废铝回收加工企业，生产ADC12铝锭、铝铸棒、铝板坯等再生铝材。积极推进构建“铝回收—铝再生—铝加工—铝制品—铝科技”为一体的循环生态铝产业链。</w:t>
            </w:r>
          </w:p>
          <w:p>
            <w:pPr>
              <w:adjustRightInd w:val="0"/>
              <w:snapToGrid w:val="0"/>
              <w:spacing w:line="520" w:lineRule="exact"/>
              <w:ind w:firstLine="602"/>
              <w:rPr>
                <w:rFonts w:hint="eastAsia" w:ascii="仿宋_GB2312" w:hAnsi="宋体" w:eastAsia="仿宋_GB2312" w:cs="宋体"/>
                <w:kern w:val="0"/>
                <w:sz w:val="30"/>
                <w:szCs w:val="30"/>
              </w:rPr>
            </w:pPr>
            <w:r>
              <w:rPr>
                <w:rFonts w:hint="eastAsia" w:ascii="仿宋_GB2312" w:hAnsi="宋体" w:eastAsia="仿宋_GB2312" w:cs="宋体"/>
                <w:b/>
                <w:bCs/>
                <w:kern w:val="0"/>
                <w:sz w:val="30"/>
                <w:szCs w:val="30"/>
              </w:rPr>
              <w:t>废钢循环利用：</w:t>
            </w:r>
            <w:r>
              <w:rPr>
                <w:rFonts w:hint="eastAsia" w:ascii="仿宋_GB2312" w:hAnsi="宋体" w:eastAsia="仿宋_GB2312" w:cs="宋体"/>
                <w:kern w:val="0"/>
                <w:sz w:val="30"/>
                <w:szCs w:val="30"/>
                <w:lang w:eastAsia="zh-Hans"/>
              </w:rPr>
              <w:t>依托柳州钢铁研发基地及废钢铁加工仓储配送中心、广西浩源再生资源利用有限公司废钢铁加工仓储配送中心、</w:t>
            </w:r>
            <w:r>
              <w:rPr>
                <w:rFonts w:ascii="仿宋_GB2312" w:hAnsi="宋体" w:eastAsia="仿宋_GB2312" w:cs="宋体"/>
                <w:kern w:val="0"/>
                <w:sz w:val="30"/>
                <w:szCs w:val="30"/>
                <w:lang w:eastAsia="zh-Hans"/>
              </w:rPr>
              <w:t>广西桂物循环产业集团有限公司废钢铁资源回收及加工中心</w:t>
            </w:r>
            <w:r>
              <w:rPr>
                <w:rFonts w:hint="eastAsia" w:ascii="仿宋_GB2312" w:hAnsi="宋体" w:eastAsia="仿宋_GB2312" w:cs="宋体"/>
                <w:kern w:val="0"/>
                <w:sz w:val="30"/>
                <w:szCs w:val="30"/>
                <w:lang w:eastAsia="zh-Hans"/>
              </w:rPr>
              <w:t>项目</w:t>
            </w:r>
            <w:r>
              <w:rPr>
                <w:rFonts w:hint="eastAsia" w:ascii="仿宋_GB2312" w:hAnsi="宋体" w:eastAsia="仿宋_GB2312" w:cs="宋体"/>
                <w:kern w:val="0"/>
                <w:sz w:val="30"/>
                <w:szCs w:val="30"/>
              </w:rPr>
              <w:t>等，</w:t>
            </w:r>
            <w:r>
              <w:rPr>
                <w:rFonts w:hint="eastAsia" w:ascii="仿宋_GB2312" w:hAnsi="宋体" w:eastAsia="仿宋_GB2312" w:cs="宋体"/>
                <w:kern w:val="0"/>
                <w:sz w:val="30"/>
                <w:szCs w:val="30"/>
                <w:lang w:eastAsia="zh-Hans"/>
              </w:rPr>
              <w:t>建立起集回收、分拣、处理、配送为一体的新型废钢生产加工标准化示范基地，打造覆盖全区的废钢加工、销售网络，整合各类小散乱污废钢加工点，形成废钢资源的高效循环再利用。</w:t>
            </w:r>
          </w:p>
          <w:p>
            <w:pPr>
              <w:pStyle w:val="9"/>
              <w:adjustRightInd w:val="0"/>
              <w:snapToGrid w:val="0"/>
              <w:spacing w:line="520" w:lineRule="atLeast"/>
              <w:ind w:firstLine="602"/>
              <w:rPr>
                <w:rFonts w:hint="eastAsia" w:eastAsia="仿宋_GB2312"/>
                <w:kern w:val="0"/>
                <w:sz w:val="30"/>
                <w:szCs w:val="30"/>
              </w:rPr>
            </w:pPr>
            <w:r>
              <w:rPr>
                <w:rFonts w:hint="eastAsia" w:ascii="仿宋_GB2312" w:hAnsi="宋体" w:eastAsia="仿宋_GB2312" w:cs="宋体"/>
                <w:b/>
                <w:bCs/>
                <w:kern w:val="0"/>
                <w:sz w:val="30"/>
                <w:szCs w:val="30"/>
              </w:rPr>
              <w:t>废纸循环利用：</w:t>
            </w:r>
            <w:r>
              <w:rPr>
                <w:rFonts w:eastAsia="仿宋_GB2312"/>
                <w:kern w:val="0"/>
                <w:sz w:val="30"/>
                <w:szCs w:val="30"/>
                <w:lang w:eastAsia="zh-Hans"/>
              </w:rPr>
              <w:t>依托太阳纸业林浆纸一体化及配套产业园项目，整合我市废纸资源，并进行协同处置，用于生产高档包装纸、代塑纸、铜版纸、双胶纸、特种纸基新材料、纸浆等产品，以及上下游包装、印刷、纸张深加工</w:t>
            </w:r>
            <w:r>
              <w:rPr>
                <w:rFonts w:hint="eastAsia" w:eastAsia="仿宋_GB2312"/>
                <w:kern w:val="0"/>
                <w:sz w:val="30"/>
                <w:szCs w:val="30"/>
              </w:rPr>
              <w:t>。</w:t>
            </w:r>
          </w:p>
          <w:p>
            <w:pPr>
              <w:adjustRightInd w:val="0"/>
              <w:snapToGrid w:val="0"/>
              <w:spacing w:line="560" w:lineRule="exact"/>
              <w:ind w:firstLine="602" w:firstLineChars="200"/>
              <w:outlineLvl w:val="1"/>
              <w:rPr>
                <w:rFonts w:hint="eastAsia" w:eastAsia="仿宋_GB2312"/>
                <w:kern w:val="0"/>
                <w:sz w:val="32"/>
                <w:szCs w:val="32"/>
              </w:rPr>
            </w:pPr>
            <w:r>
              <w:rPr>
                <w:rFonts w:hint="eastAsia" w:ascii="仿宋_GB2312" w:hAnsi="宋体" w:eastAsia="仿宋_GB2312" w:cs="宋体"/>
                <w:b/>
                <w:bCs/>
                <w:kern w:val="0"/>
                <w:sz w:val="30"/>
                <w:szCs w:val="30"/>
              </w:rPr>
              <w:t>废玻璃循环利用：</w:t>
            </w:r>
            <w:r>
              <w:rPr>
                <w:rFonts w:hint="eastAsia" w:eastAsia="仿宋_GB2312"/>
                <w:kern w:val="0"/>
                <w:sz w:val="30"/>
                <w:szCs w:val="30"/>
                <w:lang w:eastAsia="zh-Hans"/>
              </w:rPr>
              <w:t>依托</w:t>
            </w:r>
            <w:r>
              <w:rPr>
                <w:rFonts w:eastAsia="仿宋_GB2312"/>
                <w:kern w:val="0"/>
                <w:sz w:val="30"/>
                <w:szCs w:val="30"/>
                <w:lang w:eastAsia="zh-Hans"/>
              </w:rPr>
              <w:t>南宁粤玻实业有限公司</w:t>
            </w:r>
            <w:r>
              <w:rPr>
                <w:rFonts w:hint="eastAsia" w:eastAsia="仿宋_GB2312"/>
                <w:kern w:val="0"/>
                <w:sz w:val="30"/>
                <w:szCs w:val="30"/>
                <w:lang w:eastAsia="zh-Hans"/>
              </w:rPr>
              <w:t>，就近配套海天酱油、百威啤酒、珠江啤酒等市场需求，整合我市废玻璃资源，进行协同处置，进一步提高废玻璃的循环利用价值。</w:t>
            </w:r>
          </w:p>
          <w:p>
            <w:pPr>
              <w:adjustRightInd w:val="0"/>
              <w:snapToGrid w:val="0"/>
              <w:spacing w:line="560" w:lineRule="exact"/>
              <w:ind w:firstLine="602" w:firstLineChars="200"/>
              <w:outlineLvl w:val="1"/>
              <w:rPr>
                <w:rFonts w:hint="eastAsia" w:eastAsia="仿宋_GB2312"/>
                <w:kern w:val="0"/>
                <w:sz w:val="30"/>
                <w:szCs w:val="30"/>
              </w:rPr>
            </w:pPr>
            <w:r>
              <w:rPr>
                <w:rFonts w:hint="eastAsia" w:ascii="仿宋_GB2312" w:hAnsi="宋体" w:eastAsia="仿宋_GB2312" w:cs="宋体"/>
                <w:b/>
                <w:bCs/>
                <w:kern w:val="0"/>
                <w:sz w:val="30"/>
                <w:szCs w:val="30"/>
              </w:rPr>
              <w:t>废旧轮胎橡胶回收再生利用</w:t>
            </w:r>
            <w:r>
              <w:rPr>
                <w:rFonts w:hint="eastAsia" w:ascii="宋体" w:hAnsi="宋体" w:eastAsia="仿宋" w:cs="宋体"/>
                <w:b/>
                <w:bCs/>
                <w:kern w:val="0"/>
                <w:sz w:val="30"/>
                <w:szCs w:val="30"/>
              </w:rPr>
              <w:t>：</w:t>
            </w:r>
            <w:r>
              <w:rPr>
                <w:rFonts w:hint="eastAsia" w:eastAsia="仿宋_GB2312"/>
                <w:kern w:val="0"/>
                <w:sz w:val="30"/>
                <w:szCs w:val="30"/>
                <w:lang w:eastAsia="zh-Hans"/>
              </w:rPr>
              <w:t>依托广西交科新材料科技有限责任公司生产基地，优化废旧轮胎橡胶回收再生利用产业链，推进轮胎翻新、再生橡胶、橡胶粉、热裂解等，加强废旧轮胎橡胶再生加工利用。</w:t>
            </w:r>
          </w:p>
          <w:p>
            <w:pPr>
              <w:adjustRightInd w:val="0"/>
              <w:snapToGrid w:val="0"/>
              <w:spacing w:line="520" w:lineRule="exact"/>
              <w:ind w:firstLine="602" w:firstLineChars="200"/>
              <w:rPr>
                <w:rFonts w:hint="eastAsia" w:eastAsia="仿宋_GB2312"/>
                <w:kern w:val="0"/>
                <w:sz w:val="30"/>
                <w:szCs w:val="30"/>
              </w:rPr>
            </w:pPr>
            <w:r>
              <w:rPr>
                <w:rFonts w:hint="eastAsia" w:eastAsia="仿宋_GB2312"/>
                <w:b/>
                <w:kern w:val="0"/>
                <w:sz w:val="30"/>
                <w:szCs w:val="30"/>
                <w:lang w:eastAsia="zh-Hans"/>
              </w:rPr>
              <w:t>废塑料循环利用</w:t>
            </w:r>
            <w:r>
              <w:rPr>
                <w:rFonts w:hint="eastAsia" w:eastAsia="仿宋_GB2312"/>
                <w:kern w:val="0"/>
                <w:sz w:val="30"/>
                <w:szCs w:val="30"/>
              </w:rPr>
              <w:t>：</w:t>
            </w:r>
            <w:r>
              <w:rPr>
                <w:rFonts w:hint="eastAsia" w:eastAsia="仿宋_GB2312"/>
                <w:kern w:val="0"/>
                <w:sz w:val="30"/>
                <w:szCs w:val="30"/>
                <w:lang w:eastAsia="zh-Hans"/>
              </w:rPr>
              <w:t>依托南宁建宁水务集团再生塑料资源化利用项目、广西农垦明阳生化集团淀粉基生物降解颗粒母料生产项目，加快形成“回收—清洗—分离—造粒—再加工—产品交易”产业链</w:t>
            </w:r>
            <w:r>
              <w:rPr>
                <w:rFonts w:hint="eastAsia" w:eastAsia="仿宋_GB2312"/>
                <w:kern w:val="0"/>
                <w:sz w:val="30"/>
                <w:szCs w:val="30"/>
              </w:rPr>
              <w:t>。</w:t>
            </w:r>
          </w:p>
          <w:p>
            <w:pPr>
              <w:adjustRightInd w:val="0"/>
              <w:snapToGrid w:val="0"/>
              <w:spacing w:line="520" w:lineRule="exact"/>
              <w:ind w:firstLine="602" w:firstLineChars="200"/>
              <w:rPr>
                <w:rFonts w:hint="eastAsia" w:ascii="仿宋_GB2312" w:hAnsi="宋体" w:eastAsia="仿宋_GB2312" w:cs="宋体"/>
                <w:kern w:val="0"/>
                <w:sz w:val="30"/>
                <w:szCs w:val="30"/>
              </w:rPr>
            </w:pPr>
            <w:r>
              <w:rPr>
                <w:rFonts w:hint="eastAsia" w:ascii="仿宋_GB2312" w:hAnsi="宋体" w:eastAsia="仿宋_GB2312" w:cs="宋体"/>
                <w:b/>
                <w:kern w:val="0"/>
                <w:sz w:val="30"/>
                <w:szCs w:val="30"/>
              </w:rPr>
              <w:t>废弃电器电子产品循环利用：</w:t>
            </w:r>
            <w:r>
              <w:rPr>
                <w:rFonts w:hint="eastAsia" w:ascii="仿宋_GB2312" w:hAnsi="宋体" w:eastAsia="仿宋_GB2312" w:cs="宋体"/>
                <w:kern w:val="0"/>
                <w:sz w:val="30"/>
                <w:szCs w:val="30"/>
              </w:rPr>
              <w:t>依托广西桂物资源循环产业园等园区，构建电子废弃物“回收—破碎—拆解—分离提纯—电子电器原材料”循环产业链。</w:t>
            </w:r>
          </w:p>
          <w:p>
            <w:pPr>
              <w:pStyle w:val="9"/>
              <w:adjustRightInd w:val="0"/>
              <w:snapToGrid w:val="0"/>
              <w:spacing w:line="520" w:lineRule="exact"/>
              <w:ind w:firstLine="602"/>
              <w:rPr>
                <w:rFonts w:hint="eastAsia"/>
              </w:rPr>
            </w:pPr>
            <w:r>
              <w:rPr>
                <w:rFonts w:hint="eastAsia" w:ascii="仿宋_GB2312" w:hAnsi="宋体" w:eastAsia="仿宋_GB2312" w:cs="宋体"/>
                <w:b/>
                <w:kern w:val="0"/>
                <w:sz w:val="30"/>
                <w:szCs w:val="30"/>
              </w:rPr>
              <w:t>建筑垃圾循环利用：</w:t>
            </w:r>
            <w:r>
              <w:rPr>
                <w:rFonts w:hint="eastAsia" w:ascii="仿宋_GB2312" w:hAnsi="宋体" w:eastAsia="仿宋_GB2312" w:cs="宋体"/>
                <w:kern w:val="0"/>
                <w:sz w:val="30"/>
                <w:szCs w:val="30"/>
              </w:rPr>
              <w:t>依托广西美斯</w:t>
            </w:r>
            <w:r>
              <w:rPr>
                <w:rFonts w:ascii="仿宋_GB2312" w:hAnsi="宋体" w:eastAsia="仿宋_GB2312" w:cs="宋体"/>
                <w:kern w:val="0"/>
                <w:sz w:val="30"/>
                <w:szCs w:val="30"/>
              </w:rPr>
              <w:t>建</w:t>
            </w:r>
            <w:r>
              <w:rPr>
                <w:rFonts w:hint="eastAsia" w:ascii="仿宋_GB2312" w:hAnsi="宋体" w:eastAsia="仿宋_GB2312" w:cs="宋体"/>
                <w:kern w:val="0"/>
                <w:sz w:val="30"/>
                <w:szCs w:val="30"/>
              </w:rPr>
              <w:t>筑废弃物以及资源化再利用项目，加快构建“建筑原料—建筑物—建筑渣土/废弃物—再生产品”“建筑垃圾回收—破碎分选（金属回收）—制砖/混凝土/水稳/干粉砂浆”等建筑垃圾再生利用循环产业链</w:t>
            </w:r>
            <w:r>
              <w:rPr>
                <w:rFonts w:ascii="仿宋_GB2312" w:hAnsi="宋体" w:eastAsia="仿宋_GB2312" w:cs="宋体"/>
                <w:kern w:val="0"/>
                <w:sz w:val="30"/>
                <w:szCs w:val="30"/>
              </w:rPr>
              <w:t>。</w:t>
            </w:r>
          </w:p>
          <w:p>
            <w:pPr>
              <w:adjustRightInd w:val="0"/>
              <w:snapToGrid w:val="0"/>
              <w:spacing w:line="520" w:lineRule="exact"/>
              <w:ind w:firstLine="602" w:firstLineChars="200"/>
              <w:rPr>
                <w:rFonts w:hint="eastAsia" w:ascii="仿宋_GB2312" w:hAnsi="宋体" w:eastAsia="仿宋_GB2312" w:cs="宋体"/>
                <w:kern w:val="0"/>
                <w:sz w:val="30"/>
                <w:szCs w:val="30"/>
              </w:rPr>
            </w:pPr>
            <w:r>
              <w:rPr>
                <w:rFonts w:hint="eastAsia" w:ascii="仿宋_GB2312" w:hAnsi="宋体" w:eastAsia="仿宋_GB2312" w:cs="宋体"/>
                <w:b/>
                <w:kern w:val="0"/>
                <w:sz w:val="30"/>
                <w:szCs w:val="30"/>
              </w:rPr>
              <w:t>生活垃圾资源化利用：</w:t>
            </w:r>
            <w:r>
              <w:rPr>
                <w:rFonts w:hint="eastAsia" w:ascii="仿宋_GB2312" w:hAnsi="宋体" w:eastAsia="仿宋_GB2312" w:cs="宋体"/>
                <w:kern w:val="0"/>
                <w:sz w:val="30"/>
                <w:szCs w:val="30"/>
              </w:rPr>
              <w:t>按照“焚烧为主、填埋兜底”的原则，进一步推进生活垃圾资源化利用设施建设。加快以生活垃圾焚烧发电为主的循环经济产业园建设，推进生活干垃圾焚烧发电替代填埋处理，构建“生活垃圾—焚烧发电+余热利用—炉渣综合利用”循环产业链。</w:t>
            </w:r>
          </w:p>
          <w:p>
            <w:pPr>
              <w:adjustRightInd w:val="0"/>
              <w:snapToGrid w:val="0"/>
              <w:spacing w:line="520" w:lineRule="exact"/>
              <w:ind w:firstLine="602" w:firstLineChars="200"/>
              <w:rPr>
                <w:rFonts w:hint="eastAsia"/>
              </w:rPr>
            </w:pPr>
            <w:r>
              <w:rPr>
                <w:rFonts w:hint="eastAsia" w:ascii="仿宋_GB2312" w:hAnsi="宋体" w:eastAsia="仿宋_GB2312" w:cs="宋体"/>
                <w:b/>
                <w:kern w:val="0"/>
                <w:sz w:val="30"/>
                <w:szCs w:val="30"/>
              </w:rPr>
              <w:t>厨余垃圾资源化利用：</w:t>
            </w:r>
            <w:r>
              <w:rPr>
                <w:rFonts w:hint="eastAsia" w:ascii="宋体" w:hAnsi="宋体" w:eastAsia="仿宋" w:cs="宋体"/>
                <w:kern w:val="0"/>
                <w:sz w:val="30"/>
                <w:szCs w:val="30"/>
              </w:rPr>
              <w:t>因地制宜推进厨余垃圾资源化利用基础设施建设，重点推进餐厨废弃物预处理站、分类处理环节的基础设施及技术先进的垃圾资源化处理设施建设。积极推进各县（市、区）厨余垃圾处置终端建设，市区范围内厨余垃圾以循环经济产业园综合处理中心为主，其他方式为辅。</w:t>
            </w:r>
          </w:p>
        </w:tc>
      </w:tr>
    </w:tbl>
    <w:p/>
    <w:p>
      <w:pPr>
        <w:numPr>
          <w:ilvl w:val="0"/>
          <w:numId w:val="2"/>
        </w:numPr>
        <w:adjustRightInd w:val="0"/>
        <w:snapToGrid w:val="0"/>
        <w:spacing w:line="560" w:lineRule="exact"/>
        <w:ind w:firstLine="643" w:firstLineChars="200"/>
        <w:jc w:val="left"/>
        <w:outlineLvl w:val="2"/>
        <w:rPr>
          <w:rFonts w:eastAsia="仿宋"/>
          <w:b/>
          <w:bCs/>
          <w:sz w:val="32"/>
          <w:szCs w:val="32"/>
        </w:rPr>
      </w:pPr>
      <w:r>
        <w:rPr>
          <w:rFonts w:hint="eastAsia" w:eastAsia="仿宋"/>
          <w:b/>
          <w:bCs/>
          <w:sz w:val="32"/>
          <w:szCs w:val="32"/>
        </w:rPr>
        <w:t>促进再制造</w:t>
      </w:r>
      <w:bookmarkEnd w:id="436"/>
      <w:bookmarkEnd w:id="437"/>
      <w:bookmarkEnd w:id="438"/>
      <w:bookmarkEnd w:id="439"/>
      <w:bookmarkEnd w:id="440"/>
      <w:r>
        <w:rPr>
          <w:rFonts w:hint="eastAsia" w:eastAsia="仿宋"/>
          <w:b/>
          <w:bCs/>
          <w:sz w:val="32"/>
          <w:szCs w:val="32"/>
        </w:rPr>
        <w:t>产业高质量发展</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大力培育和促进工业再制造等新兴产业发展，以汽车零部件、工程机械、大型工业装备、电子产品等再制造为方向，推进再制造规模化、集聚化、产业化发展。大力发展移动式修复设备，由集中再制造向现场再制造发展。建立完善再制造旧件回收体系，扩大旧件来源。加强再制造产品认证与推广应用，支持电器电子生产企业、汽车生产企业、工程机械企业等在生产环节推广使用再制造材料和产品。规范再制造服务制度，推进再制造服务体系建设，建立再制造产品连锁示范店和售后服务点，探索形成以定向修复、专业维护、后期承包为特点的再制造技术服务发展模式。</w:t>
      </w:r>
    </w:p>
    <w:p>
      <w:pPr>
        <w:numPr>
          <w:ilvl w:val="0"/>
          <w:numId w:val="2"/>
        </w:numPr>
        <w:adjustRightInd w:val="0"/>
        <w:snapToGrid w:val="0"/>
        <w:spacing w:line="560" w:lineRule="exact"/>
        <w:ind w:firstLine="643" w:firstLineChars="200"/>
        <w:jc w:val="left"/>
        <w:outlineLvl w:val="2"/>
        <w:rPr>
          <w:rFonts w:eastAsia="仿宋"/>
          <w:b/>
          <w:bCs/>
          <w:sz w:val="32"/>
          <w:szCs w:val="32"/>
        </w:rPr>
      </w:pPr>
      <w:r>
        <w:rPr>
          <w:rFonts w:hint="eastAsia" w:eastAsia="仿宋"/>
          <w:b/>
          <w:bCs/>
          <w:sz w:val="32"/>
          <w:szCs w:val="32"/>
        </w:rPr>
        <w:t>加快构建循环型社会体系</w:t>
      </w:r>
    </w:p>
    <w:p>
      <w:pPr>
        <w:adjustRightInd w:val="0"/>
        <w:snapToGrid w:val="0"/>
        <w:spacing w:line="560" w:lineRule="exact"/>
        <w:ind w:left="2" w:firstLine="537" w:firstLineChars="168"/>
        <w:rPr>
          <w:rFonts w:hint="eastAsia" w:ascii="仿宋" w:hAnsi="仿宋" w:eastAsia="仿宋" w:cs="仿宋"/>
          <w:sz w:val="32"/>
          <w:szCs w:val="32"/>
          <w:shd w:val="clear" w:color="auto" w:fill="FFFFFF"/>
        </w:rPr>
      </w:pPr>
      <w:r>
        <w:rPr>
          <w:rFonts w:hint="eastAsia" w:eastAsia="仿宋"/>
          <w:sz w:val="32"/>
          <w:szCs w:val="32"/>
        </w:rPr>
        <w:t>倡导文明、节约、绿色、低碳、循环的消费理念，提高全社会节能、节地、节水、节材、资源综合利用的意识。</w:t>
      </w:r>
      <w:r>
        <w:rPr>
          <w:rFonts w:hint="eastAsia" w:ascii="仿宋" w:hAnsi="仿宋" w:eastAsia="仿宋" w:cs="仿宋"/>
          <w:sz w:val="32"/>
          <w:szCs w:val="32"/>
          <w:shd w:val="clear" w:color="auto" w:fill="FFFFFF"/>
        </w:rPr>
        <w:t>建立绿色消费市场，积极推广节能、环保产品的消费和使用，引导居民自觉践行绿色生活方式和消费模式。</w:t>
      </w:r>
      <w:r>
        <w:rPr>
          <w:rFonts w:hint="eastAsia" w:eastAsia="仿宋"/>
          <w:sz w:val="32"/>
          <w:szCs w:val="32"/>
        </w:rPr>
        <w:t>推进绿色建筑设计和施工，推广应用节能利废新型建筑材料，提升建筑节能技术水平和能源利用率，建立绿色建筑设计、实施、验收等全过程的监管体系</w:t>
      </w:r>
      <w:r>
        <w:rPr>
          <w:rFonts w:eastAsia="仿宋"/>
          <w:sz w:val="32"/>
          <w:szCs w:val="32"/>
        </w:rPr>
        <w:t>，</w:t>
      </w:r>
      <w:r>
        <w:rPr>
          <w:rFonts w:hint="eastAsia" w:eastAsia="仿宋"/>
          <w:sz w:val="32"/>
          <w:szCs w:val="32"/>
        </w:rPr>
        <w:t>积极争取开展绿色建造试点。</w:t>
      </w:r>
      <w:r>
        <w:rPr>
          <w:rFonts w:hint="eastAsia" w:ascii="仿宋" w:hAnsi="仿宋" w:eastAsia="仿宋" w:cs="仿宋"/>
          <w:sz w:val="32"/>
          <w:szCs w:val="32"/>
          <w:shd w:val="clear" w:color="auto" w:fill="FFFFFF"/>
        </w:rPr>
        <w:t>加强绿色低碳型交通运输网络体系、节能环保型交通运输装备体系建设，提倡绿色出行。推进餐饮住宿行业绿色化，推动</w:t>
      </w:r>
      <w:r>
        <w:rPr>
          <w:rFonts w:hint="eastAsia" w:ascii="仿宋" w:hAnsi="仿宋" w:eastAsia="仿宋" w:cs="仿宋"/>
          <w:sz w:val="32"/>
          <w:szCs w:val="32"/>
          <w:shd w:val="clear" w:color="auto" w:fill="FFFFFF"/>
          <w:lang w:eastAsia="zh-Hans"/>
        </w:rPr>
        <w:t>限上</w:t>
      </w:r>
      <w:r>
        <w:rPr>
          <w:rFonts w:hint="eastAsia" w:ascii="仿宋" w:hAnsi="仿宋" w:eastAsia="仿宋" w:cs="仿宋"/>
          <w:sz w:val="32"/>
          <w:szCs w:val="32"/>
          <w:shd w:val="clear" w:color="auto" w:fill="FFFFFF"/>
        </w:rPr>
        <w:t>住宿餐饮企业对照明、空调、锅炉系统进行节能改造，使用节能节水产品，推进绿色饭店、绿色宾馆、绿色旅游酒店等建设。积极推进绿色节约型政府建设，加强相关领域绩效</w:t>
      </w:r>
      <w:r>
        <w:rPr>
          <w:rFonts w:eastAsia="仿宋"/>
          <w:sz w:val="32"/>
          <w:szCs w:val="32"/>
        </w:rPr>
        <w:t>考核</w:t>
      </w:r>
      <w:r>
        <w:rPr>
          <w:rFonts w:hint="eastAsia" w:ascii="仿宋" w:hAnsi="仿宋" w:eastAsia="仿宋" w:cs="仿宋"/>
          <w:sz w:val="32"/>
          <w:szCs w:val="32"/>
          <w:shd w:val="clear" w:color="auto" w:fill="FFFFFF"/>
        </w:rPr>
        <w:t>，充分发挥示范表率作用。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1" w:type="dxa"/>
            <w:noWrap w:val="0"/>
            <w:vAlign w:val="top"/>
          </w:tcPr>
          <w:p>
            <w:pPr>
              <w:adjustRightInd w:val="0"/>
              <w:snapToGrid w:val="0"/>
              <w:spacing w:line="560" w:lineRule="exact"/>
              <w:jc w:val="center"/>
              <w:rPr>
                <w:rFonts w:hint="eastAsia" w:ascii="仿宋" w:hAnsi="仿宋" w:eastAsia="仿宋" w:cs="仿宋"/>
                <w:sz w:val="30"/>
                <w:szCs w:val="30"/>
                <w:shd w:val="clear" w:color="auto" w:fill="FFFFFF"/>
              </w:rPr>
            </w:pPr>
            <w:bookmarkStart w:id="441" w:name="_Toc1932895729"/>
            <w:bookmarkStart w:id="442" w:name="_Toc1577143885"/>
            <w:bookmarkStart w:id="443" w:name="_Toc9332"/>
            <w:bookmarkStart w:id="444" w:name="_Toc13469"/>
            <w:bookmarkStart w:id="445" w:name="_Toc876611628"/>
            <w:bookmarkStart w:id="446" w:name="_Toc23752"/>
            <w:r>
              <w:rPr>
                <w:rFonts w:eastAsia="仿宋"/>
                <w:b/>
                <w:bCs/>
                <w:sz w:val="30"/>
                <w:szCs w:val="30"/>
                <w:shd w:val="clear" w:color="auto" w:fill="FFFFFF"/>
              </w:rPr>
              <w:t>专栏4-</w:t>
            </w:r>
            <w:r>
              <w:rPr>
                <w:rFonts w:hint="eastAsia" w:eastAsia="仿宋"/>
                <w:b/>
                <w:bCs/>
                <w:sz w:val="30"/>
                <w:szCs w:val="30"/>
                <w:shd w:val="clear" w:color="auto" w:fill="FFFFFF"/>
              </w:rPr>
              <w:t>3</w:t>
            </w:r>
            <w:r>
              <w:rPr>
                <w:rFonts w:eastAsia="仿宋"/>
                <w:b/>
                <w:bCs/>
                <w:sz w:val="30"/>
                <w:szCs w:val="30"/>
                <w:shd w:val="clear" w:color="auto" w:fill="FFFFFF"/>
              </w:rPr>
              <w:t xml:space="preserve"> 循环型社会建设重点</w:t>
            </w:r>
            <w:bookmarkEnd w:id="0"/>
            <w:bookmarkEnd w:id="1"/>
            <w:bookmarkEnd w:id="2"/>
            <w:bookmarkEnd w:id="3"/>
            <w:bookmarkEnd w:id="4"/>
            <w:bookmarkEnd w:id="441"/>
            <w:bookmarkEnd w:id="442"/>
            <w:bookmarkEnd w:id="443"/>
            <w:bookmarkEnd w:id="444"/>
            <w:bookmarkEnd w:id="445"/>
            <w:bookmarkEnd w:id="446"/>
            <w:bookmarkStart w:id="447" w:name="_Toc70730320"/>
            <w:bookmarkStart w:id="448" w:name="_Toc7957"/>
            <w:bookmarkStart w:id="449" w:name="_Toc1866922902"/>
            <w:bookmarkStart w:id="450" w:name="_Toc32307"/>
            <w:bookmarkStart w:id="451" w:name="_Toc344875612"/>
            <w:bookmarkStart w:id="452" w:name="_Toc6455"/>
            <w:bookmarkStart w:id="453" w:name="_Toc6492"/>
            <w:r>
              <w:rPr>
                <w:rFonts w:eastAsia="仿宋"/>
                <w:b/>
                <w:bCs/>
                <w:sz w:val="30"/>
                <w:szCs w:val="30"/>
                <w:shd w:val="clear" w:color="auto" w:fill="FFFFFF"/>
              </w:rPr>
              <w:t>领域</w:t>
            </w:r>
            <w:r>
              <w:rPr>
                <w:rFonts w:hint="eastAsia" w:ascii="仿宋" w:hAnsi="仿宋" w:eastAsia="仿宋" w:cs="仿宋"/>
                <w:sz w:val="30"/>
                <w:szCs w:val="30"/>
                <w:shd w:val="clear" w:color="auto" w:fill="FFFFFF"/>
              </w:rPr>
              <w:t xml:space="preserve">      </w:t>
            </w:r>
            <w:r>
              <w:rPr>
                <w:rFonts w:eastAsia="仿宋"/>
                <w:b/>
                <w:bCs/>
                <w:sz w:val="30"/>
                <w:szCs w:val="30"/>
                <w:shd w:val="clear" w:color="auto" w:fill="FFFFFF"/>
              </w:rPr>
              <w:t xml:space="preserve">      </w:t>
            </w:r>
          </w:p>
          <w:p>
            <w:pPr>
              <w:adjustRightInd w:val="0"/>
              <w:snapToGrid w:val="0"/>
              <w:spacing w:line="560" w:lineRule="exact"/>
              <w:ind w:firstLine="602" w:firstLineChars="200"/>
              <w:jc w:val="left"/>
              <w:rPr>
                <w:rFonts w:hint="eastAsia" w:ascii="仿宋" w:hAnsi="仿宋" w:eastAsia="仿宋" w:cs="仿宋"/>
                <w:sz w:val="30"/>
                <w:szCs w:val="30"/>
                <w:shd w:val="clear" w:color="auto" w:fill="FFFFFF"/>
              </w:rPr>
            </w:pPr>
            <w:r>
              <w:rPr>
                <w:rFonts w:hint="eastAsia" w:ascii="仿宋" w:hAnsi="仿宋" w:eastAsia="仿宋" w:cs="仿宋"/>
                <w:b/>
                <w:bCs/>
                <w:sz w:val="30"/>
                <w:szCs w:val="30"/>
                <w:shd w:val="clear" w:color="auto" w:fill="FFFFFF"/>
              </w:rPr>
              <w:t>绿色建筑：</w:t>
            </w:r>
            <w:r>
              <w:rPr>
                <w:rFonts w:hint="eastAsia" w:ascii="仿宋" w:hAnsi="仿宋" w:eastAsia="仿宋" w:cs="仿宋"/>
                <w:sz w:val="30"/>
                <w:szCs w:val="30"/>
                <w:shd w:val="clear" w:color="auto" w:fill="FFFFFF"/>
              </w:rPr>
              <w:t>在新建建筑建设、既有建筑节能改造、可再生能源建筑应用、建筑运行节能监管等领域全面推行绿色建筑工程，支持装配式建筑预制构件产业发展，推进新型环保建筑复合材料等项目建设。大力发展绿色新型建材，重点发展浮法玻璃、高标号水泥、新型墙体材料、保温隔热材料等绿色建材，支持墙、散企业创建绿色生产体系，积极发展轻质高强自保温的新型砌块、精准加气砌块、一体化墙板、装配式建筑预制构件、管廊预制构件、高附加值的轻质特种砂浆等新型墙材和水泥制品。</w:t>
            </w:r>
          </w:p>
          <w:p>
            <w:pPr>
              <w:adjustRightInd w:val="0"/>
              <w:snapToGrid w:val="0"/>
              <w:spacing w:line="560" w:lineRule="exact"/>
              <w:ind w:firstLine="602" w:firstLineChars="200"/>
              <w:jc w:val="left"/>
              <w:rPr>
                <w:rFonts w:hint="eastAsia" w:ascii="仿宋" w:hAnsi="仿宋" w:eastAsia="仿宋" w:cs="仿宋"/>
                <w:sz w:val="30"/>
                <w:szCs w:val="30"/>
                <w:shd w:val="clear" w:color="auto" w:fill="FFFFFF"/>
              </w:rPr>
            </w:pPr>
            <w:r>
              <w:rPr>
                <w:rFonts w:hint="eastAsia" w:ascii="仿宋" w:hAnsi="仿宋" w:eastAsia="仿宋" w:cs="仿宋"/>
                <w:b/>
                <w:bCs/>
                <w:sz w:val="30"/>
                <w:szCs w:val="30"/>
                <w:shd w:val="clear" w:color="auto" w:fill="FFFFFF"/>
              </w:rPr>
              <w:t>绿色交通：</w:t>
            </w:r>
            <w:r>
              <w:rPr>
                <w:rFonts w:hint="eastAsia" w:ascii="仿宋" w:hAnsi="仿宋" w:eastAsia="仿宋" w:cs="仿宋"/>
                <w:sz w:val="30"/>
                <w:szCs w:val="30"/>
                <w:shd w:val="clear" w:color="auto" w:fill="FFFFFF"/>
              </w:rPr>
              <w:t>积极推进公交都市建设，大力发展公共交通，建设绿色出行友好环境，进一步提升城市居民绿色出行比例。推广甩挂运输等先进组织模式、提高多式联运比重、发展公共交通、推广新能源汽车等，强化交通运输节能。推广公路工程废旧材料、设施设备、施工材料等综合利用，鼓励公路建设应用废旧轮胎和建筑垃圾等废旧材料。</w:t>
            </w:r>
          </w:p>
          <w:p>
            <w:pPr>
              <w:adjustRightInd w:val="0"/>
              <w:snapToGrid w:val="0"/>
              <w:spacing w:line="560" w:lineRule="exact"/>
              <w:ind w:firstLine="602" w:firstLineChars="200"/>
              <w:jc w:val="left"/>
              <w:rPr>
                <w:rFonts w:hint="eastAsia" w:ascii="楷体" w:hAnsi="楷体" w:eastAsia="楷体"/>
                <w:b/>
                <w:sz w:val="32"/>
                <w:szCs w:val="32"/>
              </w:rPr>
            </w:pPr>
            <w:r>
              <w:rPr>
                <w:rFonts w:hint="eastAsia" w:ascii="仿宋" w:hAnsi="仿宋" w:eastAsia="仿宋" w:cs="仿宋"/>
                <w:b/>
                <w:bCs/>
                <w:sz w:val="30"/>
                <w:szCs w:val="30"/>
                <w:shd w:val="clear" w:color="auto" w:fill="FFFFFF"/>
              </w:rPr>
              <w:t>绿色节约型政府：</w:t>
            </w:r>
            <w:r>
              <w:rPr>
                <w:rFonts w:hint="eastAsia" w:ascii="仿宋" w:hAnsi="仿宋" w:eastAsia="仿宋" w:cs="仿宋"/>
                <w:sz w:val="30"/>
                <w:szCs w:val="30"/>
                <w:shd w:val="clear" w:color="auto" w:fill="FFFFFF"/>
              </w:rPr>
              <w:t>积极倡导绿色办公，推行无纸化办公，建立健全公共机构办公设施设备、办公用品等的回收循环再利用体系。建立健全绿色产品政府采购制度，推广实施统一的绿色产品标准、认证和标识体系，调整优化绿色产品政府采购制度。加快建立政府采购绿色产品库，建立入库产品必须同时具备节能产品、环境标志产品的“双标”制度。加大政府绿色采购力度，扩大绿色产品采购范围，优先将循环经济产品纳入政府采购目录，不断提高货物类政府采购项目中绿色产品采购比率和采购规模。</w:t>
            </w:r>
          </w:p>
        </w:tc>
      </w:tr>
    </w:tbl>
    <w:p/>
    <w:p>
      <w:pPr>
        <w:adjustRightInd w:val="0"/>
        <w:snapToGrid w:val="0"/>
        <w:spacing w:line="560" w:lineRule="exact"/>
        <w:ind w:left="319" w:leftChars="152" w:firstLine="318" w:firstLineChars="99"/>
        <w:jc w:val="left"/>
        <w:outlineLvl w:val="1"/>
        <w:rPr>
          <w:rFonts w:ascii="楷体" w:hAnsi="楷体" w:eastAsia="楷体"/>
          <w:b/>
          <w:sz w:val="32"/>
          <w:szCs w:val="32"/>
        </w:rPr>
      </w:pPr>
      <w:bookmarkStart w:id="454" w:name="_Toc200"/>
      <w:bookmarkStart w:id="455" w:name="_Toc18508"/>
      <w:bookmarkStart w:id="456" w:name="_Toc26217"/>
      <w:bookmarkStart w:id="457" w:name="_Toc10556"/>
      <w:bookmarkStart w:id="458" w:name="_Toc13215"/>
      <w:bookmarkStart w:id="459" w:name="_Toc28612"/>
      <w:bookmarkStart w:id="460" w:name="_Toc23966"/>
      <w:bookmarkStart w:id="461" w:name="_Toc477"/>
      <w:bookmarkStart w:id="462" w:name="_Toc10595"/>
      <w:bookmarkStart w:id="463" w:name="_Toc14565"/>
      <w:bookmarkStart w:id="464" w:name="_Toc4476"/>
      <w:bookmarkStart w:id="465" w:name="_Toc15671"/>
      <w:bookmarkStart w:id="466" w:name="_Toc92706651"/>
      <w:bookmarkStart w:id="467" w:name="_Toc31525"/>
      <w:bookmarkStart w:id="468" w:name="_Toc15329"/>
      <w:bookmarkStart w:id="469" w:name="_Toc642264367"/>
      <w:bookmarkStart w:id="470" w:name="_Toc19503"/>
      <w:bookmarkStart w:id="471" w:name="_Toc14885"/>
      <w:bookmarkStart w:id="472" w:name="_Toc5284"/>
      <w:bookmarkStart w:id="473" w:name="_Toc21512"/>
      <w:bookmarkStart w:id="474" w:name="_Toc10206"/>
      <w:r>
        <w:rPr>
          <w:rFonts w:hint="eastAsia" w:ascii="楷体" w:hAnsi="楷体" w:eastAsia="楷体"/>
          <w:b/>
          <w:sz w:val="32"/>
          <w:szCs w:val="32"/>
        </w:rPr>
        <w:t>（三）</w:t>
      </w:r>
      <w:bookmarkEnd w:id="447"/>
      <w:bookmarkEnd w:id="448"/>
      <w:bookmarkEnd w:id="449"/>
      <w:bookmarkEnd w:id="450"/>
      <w:bookmarkEnd w:id="451"/>
      <w:r>
        <w:rPr>
          <w:rFonts w:hint="eastAsia" w:ascii="楷体" w:hAnsi="楷体" w:eastAsia="楷体"/>
          <w:b/>
          <w:sz w:val="32"/>
          <w:szCs w:val="32"/>
        </w:rPr>
        <w:t>构建循环型农业发展体系</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adjustRightInd w:val="0"/>
        <w:snapToGrid w:val="0"/>
        <w:spacing w:line="560" w:lineRule="exact"/>
        <w:ind w:left="2" w:firstLine="540" w:firstLineChars="168"/>
        <w:jc w:val="left"/>
        <w:outlineLvl w:val="2"/>
        <w:rPr>
          <w:rFonts w:eastAsia="仿宋"/>
          <w:b/>
          <w:bCs/>
          <w:sz w:val="32"/>
          <w:szCs w:val="32"/>
        </w:rPr>
      </w:pPr>
      <w:bookmarkStart w:id="475" w:name="_Toc1206031449"/>
      <w:bookmarkStart w:id="476" w:name="_Toc758"/>
      <w:bookmarkStart w:id="477" w:name="_Toc266047631"/>
      <w:bookmarkStart w:id="478" w:name="_Toc7830"/>
      <w:bookmarkStart w:id="479" w:name="_Toc489647597"/>
      <w:r>
        <w:rPr>
          <w:rFonts w:eastAsia="仿宋"/>
          <w:b/>
          <w:bCs/>
          <w:sz w:val="32"/>
          <w:szCs w:val="32"/>
        </w:rPr>
        <w:t>1</w:t>
      </w:r>
      <w:r>
        <w:rPr>
          <w:rFonts w:hint="eastAsia" w:eastAsia="仿宋"/>
          <w:b/>
          <w:bCs/>
          <w:sz w:val="32"/>
          <w:szCs w:val="32"/>
        </w:rPr>
        <w:t>.</w:t>
      </w:r>
      <w:r>
        <w:rPr>
          <w:rFonts w:eastAsia="仿宋"/>
          <w:b/>
          <w:bCs/>
          <w:sz w:val="32"/>
          <w:szCs w:val="32"/>
        </w:rPr>
        <w:t xml:space="preserve"> </w:t>
      </w:r>
      <w:bookmarkEnd w:id="475"/>
      <w:bookmarkEnd w:id="476"/>
      <w:bookmarkEnd w:id="477"/>
      <w:bookmarkEnd w:id="478"/>
      <w:bookmarkEnd w:id="479"/>
      <w:r>
        <w:rPr>
          <w:rFonts w:hint="eastAsia" w:eastAsia="仿宋"/>
          <w:b/>
          <w:bCs/>
          <w:sz w:val="32"/>
          <w:szCs w:val="32"/>
        </w:rPr>
        <w:t>推行循环型农业发展模式</w:t>
      </w:r>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大力发展绿色生态种养业，鼓励发展生态种植、生态养殖</w:t>
      </w:r>
      <w:r>
        <w:rPr>
          <w:rFonts w:eastAsia="仿宋"/>
          <w:sz w:val="32"/>
          <w:szCs w:val="32"/>
        </w:rPr>
        <w:t>，实施粮油、甘蔗、桑蚕、果蔬、茶叶、食用菌、花卉等生态种养业提升工程，推广种养结合、立体养殖、循环利用等生态种养技术。</w:t>
      </w:r>
      <w:r>
        <w:rPr>
          <w:rFonts w:hint="eastAsia" w:eastAsia="仿宋"/>
          <w:sz w:val="32"/>
          <w:szCs w:val="32"/>
        </w:rPr>
        <w:t>积极发展绿色生态畜牧业，落实畜禽现代绿色生态养殖</w:t>
      </w:r>
      <w:r>
        <w:rPr>
          <w:rFonts w:eastAsia="仿宋"/>
          <w:sz w:val="32"/>
          <w:szCs w:val="32"/>
        </w:rPr>
        <w:t>，</w:t>
      </w:r>
      <w:r>
        <w:rPr>
          <w:rFonts w:hint="eastAsia" w:eastAsia="仿宋"/>
          <w:sz w:val="32"/>
          <w:szCs w:val="32"/>
        </w:rPr>
        <w:t>加快种养结合新型养殖技术，构建绿色生态养殖发展模式</w:t>
      </w:r>
      <w:r>
        <w:rPr>
          <w:rFonts w:eastAsia="仿宋"/>
          <w:sz w:val="32"/>
          <w:szCs w:val="32"/>
        </w:rPr>
        <w:t>。</w:t>
      </w:r>
      <w:r>
        <w:rPr>
          <w:rFonts w:hint="eastAsia" w:eastAsia="仿宋"/>
          <w:sz w:val="32"/>
          <w:szCs w:val="32"/>
        </w:rPr>
        <w:t>积极发展林下循环经济，推动林下经济多元发展</w:t>
      </w:r>
      <w:r>
        <w:rPr>
          <w:rFonts w:eastAsia="仿宋"/>
          <w:sz w:val="32"/>
          <w:szCs w:val="32"/>
        </w:rPr>
        <w:t>，</w:t>
      </w:r>
      <w:r>
        <w:rPr>
          <w:rFonts w:hint="eastAsia" w:eastAsia="仿宋"/>
          <w:sz w:val="32"/>
          <w:szCs w:val="32"/>
        </w:rPr>
        <w:t>着力发展</w:t>
      </w:r>
      <w:r>
        <w:rPr>
          <w:rFonts w:eastAsia="仿宋"/>
          <w:sz w:val="32"/>
          <w:szCs w:val="32"/>
        </w:rPr>
        <w:t>林下种植和林下养殖产业，</w:t>
      </w:r>
      <w:r>
        <w:rPr>
          <w:rFonts w:hint="eastAsia" w:eastAsia="仿宋"/>
          <w:sz w:val="32"/>
          <w:szCs w:val="32"/>
        </w:rPr>
        <w:t>推广林药、林禽、林畜</w:t>
      </w:r>
      <w:r>
        <w:rPr>
          <w:rFonts w:eastAsia="仿宋"/>
          <w:sz w:val="32"/>
          <w:szCs w:val="32"/>
        </w:rPr>
        <w:t>、</w:t>
      </w:r>
      <w:r>
        <w:rPr>
          <w:rFonts w:hint="eastAsia" w:eastAsia="仿宋"/>
          <w:sz w:val="32"/>
          <w:szCs w:val="32"/>
        </w:rPr>
        <w:t>林下产品采集加工、林下旅游等立体复合循环农业经济模式。积极培育林业产业园区，推进林下经济标准示范基地建设，打造成为林下经济精品示范点。</w:t>
      </w:r>
    </w:p>
    <w:p>
      <w:pPr>
        <w:adjustRightInd w:val="0"/>
        <w:snapToGrid w:val="0"/>
        <w:spacing w:line="560" w:lineRule="exact"/>
        <w:ind w:left="542"/>
        <w:jc w:val="left"/>
        <w:rPr>
          <w:rFonts w:eastAsia="仿宋"/>
          <w:b/>
          <w:bCs/>
          <w:sz w:val="32"/>
          <w:szCs w:val="32"/>
        </w:rPr>
      </w:pPr>
      <w:r>
        <w:rPr>
          <w:rFonts w:hint="eastAsia" w:eastAsia="仿宋"/>
          <w:b/>
          <w:bCs/>
          <w:sz w:val="32"/>
          <w:szCs w:val="32"/>
        </w:rPr>
        <w:t>2. 加强农业资源高效利用</w:t>
      </w:r>
    </w:p>
    <w:p>
      <w:pPr>
        <w:adjustRightInd w:val="0"/>
        <w:snapToGrid w:val="0"/>
        <w:spacing w:line="560" w:lineRule="exact"/>
        <w:ind w:left="2" w:firstLine="537" w:firstLineChars="168"/>
        <w:jc w:val="left"/>
        <w:rPr>
          <w:rFonts w:hint="eastAsia" w:eastAsia="仿宋"/>
          <w:sz w:val="32"/>
          <w:szCs w:val="32"/>
        </w:rPr>
      </w:pPr>
      <w:r>
        <w:rPr>
          <w:rFonts w:hint="eastAsia" w:eastAsia="仿宋"/>
          <w:sz w:val="32"/>
          <w:szCs w:val="32"/>
        </w:rPr>
        <w:t>推进用地养地相结合，充分挖掘土、水、光、热等资源利用潜力，提高耕地、水面、林地综合产出效率。大力推进有机肥生产和使用，不断提升测土配方施肥水平，推广水肥一体化、秸秆还田等技术，提高化肥利用效率。促进水产养殖业集约发展。健全农药包装物、农膜等回收利用体系，提高废旧农用物资资源化利用水平。重点开展废弃农资包装物回收集中处置试点</w:t>
      </w:r>
      <w:r>
        <w:rPr>
          <w:rFonts w:eastAsia="仿宋"/>
          <w:sz w:val="32"/>
          <w:szCs w:val="32"/>
        </w:rPr>
        <w:t>，</w:t>
      </w:r>
      <w:r>
        <w:rPr>
          <w:rFonts w:hint="eastAsia" w:eastAsia="仿宋"/>
          <w:sz w:val="32"/>
          <w:szCs w:val="32"/>
        </w:rPr>
        <w:t>建立</w:t>
      </w:r>
      <w:r>
        <w:rPr>
          <w:rFonts w:eastAsia="仿宋"/>
          <w:sz w:val="32"/>
          <w:szCs w:val="32"/>
        </w:rPr>
        <w:t>废弃农资包装物回收处置体系，</w:t>
      </w:r>
      <w:r>
        <w:rPr>
          <w:rFonts w:hint="eastAsia" w:eastAsia="仿宋"/>
          <w:sz w:val="32"/>
          <w:szCs w:val="32"/>
        </w:rPr>
        <w:t>加强农药</w:t>
      </w:r>
      <w:r>
        <w:rPr>
          <w:rFonts w:eastAsia="仿宋"/>
          <w:sz w:val="32"/>
          <w:szCs w:val="32"/>
        </w:rPr>
        <w:t>废弃包装物回收处置，</w:t>
      </w:r>
      <w:r>
        <w:rPr>
          <w:rFonts w:hint="eastAsia" w:eastAsia="仿宋"/>
          <w:sz w:val="32"/>
          <w:szCs w:val="32"/>
        </w:rPr>
        <w:t>全面提升</w:t>
      </w:r>
      <w:r>
        <w:rPr>
          <w:rFonts w:eastAsia="仿宋"/>
          <w:sz w:val="32"/>
          <w:szCs w:val="32"/>
        </w:rPr>
        <w:t>废弃农资包装物</w:t>
      </w:r>
      <w:r>
        <w:rPr>
          <w:rFonts w:hint="eastAsia" w:eastAsia="仿宋"/>
          <w:sz w:val="32"/>
          <w:szCs w:val="32"/>
        </w:rPr>
        <w:t>回收率</w:t>
      </w:r>
      <w:r>
        <w:rPr>
          <w:rFonts w:eastAsia="仿宋"/>
          <w:sz w:val="32"/>
          <w:szCs w:val="32"/>
        </w:rPr>
        <w:t>。</w:t>
      </w:r>
      <w:r>
        <w:rPr>
          <w:rFonts w:hint="eastAsia" w:eastAsia="仿宋"/>
          <w:sz w:val="32"/>
          <w:szCs w:val="32"/>
        </w:rPr>
        <w:t>扎实推进农膜回收利用</w:t>
      </w:r>
      <w:r>
        <w:rPr>
          <w:rFonts w:eastAsia="仿宋"/>
          <w:sz w:val="32"/>
          <w:szCs w:val="32"/>
        </w:rPr>
        <w:t>，</w:t>
      </w:r>
      <w:r>
        <w:rPr>
          <w:rFonts w:hint="eastAsia" w:eastAsia="仿宋"/>
          <w:sz w:val="32"/>
          <w:szCs w:val="32"/>
        </w:rPr>
        <w:t>提高废旧农膜资源化利用水平</w:t>
      </w:r>
      <w:r>
        <w:rPr>
          <w:rFonts w:eastAsia="仿宋"/>
          <w:sz w:val="32"/>
          <w:szCs w:val="32"/>
        </w:rPr>
        <w:t>，支持推广使用生物可降解农膜。规划</w:t>
      </w:r>
      <w:r>
        <w:rPr>
          <w:rFonts w:hint="eastAsia" w:eastAsia="仿宋"/>
          <w:sz w:val="32"/>
          <w:szCs w:val="32"/>
        </w:rPr>
        <w:t>建设区域性废旧农用物资集中处置利用设施，提高规模化、资源化利用水平。</w:t>
      </w:r>
    </w:p>
    <w:p>
      <w:pPr>
        <w:adjustRightInd w:val="0"/>
        <w:snapToGrid w:val="0"/>
        <w:spacing w:line="560" w:lineRule="exact"/>
        <w:ind w:left="542"/>
        <w:jc w:val="left"/>
        <w:rPr>
          <w:rFonts w:hint="eastAsia" w:eastAsia="仿宋"/>
          <w:b/>
          <w:bCs/>
          <w:sz w:val="32"/>
          <w:szCs w:val="32"/>
        </w:rPr>
      </w:pPr>
      <w:r>
        <w:rPr>
          <w:rFonts w:hint="eastAsia" w:eastAsia="仿宋"/>
          <w:b/>
          <w:bCs/>
          <w:sz w:val="32"/>
          <w:szCs w:val="32"/>
        </w:rPr>
        <w:t>3. 推进农业生产过程清洁化</w:t>
      </w:r>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加强农产品加工过程中清洁生产，淘汰落后工艺和技术装备，鼓励使用清洁可再生能源。开展农药、兽用抗菌药使用减量和产地环境净化行动，</w:t>
      </w:r>
      <w:r>
        <w:rPr>
          <w:rFonts w:eastAsia="仿宋"/>
          <w:sz w:val="32"/>
          <w:szCs w:val="32"/>
        </w:rPr>
        <w:t>大力推进科学施肥，推广有机肥替代化肥</w:t>
      </w:r>
      <w:r>
        <w:rPr>
          <w:rFonts w:hint="eastAsia" w:eastAsia="仿宋"/>
          <w:sz w:val="32"/>
          <w:szCs w:val="32"/>
        </w:rPr>
        <w:t>。</w:t>
      </w:r>
      <w:r>
        <w:rPr>
          <w:rFonts w:eastAsia="仿宋"/>
          <w:sz w:val="32"/>
          <w:szCs w:val="32"/>
        </w:rPr>
        <w:t>实施化学农药减量替代计划，推广生物防治替代化学防治。着力推进</w:t>
      </w:r>
      <w:r>
        <w:rPr>
          <w:rFonts w:hint="eastAsia" w:eastAsia="仿宋"/>
          <w:sz w:val="32"/>
          <w:szCs w:val="32"/>
        </w:rPr>
        <w:t>化肥、农药减量化，科学使用化肥、农药等农业投入品，减少化肥、农药用量。</w:t>
      </w:r>
      <w:bookmarkStart w:id="480" w:name="_Toc1819902957"/>
      <w:bookmarkStart w:id="481" w:name="_Toc349827475"/>
      <w:bookmarkStart w:id="482" w:name="_Toc15798"/>
      <w:bookmarkStart w:id="483" w:name="_Toc19403"/>
      <w:bookmarkStart w:id="484" w:name="_Toc401581163"/>
      <w:r>
        <w:rPr>
          <w:rFonts w:eastAsia="仿宋"/>
          <w:sz w:val="32"/>
          <w:szCs w:val="32"/>
        </w:rPr>
        <w:t>到2025年，力争全市主要农作物化肥利用率达到40%，农药利用率达到43%</w:t>
      </w:r>
      <w:r>
        <w:rPr>
          <w:rFonts w:hint="eastAsia" w:eastAsia="仿宋"/>
          <w:sz w:val="32"/>
          <w:szCs w:val="32"/>
        </w:rPr>
        <w:t>。</w:t>
      </w:r>
    </w:p>
    <w:p>
      <w:pPr>
        <w:adjustRightInd w:val="0"/>
        <w:snapToGrid w:val="0"/>
        <w:spacing w:line="560" w:lineRule="exact"/>
        <w:ind w:left="2" w:firstLine="540" w:firstLineChars="168"/>
        <w:jc w:val="left"/>
        <w:rPr>
          <w:rFonts w:eastAsia="仿宋"/>
          <w:sz w:val="32"/>
          <w:szCs w:val="32"/>
        </w:rPr>
      </w:pPr>
      <w:r>
        <w:rPr>
          <w:rFonts w:hint="eastAsia" w:eastAsia="仿宋"/>
          <w:b/>
          <w:bCs/>
          <w:sz w:val="32"/>
          <w:szCs w:val="32"/>
        </w:rPr>
        <w:t>4.</w:t>
      </w:r>
      <w:r>
        <w:rPr>
          <w:rFonts w:eastAsia="仿宋"/>
          <w:b/>
          <w:bCs/>
          <w:sz w:val="32"/>
          <w:szCs w:val="32"/>
        </w:rPr>
        <w:t xml:space="preserve"> </w:t>
      </w:r>
      <w:bookmarkEnd w:id="480"/>
      <w:bookmarkEnd w:id="481"/>
      <w:bookmarkEnd w:id="482"/>
      <w:bookmarkEnd w:id="483"/>
      <w:bookmarkEnd w:id="484"/>
      <w:r>
        <w:rPr>
          <w:rFonts w:hint="eastAsia" w:eastAsia="仿宋"/>
          <w:b/>
          <w:bCs/>
          <w:sz w:val="32"/>
          <w:szCs w:val="32"/>
        </w:rPr>
        <w:t>加强农林废弃物资源化利用</w:t>
      </w:r>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推进秸秆肥料化</w:t>
      </w:r>
      <w:r>
        <w:rPr>
          <w:rFonts w:eastAsia="仿宋"/>
          <w:sz w:val="32"/>
          <w:szCs w:val="32"/>
        </w:rPr>
        <w:t>、</w:t>
      </w:r>
      <w:r>
        <w:rPr>
          <w:rFonts w:hint="eastAsia" w:eastAsia="仿宋"/>
          <w:sz w:val="32"/>
          <w:szCs w:val="32"/>
        </w:rPr>
        <w:t>饲料化</w:t>
      </w:r>
      <w:r>
        <w:rPr>
          <w:rFonts w:eastAsia="仿宋"/>
          <w:sz w:val="32"/>
          <w:szCs w:val="32"/>
        </w:rPr>
        <w:t>、</w:t>
      </w:r>
      <w:r>
        <w:rPr>
          <w:rFonts w:hint="eastAsia" w:eastAsia="仿宋"/>
          <w:sz w:val="32"/>
          <w:szCs w:val="32"/>
        </w:rPr>
        <w:t>基料化和原料化利用</w:t>
      </w:r>
      <w:r>
        <w:rPr>
          <w:rFonts w:eastAsia="仿宋"/>
          <w:sz w:val="32"/>
          <w:szCs w:val="32"/>
        </w:rPr>
        <w:t>，</w:t>
      </w:r>
      <w:r>
        <w:rPr>
          <w:rFonts w:hint="eastAsia" w:eastAsia="仿宋"/>
          <w:sz w:val="32"/>
          <w:szCs w:val="32"/>
        </w:rPr>
        <w:t>逐步实现秸秆综合利用规模化、产业化、清洁化。重点实施秸秆变肥工程、秸秆畜禽工程、秸秆能源工程和秸秆原料工程，提高农作物秸秆资源循环利用水平，推行农作物秸秆深耕精细化还田、腐熟还田、秸秆养畜、养殖食用菌、生产有机肥等循环利用模式</w:t>
      </w:r>
      <w:r>
        <w:rPr>
          <w:rFonts w:eastAsia="仿宋"/>
          <w:sz w:val="32"/>
          <w:szCs w:val="32"/>
        </w:rPr>
        <w:t>，</w:t>
      </w:r>
      <w:r>
        <w:rPr>
          <w:rFonts w:hint="eastAsia" w:eastAsia="仿宋"/>
          <w:sz w:val="32"/>
          <w:szCs w:val="32"/>
        </w:rPr>
        <w:t>推动秸秆综合利用产业发展。落实</w:t>
      </w:r>
      <w:r>
        <w:rPr>
          <w:rFonts w:eastAsia="仿宋"/>
          <w:sz w:val="32"/>
          <w:szCs w:val="32"/>
        </w:rPr>
        <w:t>养殖废弃物源头减量</w:t>
      </w:r>
      <w:r>
        <w:rPr>
          <w:rFonts w:hint="eastAsia" w:eastAsia="仿宋"/>
          <w:sz w:val="32"/>
          <w:szCs w:val="32"/>
        </w:rPr>
        <w:t>过程控制</w:t>
      </w:r>
      <w:r>
        <w:rPr>
          <w:rFonts w:eastAsia="仿宋"/>
          <w:sz w:val="32"/>
          <w:szCs w:val="32"/>
        </w:rPr>
        <w:t>和末端利用，全面</w:t>
      </w:r>
      <w:r>
        <w:rPr>
          <w:rFonts w:hint="eastAsia" w:eastAsia="仿宋"/>
          <w:sz w:val="32"/>
          <w:szCs w:val="32"/>
        </w:rPr>
        <w:t>推进畜禽粪污资源化高水平利用</w:t>
      </w:r>
      <w:r>
        <w:rPr>
          <w:rFonts w:eastAsia="仿宋"/>
          <w:sz w:val="32"/>
          <w:szCs w:val="32"/>
        </w:rPr>
        <w:t>。</w:t>
      </w:r>
      <w:r>
        <w:rPr>
          <w:rFonts w:hint="eastAsia" w:eastAsia="仿宋"/>
          <w:sz w:val="32"/>
          <w:szCs w:val="32"/>
        </w:rPr>
        <w:t>到2025年，全市农作物秸秆综合利用率</w:t>
      </w:r>
      <w:r>
        <w:rPr>
          <w:rFonts w:hint="eastAsia" w:eastAsia="仿宋"/>
          <w:sz w:val="32"/>
          <w:szCs w:val="32"/>
          <w:lang w:eastAsia="zh-Hans"/>
        </w:rPr>
        <w:t>保持在</w:t>
      </w:r>
      <w:r>
        <w:rPr>
          <w:rFonts w:hint="eastAsia" w:eastAsia="仿宋"/>
          <w:sz w:val="32"/>
          <w:szCs w:val="32"/>
        </w:rPr>
        <w:t>86%以上，畜禽粪污综合利用率达到</w:t>
      </w:r>
      <w:r>
        <w:rPr>
          <w:rFonts w:eastAsia="仿宋"/>
          <w:sz w:val="32"/>
          <w:szCs w:val="32"/>
        </w:rPr>
        <w:t>90</w:t>
      </w:r>
      <w:r>
        <w:rPr>
          <w:rFonts w:hint="eastAsia" w:eastAsia="仿宋"/>
          <w:sz w:val="32"/>
          <w:szCs w:val="32"/>
        </w:rPr>
        <w:t>%。</w:t>
      </w:r>
    </w:p>
    <w:p>
      <w:pPr>
        <w:adjustRightInd w:val="0"/>
        <w:snapToGrid w:val="0"/>
        <w:spacing w:line="560" w:lineRule="exact"/>
        <w:ind w:firstLine="643" w:firstLineChars="200"/>
        <w:jc w:val="left"/>
        <w:rPr>
          <w:rFonts w:eastAsia="仿宋"/>
          <w:b/>
          <w:bCs/>
          <w:sz w:val="32"/>
          <w:szCs w:val="32"/>
        </w:rPr>
      </w:pPr>
      <w:r>
        <w:rPr>
          <w:rFonts w:hint="eastAsia" w:eastAsia="仿宋"/>
          <w:b/>
          <w:bCs/>
          <w:sz w:val="32"/>
          <w:szCs w:val="32"/>
        </w:rPr>
        <w:t>5. 积极推进农业与其他产业耦合发展</w:t>
      </w:r>
    </w:p>
    <w:p>
      <w:pPr>
        <w:adjustRightInd w:val="0"/>
        <w:snapToGrid w:val="0"/>
        <w:spacing w:line="560" w:lineRule="exact"/>
        <w:ind w:left="2" w:firstLine="537" w:firstLineChars="168"/>
        <w:jc w:val="left"/>
        <w:rPr>
          <w:rFonts w:hint="eastAsia" w:eastAsia="仿宋"/>
          <w:sz w:val="32"/>
          <w:szCs w:val="32"/>
        </w:rPr>
      </w:pPr>
      <w:r>
        <w:rPr>
          <w:rFonts w:hint="eastAsia" w:eastAsia="仿宋"/>
          <w:sz w:val="32"/>
          <w:szCs w:val="32"/>
        </w:rPr>
        <w:t>强化种植业、畜牧业、渔业等与加工业有机联系，推进种植、养殖、农产品加工等循环链接，构建种养加功能复合循环农业经济模式。大力发展农副产品精深加工，推</w:t>
      </w:r>
      <w:r>
        <w:rPr>
          <w:rFonts w:eastAsia="仿宋"/>
          <w:sz w:val="32"/>
          <w:szCs w:val="32"/>
        </w:rPr>
        <w:t>进蔗糖、水果、茶叶等农产品精深加工，</w:t>
      </w:r>
      <w:r>
        <w:rPr>
          <w:rFonts w:hint="eastAsia" w:eastAsia="仿宋"/>
          <w:sz w:val="32"/>
          <w:szCs w:val="32"/>
        </w:rPr>
        <w:t>积极延长甘蔗后续产业链</w:t>
      </w:r>
      <w:r>
        <w:rPr>
          <w:rFonts w:eastAsia="仿宋"/>
          <w:sz w:val="32"/>
          <w:szCs w:val="32"/>
        </w:rPr>
        <w:t>。</w:t>
      </w:r>
      <w:r>
        <w:rPr>
          <w:rFonts w:hint="eastAsia" w:eastAsia="仿宋"/>
          <w:sz w:val="32"/>
          <w:szCs w:val="32"/>
        </w:rPr>
        <w:t>支持集成养殖深加工模式，推行</w:t>
      </w:r>
      <w:r>
        <w:rPr>
          <w:rFonts w:eastAsia="仿宋"/>
          <w:sz w:val="32"/>
          <w:szCs w:val="32"/>
        </w:rPr>
        <w:t>生态</w:t>
      </w:r>
      <w:r>
        <w:rPr>
          <w:rFonts w:hint="eastAsia" w:eastAsia="仿宋"/>
          <w:sz w:val="32"/>
          <w:szCs w:val="32"/>
        </w:rPr>
        <w:t>养殖</w:t>
      </w:r>
      <w:r>
        <w:rPr>
          <w:rFonts w:eastAsia="仿宋"/>
          <w:sz w:val="32"/>
          <w:szCs w:val="32"/>
        </w:rPr>
        <w:t>一体化综合加工利用等循环经济模式，</w:t>
      </w:r>
      <w:r>
        <w:rPr>
          <w:rFonts w:hint="eastAsia" w:eastAsia="仿宋"/>
          <w:sz w:val="32"/>
          <w:szCs w:val="32"/>
        </w:rPr>
        <w:t>构建</w:t>
      </w:r>
      <w:r>
        <w:rPr>
          <w:rFonts w:eastAsia="仿宋"/>
          <w:sz w:val="32"/>
          <w:szCs w:val="32"/>
        </w:rPr>
        <w:t>精深加工复合型产业链。</w:t>
      </w:r>
      <w:r>
        <w:rPr>
          <w:rFonts w:hint="eastAsia" w:eastAsia="仿宋"/>
          <w:sz w:val="32"/>
          <w:szCs w:val="32"/>
        </w:rPr>
        <w:t>依托国家现代农业示范区等，规划建设工农复合型循环经济产业园、种养加结合生态循环农业产业园，建立完善全产业链资源循环利用体系。</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r>
              <w:rPr>
                <w:rFonts w:hint="eastAsia" w:eastAsia="仿宋"/>
                <w:b/>
                <w:bCs/>
                <w:sz w:val="30"/>
                <w:szCs w:val="30"/>
              </w:rPr>
              <w:t>专栏</w:t>
            </w:r>
            <w:r>
              <w:rPr>
                <w:rFonts w:eastAsia="仿宋"/>
                <w:b/>
                <w:bCs/>
                <w:sz w:val="30"/>
                <w:szCs w:val="30"/>
              </w:rPr>
              <w:t>4-</w:t>
            </w:r>
            <w:r>
              <w:rPr>
                <w:rFonts w:hint="eastAsia" w:eastAsia="仿宋"/>
                <w:b/>
                <w:bCs/>
                <w:sz w:val="30"/>
                <w:szCs w:val="30"/>
              </w:rPr>
              <w:t>4</w:t>
            </w:r>
            <w:r>
              <w:rPr>
                <w:rFonts w:eastAsia="仿宋"/>
                <w:b/>
                <w:bCs/>
                <w:sz w:val="30"/>
                <w:szCs w:val="30"/>
              </w:rPr>
              <w:t xml:space="preserve"> </w:t>
            </w:r>
            <w:r>
              <w:rPr>
                <w:rFonts w:hint="eastAsia" w:eastAsia="仿宋"/>
                <w:b/>
                <w:bCs/>
                <w:sz w:val="30"/>
                <w:szCs w:val="30"/>
              </w:rPr>
              <w:t>农业与其他产业耦合产业链</w:t>
            </w:r>
          </w:p>
          <w:p>
            <w:pPr>
              <w:adjustRightInd w:val="0"/>
              <w:snapToGrid w:val="0"/>
              <w:spacing w:line="560" w:lineRule="exact"/>
              <w:ind w:firstLine="639" w:firstLineChars="213"/>
              <w:jc w:val="left"/>
              <w:rPr>
                <w:rFonts w:hint="eastAsia" w:eastAsia="仿宋"/>
                <w:sz w:val="30"/>
                <w:szCs w:val="30"/>
              </w:rPr>
            </w:pPr>
            <w:r>
              <w:rPr>
                <w:rFonts w:hint="eastAsia" w:eastAsia="仿宋"/>
                <w:sz w:val="30"/>
                <w:szCs w:val="30"/>
              </w:rPr>
              <w:t>甘蔗—制糖—废糖蜜制酒精—酒精废液制复合肥/酒精废液浓缩燃烧—钾灰制复合肥—复合肥种甘蔗、甘蔗—制糖—蔗渣—制浆—造纸—制浆黑液碱、茉莉花/兰花/金花茶种植—采摘—精深加工—芳香/花茶/精油护肤产业链、</w:t>
            </w:r>
            <w:r>
              <w:rPr>
                <w:rFonts w:eastAsia="仿宋"/>
                <w:sz w:val="30"/>
                <w:szCs w:val="30"/>
              </w:rPr>
              <w:t>畜禽加工</w:t>
            </w:r>
            <w:r>
              <w:rPr>
                <w:rFonts w:hint="eastAsia" w:eastAsia="仿宋"/>
                <w:sz w:val="30"/>
                <w:szCs w:val="30"/>
              </w:rPr>
              <w:t>—</w:t>
            </w:r>
            <w:r>
              <w:rPr>
                <w:rFonts w:eastAsia="仿宋"/>
                <w:sz w:val="30"/>
                <w:szCs w:val="30"/>
              </w:rPr>
              <w:t>副产品</w:t>
            </w:r>
            <w:r>
              <w:rPr>
                <w:rFonts w:hint="eastAsia" w:eastAsia="仿宋"/>
                <w:sz w:val="30"/>
                <w:szCs w:val="30"/>
              </w:rPr>
              <w:t>—</w:t>
            </w:r>
            <w:r>
              <w:rPr>
                <w:rFonts w:eastAsia="仿宋"/>
                <w:sz w:val="30"/>
                <w:szCs w:val="30"/>
              </w:rPr>
              <w:t>生化制品</w:t>
            </w:r>
            <w:r>
              <w:rPr>
                <w:rFonts w:hint="eastAsia" w:eastAsia="仿宋"/>
                <w:sz w:val="30"/>
                <w:szCs w:val="30"/>
              </w:rPr>
              <w:t>产业链、饲料生产—畜禽水产养殖—畜禽和水产品加工及精深加工产业链、农业</w:t>
            </w:r>
            <w:r>
              <w:rPr>
                <w:rFonts w:eastAsia="仿宋"/>
                <w:sz w:val="30"/>
                <w:szCs w:val="30"/>
              </w:rPr>
              <w:t>+</w:t>
            </w:r>
            <w:r>
              <w:rPr>
                <w:rFonts w:hint="eastAsia" w:eastAsia="仿宋"/>
                <w:sz w:val="30"/>
                <w:szCs w:val="30"/>
              </w:rPr>
              <w:t>服务业耦合产业链</w:t>
            </w:r>
            <w:r>
              <w:rPr>
                <w:rFonts w:eastAsia="仿宋"/>
                <w:sz w:val="30"/>
                <w:szCs w:val="30"/>
              </w:rPr>
              <w:t>（</w:t>
            </w:r>
            <w:r>
              <w:rPr>
                <w:rFonts w:hint="eastAsia" w:eastAsia="仿宋"/>
                <w:sz w:val="30"/>
                <w:szCs w:val="30"/>
              </w:rPr>
              <w:t>农业</w:t>
            </w:r>
            <w:r>
              <w:rPr>
                <w:rFonts w:eastAsia="仿宋"/>
                <w:sz w:val="30"/>
                <w:szCs w:val="30"/>
              </w:rPr>
              <w:t>+</w:t>
            </w:r>
            <w:r>
              <w:rPr>
                <w:rFonts w:hint="eastAsia" w:eastAsia="仿宋"/>
                <w:sz w:val="30"/>
                <w:szCs w:val="30"/>
              </w:rPr>
              <w:t>观光</w:t>
            </w:r>
            <w:r>
              <w:rPr>
                <w:rFonts w:eastAsia="仿宋"/>
                <w:sz w:val="30"/>
                <w:szCs w:val="30"/>
              </w:rPr>
              <w:t>、</w:t>
            </w:r>
            <w:r>
              <w:rPr>
                <w:rFonts w:hint="eastAsia" w:eastAsia="仿宋"/>
                <w:sz w:val="30"/>
                <w:szCs w:val="30"/>
              </w:rPr>
              <w:t>农业</w:t>
            </w:r>
            <w:r>
              <w:rPr>
                <w:rFonts w:eastAsia="仿宋"/>
                <w:sz w:val="30"/>
                <w:szCs w:val="30"/>
              </w:rPr>
              <w:t>+</w:t>
            </w:r>
            <w:r>
              <w:rPr>
                <w:rFonts w:hint="eastAsia" w:eastAsia="仿宋"/>
                <w:sz w:val="30"/>
                <w:szCs w:val="30"/>
              </w:rPr>
              <w:t>旅游</w:t>
            </w:r>
            <w:r>
              <w:rPr>
                <w:rFonts w:eastAsia="仿宋"/>
                <w:sz w:val="30"/>
                <w:szCs w:val="30"/>
              </w:rPr>
              <w:t>、</w:t>
            </w:r>
            <w:r>
              <w:rPr>
                <w:rFonts w:hint="eastAsia" w:eastAsia="仿宋"/>
                <w:sz w:val="30"/>
                <w:szCs w:val="30"/>
              </w:rPr>
              <w:t>森林</w:t>
            </w:r>
            <w:r>
              <w:rPr>
                <w:rFonts w:eastAsia="仿宋"/>
                <w:sz w:val="30"/>
                <w:szCs w:val="30"/>
              </w:rPr>
              <w:t>+</w:t>
            </w:r>
            <w:r>
              <w:rPr>
                <w:rFonts w:hint="eastAsia" w:eastAsia="仿宋"/>
                <w:sz w:val="30"/>
                <w:szCs w:val="30"/>
              </w:rPr>
              <w:t>旅游等</w:t>
            </w:r>
            <w:r>
              <w:rPr>
                <w:rFonts w:eastAsia="仿宋"/>
                <w:sz w:val="30"/>
                <w:szCs w:val="30"/>
              </w:rPr>
              <w:t>）</w:t>
            </w:r>
            <w:r>
              <w:rPr>
                <w:rFonts w:hint="eastAsia" w:eastAsia="仿宋"/>
                <w:sz w:val="30"/>
                <w:szCs w:val="30"/>
              </w:rPr>
              <w:t>。</w:t>
            </w:r>
          </w:p>
        </w:tc>
      </w:tr>
    </w:tbl>
    <w:p/>
    <w:p>
      <w:pPr>
        <w:adjustRightInd w:val="0"/>
        <w:snapToGrid w:val="0"/>
        <w:spacing w:line="560" w:lineRule="exact"/>
        <w:ind w:left="319" w:leftChars="152" w:firstLine="318" w:firstLineChars="99"/>
        <w:jc w:val="left"/>
        <w:outlineLvl w:val="1"/>
        <w:rPr>
          <w:rFonts w:ascii="楷体" w:hAnsi="楷体" w:eastAsia="楷体"/>
          <w:b/>
          <w:sz w:val="32"/>
          <w:szCs w:val="32"/>
        </w:rPr>
      </w:pPr>
      <w:bookmarkStart w:id="485" w:name="_Toc1802680172"/>
      <w:bookmarkStart w:id="486" w:name="_Toc913822739"/>
      <w:bookmarkStart w:id="487" w:name="_Toc6154"/>
      <w:bookmarkStart w:id="488" w:name="_Toc8928"/>
      <w:bookmarkStart w:id="489" w:name="_Toc625548850"/>
      <w:bookmarkStart w:id="490" w:name="_Toc4781"/>
      <w:bookmarkStart w:id="491" w:name="_Toc18504"/>
      <w:bookmarkStart w:id="492" w:name="_Toc31426"/>
      <w:bookmarkStart w:id="493" w:name="_Toc31972"/>
      <w:bookmarkStart w:id="494" w:name="_Toc24899"/>
      <w:bookmarkStart w:id="495" w:name="_Toc2945"/>
      <w:bookmarkStart w:id="496" w:name="_Toc27688"/>
      <w:bookmarkStart w:id="497" w:name="_Toc21857"/>
      <w:bookmarkStart w:id="498" w:name="_Toc29255"/>
      <w:bookmarkStart w:id="499" w:name="_Toc4883"/>
      <w:bookmarkStart w:id="500" w:name="_Toc92706652"/>
      <w:bookmarkStart w:id="501" w:name="_Toc5042"/>
      <w:bookmarkStart w:id="502" w:name="_Toc9112"/>
      <w:bookmarkStart w:id="503" w:name="_Toc19154"/>
      <w:bookmarkStart w:id="504" w:name="_Toc2600"/>
      <w:bookmarkStart w:id="505" w:name="_Toc9638"/>
      <w:bookmarkStart w:id="506" w:name="_Toc11287"/>
      <w:bookmarkStart w:id="507" w:name="_Toc1284406347"/>
      <w:bookmarkStart w:id="508" w:name="_Toc21408"/>
      <w:bookmarkStart w:id="509" w:name="_Toc14612"/>
      <w:bookmarkStart w:id="510" w:name="_Toc16229"/>
      <w:bookmarkStart w:id="511" w:name="_Toc8508"/>
      <w:bookmarkStart w:id="512" w:name="_Toc20902"/>
      <w:r>
        <w:rPr>
          <w:rFonts w:hint="eastAsia" w:ascii="楷体" w:hAnsi="楷体" w:eastAsia="楷体"/>
          <w:b/>
          <w:sz w:val="32"/>
          <w:szCs w:val="32"/>
        </w:rPr>
        <w:t>（四）构建</w:t>
      </w:r>
      <w:bookmarkEnd w:id="485"/>
      <w:bookmarkEnd w:id="486"/>
      <w:bookmarkEnd w:id="487"/>
      <w:bookmarkEnd w:id="488"/>
      <w:bookmarkEnd w:id="489"/>
      <w:r>
        <w:rPr>
          <w:rFonts w:hint="eastAsia" w:ascii="楷体" w:hAnsi="楷体" w:eastAsia="楷体"/>
          <w:b/>
          <w:sz w:val="32"/>
          <w:szCs w:val="32"/>
        </w:rPr>
        <w:t>循环经济发展支撑体系</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adjustRightInd w:val="0"/>
        <w:snapToGrid w:val="0"/>
        <w:spacing w:line="560" w:lineRule="exact"/>
        <w:ind w:left="353" w:leftChars="168" w:firstLine="161" w:firstLineChars="50"/>
        <w:jc w:val="left"/>
        <w:outlineLvl w:val="2"/>
        <w:rPr>
          <w:rFonts w:hint="eastAsia" w:eastAsia="仿宋"/>
          <w:b/>
          <w:bCs/>
          <w:sz w:val="32"/>
          <w:szCs w:val="32"/>
        </w:rPr>
      </w:pPr>
      <w:r>
        <w:rPr>
          <w:rFonts w:hint="eastAsia" w:eastAsia="仿宋"/>
          <w:b/>
          <w:bCs/>
          <w:sz w:val="32"/>
          <w:szCs w:val="32"/>
        </w:rPr>
        <w:t>1. 构建清洁低碳能源体系</w:t>
      </w:r>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以南宁市推进国家新能源示范城市建设为契机，大力发展新能源和清洁能源</w:t>
      </w:r>
      <w:r>
        <w:rPr>
          <w:rFonts w:eastAsia="仿宋"/>
          <w:sz w:val="32"/>
          <w:szCs w:val="32"/>
        </w:rPr>
        <w:t>，</w:t>
      </w:r>
      <w:r>
        <w:rPr>
          <w:rFonts w:hint="eastAsia" w:eastAsia="仿宋"/>
          <w:sz w:val="32"/>
          <w:szCs w:val="32"/>
        </w:rPr>
        <w:t>重点推动生物质能、风能、太阳能、水能、地热能、热泵等新能源开发与利用，加快建设一批抽水蓄能、风电、光伏等新能源和清洁能源产业项目，积极引进太阳能地面、分布式光伏电站等项目，大幅提升可再生能源利用比例。加快推进煤炭清洁高效利用，降低火电、水泥企业煤耗</w:t>
      </w:r>
      <w:r>
        <w:rPr>
          <w:rFonts w:eastAsia="仿宋"/>
          <w:sz w:val="32"/>
          <w:szCs w:val="32"/>
        </w:rPr>
        <w:t>。</w:t>
      </w:r>
      <w:r>
        <w:rPr>
          <w:rFonts w:hint="eastAsia" w:eastAsia="仿宋"/>
          <w:sz w:val="32"/>
          <w:szCs w:val="32"/>
        </w:rPr>
        <w:t>提高清洁能源消费比重，推进“县县通”天然气工程和天然气进乡入村等工程，加快补齐老旧小区改造、城中村、乡村燃气管道基础设施短板，实施工商业煤改气、油改气、瓶改管，逐步淘汰高污染、高能耗及高危性落后能源。</w:t>
      </w:r>
      <w:bookmarkStart w:id="513" w:name="_Toc12052"/>
    </w:p>
    <w:bookmarkEnd w:id="513"/>
    <w:p>
      <w:pPr>
        <w:adjustRightInd w:val="0"/>
        <w:snapToGrid w:val="0"/>
        <w:spacing w:line="560" w:lineRule="exact"/>
        <w:ind w:left="2" w:firstLine="540" w:firstLineChars="168"/>
        <w:jc w:val="left"/>
        <w:outlineLvl w:val="2"/>
        <w:rPr>
          <w:rFonts w:eastAsia="仿宋"/>
          <w:b/>
          <w:bCs/>
          <w:sz w:val="32"/>
          <w:szCs w:val="32"/>
        </w:rPr>
      </w:pPr>
      <w:bookmarkStart w:id="514" w:name="_Toc40671286"/>
      <w:bookmarkStart w:id="515" w:name="_Toc29777"/>
      <w:bookmarkStart w:id="516" w:name="_Toc29687"/>
      <w:bookmarkStart w:id="517" w:name="_Toc444848318"/>
      <w:bookmarkStart w:id="518" w:name="_Toc8567"/>
      <w:bookmarkStart w:id="519" w:name="_Toc8337017"/>
      <w:bookmarkStart w:id="520" w:name="_Toc24038"/>
      <w:r>
        <w:rPr>
          <w:rFonts w:hint="eastAsia" w:eastAsia="仿宋"/>
          <w:b/>
          <w:bCs/>
          <w:sz w:val="32"/>
          <w:szCs w:val="32"/>
        </w:rPr>
        <w:t>2.</w:t>
      </w:r>
      <w:r>
        <w:rPr>
          <w:rFonts w:eastAsia="仿宋"/>
          <w:b/>
          <w:bCs/>
          <w:sz w:val="32"/>
          <w:szCs w:val="32"/>
        </w:rPr>
        <w:t xml:space="preserve"> </w:t>
      </w:r>
      <w:bookmarkEnd w:id="514"/>
      <w:bookmarkEnd w:id="515"/>
      <w:bookmarkEnd w:id="516"/>
      <w:bookmarkEnd w:id="517"/>
      <w:bookmarkEnd w:id="518"/>
      <w:bookmarkEnd w:id="519"/>
      <w:r>
        <w:rPr>
          <w:rFonts w:hint="eastAsia" w:eastAsia="仿宋"/>
          <w:b/>
          <w:bCs/>
          <w:sz w:val="32"/>
          <w:szCs w:val="32"/>
        </w:rPr>
        <w:t>建立市场导向的绿色技术创新体系</w:t>
      </w:r>
    </w:p>
    <w:p>
      <w:pPr>
        <w:adjustRightInd w:val="0"/>
        <w:snapToGrid w:val="0"/>
        <w:spacing w:line="560" w:lineRule="exact"/>
        <w:ind w:left="2" w:firstLine="537" w:firstLineChars="168"/>
        <w:jc w:val="left"/>
        <w:rPr>
          <w:rFonts w:ascii="仿宋" w:hAnsi="仿宋" w:eastAsia="仿宋" w:cs="仿宋"/>
          <w:b/>
          <w:sz w:val="32"/>
          <w:szCs w:val="32"/>
        </w:rPr>
      </w:pPr>
      <w:r>
        <w:rPr>
          <w:rFonts w:hint="eastAsia" w:ascii="仿宋" w:hAnsi="仿宋" w:eastAsia="仿宋"/>
          <w:sz w:val="32"/>
          <w:szCs w:val="32"/>
        </w:rPr>
        <w:t>研究编制资源综合利用重大技术装备创新目录和众创研发指引，加大对循环经济共性关键技术研发的支持力度，重点加强节能环保、资源综合利用、清洁生产、新能源开发应用等领域技术的研发。制定制约行业循环经济发展的关键技术清单，鼓励高校、科研机构和企业加强产学研用结合，形成合力共同研究解决在减量化、资源化、再利用、资源替代、共生链接和系统集成等方面的技术问题。支持企业建设循环经济技术领域的国家和自治区级技术创新中心、工程研究中心、企业技术中心、重点实验室、产品质量检测中心等科技创新平台，完善科技创新、成果转化激励制度和奖补政策，加大对循环经济关键共性技术研发的支持力度。</w:t>
      </w:r>
    </w:p>
    <w:p>
      <w:pPr>
        <w:adjustRightInd w:val="0"/>
        <w:snapToGrid w:val="0"/>
        <w:spacing w:line="560" w:lineRule="exact"/>
        <w:ind w:left="2" w:firstLine="540" w:firstLineChars="168"/>
        <w:jc w:val="left"/>
        <w:outlineLvl w:val="2"/>
        <w:rPr>
          <w:rFonts w:eastAsia="仿宋"/>
          <w:b/>
          <w:bCs/>
          <w:sz w:val="32"/>
          <w:szCs w:val="32"/>
        </w:rPr>
      </w:pPr>
      <w:bookmarkStart w:id="521" w:name="_Toc9505"/>
      <w:bookmarkStart w:id="522" w:name="_Toc23385"/>
      <w:bookmarkStart w:id="523" w:name="_Toc1147558664"/>
      <w:bookmarkStart w:id="524" w:name="_Toc27691"/>
      <w:bookmarkStart w:id="525" w:name="_Toc465895880"/>
      <w:bookmarkStart w:id="526" w:name="_Toc532200149"/>
      <w:r>
        <w:rPr>
          <w:rFonts w:hint="eastAsia" w:eastAsia="仿宋"/>
          <w:b/>
          <w:bCs/>
          <w:sz w:val="32"/>
          <w:szCs w:val="32"/>
        </w:rPr>
        <w:t>3. 加强对外交流合作</w:t>
      </w:r>
      <w:bookmarkEnd w:id="521"/>
      <w:bookmarkEnd w:id="522"/>
      <w:bookmarkEnd w:id="523"/>
      <w:bookmarkEnd w:id="524"/>
      <w:bookmarkEnd w:id="525"/>
      <w:bookmarkEnd w:id="526"/>
      <w:r>
        <w:rPr>
          <w:rFonts w:hint="eastAsia" w:eastAsia="仿宋"/>
          <w:b/>
          <w:bCs/>
          <w:sz w:val="32"/>
          <w:szCs w:val="32"/>
        </w:rPr>
        <w:t>与协同发展</w:t>
      </w:r>
    </w:p>
    <w:p>
      <w:pPr>
        <w:adjustRightInd w:val="0"/>
        <w:snapToGrid w:val="0"/>
        <w:spacing w:line="560" w:lineRule="exact"/>
        <w:ind w:left="2" w:firstLine="537" w:firstLineChars="168"/>
        <w:jc w:val="left"/>
        <w:rPr>
          <w:rFonts w:hint="eastAsia" w:ascii="仿宋" w:hAnsi="仿宋" w:eastAsia="仿宋"/>
          <w:sz w:val="32"/>
          <w:szCs w:val="32"/>
        </w:rPr>
      </w:pPr>
      <w:r>
        <w:rPr>
          <w:rFonts w:hint="eastAsia" w:ascii="仿宋" w:hAnsi="仿宋" w:eastAsia="仿宋" w:cs="仿宋"/>
          <w:sz w:val="32"/>
          <w:szCs w:val="32"/>
        </w:rPr>
        <w:t>鼓励</w:t>
      </w:r>
      <w:r>
        <w:rPr>
          <w:rFonts w:hint="eastAsia" w:ascii="仿宋" w:hAnsi="仿宋" w:eastAsia="仿宋"/>
          <w:sz w:val="32"/>
          <w:szCs w:val="32"/>
        </w:rPr>
        <w:t>开展循环经济的对外交流与合作</w:t>
      </w:r>
      <w:r>
        <w:rPr>
          <w:rFonts w:ascii="仿宋" w:hAnsi="仿宋" w:eastAsia="仿宋"/>
          <w:sz w:val="32"/>
          <w:szCs w:val="32"/>
        </w:rPr>
        <w:t>，</w:t>
      </w:r>
      <w:r>
        <w:rPr>
          <w:rFonts w:hint="eastAsia" w:ascii="仿宋" w:hAnsi="仿宋" w:eastAsia="仿宋"/>
          <w:sz w:val="32"/>
          <w:szCs w:val="32"/>
        </w:rPr>
        <w:t>重点加强与粤港澳大湾区在循环经济领域的产业合作和科技合作</w:t>
      </w:r>
      <w:r>
        <w:rPr>
          <w:rFonts w:ascii="仿宋" w:hAnsi="仿宋" w:eastAsia="仿宋"/>
          <w:sz w:val="32"/>
          <w:szCs w:val="32"/>
        </w:rPr>
        <w:t>，</w:t>
      </w:r>
      <w:r>
        <w:rPr>
          <w:rFonts w:hint="eastAsia" w:ascii="仿宋" w:hAnsi="仿宋" w:eastAsia="仿宋"/>
          <w:sz w:val="32"/>
          <w:szCs w:val="32"/>
        </w:rPr>
        <w:t>探索跨区域合作新模式。以循环经济技术交流合作为重点，引进和借鉴发达国家</w:t>
      </w:r>
      <w:r>
        <w:rPr>
          <w:rFonts w:ascii="仿宋" w:hAnsi="仿宋" w:eastAsia="仿宋"/>
          <w:sz w:val="32"/>
          <w:szCs w:val="32"/>
        </w:rPr>
        <w:t>（</w:t>
      </w:r>
      <w:r>
        <w:rPr>
          <w:rFonts w:hint="eastAsia" w:ascii="仿宋" w:hAnsi="仿宋" w:eastAsia="仿宋"/>
          <w:sz w:val="32"/>
          <w:szCs w:val="32"/>
        </w:rPr>
        <w:t>地区</w:t>
      </w:r>
      <w:r>
        <w:rPr>
          <w:rFonts w:ascii="仿宋" w:hAnsi="仿宋" w:eastAsia="仿宋"/>
          <w:sz w:val="32"/>
          <w:szCs w:val="32"/>
        </w:rPr>
        <w:t>）</w:t>
      </w:r>
      <w:r>
        <w:rPr>
          <w:rFonts w:hint="eastAsia" w:ascii="仿宋" w:hAnsi="仿宋" w:eastAsia="仿宋"/>
          <w:sz w:val="32"/>
          <w:szCs w:val="32"/>
        </w:rPr>
        <w:t>的先进技术和经验，在生态环境保护、节能环保产业发展等领域加强对外技术交流。加强绿色标准国际合作，开拓海外市场特别是东盟市场，推进绿色产品和绿色技术向东盟国家输出。深化绿色“一带一路”合作，拓宽节能环保、清洁能源等领域技术装备和服务合作。实施资源循环产业“走出去”战略，加快具有竞争力的循环经济关键技术装备的出口。</w:t>
      </w:r>
    </w:p>
    <w:p>
      <w:pPr>
        <w:spacing w:before="120" w:beforeLines="50" w:line="560" w:lineRule="exact"/>
        <w:ind w:firstLine="640" w:firstLineChars="200"/>
        <w:jc w:val="left"/>
        <w:outlineLvl w:val="0"/>
        <w:rPr>
          <w:rFonts w:ascii="黑体" w:hAnsi="黑体" w:eastAsia="黑体"/>
          <w:sz w:val="32"/>
          <w:szCs w:val="32"/>
        </w:rPr>
      </w:pPr>
      <w:bookmarkStart w:id="527" w:name="_Toc23780"/>
      <w:bookmarkStart w:id="528" w:name="_Toc22271"/>
      <w:bookmarkStart w:id="529" w:name="_Toc28184"/>
      <w:bookmarkStart w:id="530" w:name="_Toc18611"/>
      <w:bookmarkStart w:id="531" w:name="_Toc6011"/>
      <w:bookmarkStart w:id="532" w:name="_Toc16368"/>
      <w:bookmarkStart w:id="533" w:name="_Toc13667"/>
      <w:bookmarkStart w:id="534" w:name="_Toc356"/>
      <w:bookmarkStart w:id="535" w:name="_Toc3931"/>
      <w:bookmarkStart w:id="536" w:name="_Toc14817"/>
      <w:bookmarkStart w:id="537" w:name="_Toc2459"/>
      <w:bookmarkStart w:id="538" w:name="_Toc18763"/>
      <w:bookmarkStart w:id="539" w:name="_Toc17916"/>
      <w:bookmarkStart w:id="540" w:name="_Toc13149"/>
      <w:bookmarkStart w:id="541" w:name="_Toc30746"/>
      <w:bookmarkStart w:id="542" w:name="_Toc1190"/>
      <w:bookmarkStart w:id="543" w:name="_Toc92706653"/>
      <w:bookmarkStart w:id="544" w:name="_Toc29002"/>
      <w:bookmarkStart w:id="545" w:name="_Toc23364"/>
      <w:bookmarkStart w:id="546" w:name="_Toc511854385"/>
      <w:bookmarkStart w:id="547" w:name="_Toc29911"/>
      <w:bookmarkStart w:id="548" w:name="_Toc31785"/>
      <w:bookmarkStart w:id="549" w:name="_Toc20527"/>
      <w:r>
        <w:rPr>
          <w:rFonts w:hint="eastAsia" w:ascii="黑体" w:hAnsi="黑体" w:eastAsia="黑体"/>
          <w:sz w:val="32"/>
          <w:szCs w:val="32"/>
        </w:rPr>
        <w:t>五、重点工程</w:t>
      </w:r>
      <w:bookmarkEnd w:id="527"/>
      <w:bookmarkEnd w:id="528"/>
      <w:bookmarkEnd w:id="529"/>
      <w:bookmarkEnd w:id="530"/>
      <w:bookmarkEnd w:id="531"/>
      <w:bookmarkEnd w:id="532"/>
      <w:bookmarkEnd w:id="533"/>
      <w:bookmarkEnd w:id="534"/>
      <w:bookmarkEnd w:id="535"/>
      <w:r>
        <w:rPr>
          <w:rFonts w:hint="eastAsia" w:ascii="黑体" w:hAnsi="黑体" w:eastAsia="黑体"/>
          <w:sz w:val="32"/>
          <w:szCs w:val="32"/>
        </w:rPr>
        <w:t>和行动</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adjustRightInd w:val="0"/>
        <w:snapToGrid w:val="0"/>
        <w:spacing w:line="560" w:lineRule="exact"/>
        <w:ind w:left="319" w:leftChars="152" w:firstLine="318" w:firstLineChars="99"/>
        <w:jc w:val="left"/>
        <w:outlineLvl w:val="1"/>
        <w:rPr>
          <w:rFonts w:ascii="楷体" w:hAnsi="楷体" w:eastAsia="楷体" w:cs="楷体"/>
          <w:b/>
          <w:sz w:val="32"/>
          <w:szCs w:val="32"/>
        </w:rPr>
      </w:pPr>
      <w:bookmarkStart w:id="550" w:name="_Toc6063"/>
      <w:bookmarkStart w:id="551" w:name="_Toc28599"/>
      <w:bookmarkStart w:id="552" w:name="_Toc29566"/>
      <w:bookmarkStart w:id="553" w:name="_Toc18304"/>
      <w:bookmarkStart w:id="554" w:name="_Toc6228"/>
      <w:bookmarkStart w:id="555" w:name="_Toc22122"/>
      <w:bookmarkStart w:id="556" w:name="_Toc8776"/>
      <w:bookmarkStart w:id="557" w:name="_Toc17885"/>
      <w:bookmarkStart w:id="558" w:name="_Toc7660"/>
      <w:bookmarkStart w:id="559" w:name="_Toc92706654"/>
      <w:bookmarkStart w:id="560" w:name="_Toc264"/>
      <w:bookmarkStart w:id="561" w:name="_Toc22440"/>
      <w:bookmarkStart w:id="562" w:name="_Toc60"/>
      <w:bookmarkStart w:id="563" w:name="_Toc8884"/>
      <w:bookmarkStart w:id="564" w:name="_Toc17440"/>
      <w:bookmarkStart w:id="565" w:name="_Toc19357"/>
      <w:bookmarkStart w:id="566" w:name="_Toc14622"/>
      <w:bookmarkStart w:id="567" w:name="_Toc2064642460"/>
      <w:bookmarkStart w:id="568" w:name="_Toc11367"/>
      <w:bookmarkStart w:id="569" w:name="_Toc9534"/>
      <w:bookmarkStart w:id="570" w:name="_Toc21467"/>
      <w:bookmarkStart w:id="571" w:name="_Toc3984"/>
      <w:bookmarkStart w:id="572" w:name="_Toc2627"/>
      <w:r>
        <w:rPr>
          <w:rFonts w:hint="eastAsia" w:ascii="楷体" w:hAnsi="楷体" w:eastAsia="楷体" w:cs="楷体"/>
          <w:b/>
          <w:sz w:val="32"/>
          <w:szCs w:val="32"/>
        </w:rPr>
        <w:t>（一）</w:t>
      </w:r>
      <w:bookmarkStart w:id="573" w:name="_Toc19522"/>
      <w:bookmarkStart w:id="574" w:name="_Toc25236"/>
      <w:bookmarkStart w:id="575" w:name="_Toc25503"/>
      <w:bookmarkStart w:id="576" w:name="_Toc27736"/>
      <w:bookmarkStart w:id="577" w:name="_Toc14900"/>
      <w:bookmarkStart w:id="578" w:name="_Toc88909821"/>
      <w:bookmarkStart w:id="579" w:name="_Toc88908048"/>
      <w:r>
        <w:rPr>
          <w:rFonts w:hint="eastAsia" w:ascii="楷体" w:hAnsi="楷体" w:eastAsia="楷体" w:cs="楷体"/>
          <w:b/>
          <w:sz w:val="32"/>
          <w:szCs w:val="32"/>
        </w:rPr>
        <w:t>园区循环化发展改造升级工程</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adjustRightInd w:val="0"/>
        <w:snapToGrid w:val="0"/>
        <w:spacing w:line="560" w:lineRule="exact"/>
        <w:ind w:left="2" w:firstLine="537" w:firstLineChars="168"/>
        <w:jc w:val="left"/>
        <w:rPr>
          <w:rFonts w:eastAsia="仿宋"/>
          <w:sz w:val="32"/>
          <w:szCs w:val="32"/>
        </w:rPr>
      </w:pPr>
      <w:r>
        <w:rPr>
          <w:rFonts w:hint="eastAsia" w:eastAsia="仿宋"/>
          <w:sz w:val="32"/>
          <w:szCs w:val="32"/>
        </w:rPr>
        <w:t>推进既有园区循环化改造，着力推动公共设施共建共享、能源梯级利用、资源循环利用和污染物集中安全处置等。加快</w:t>
      </w:r>
      <w:r>
        <w:rPr>
          <w:rFonts w:eastAsia="仿宋"/>
          <w:sz w:val="32"/>
          <w:szCs w:val="32"/>
        </w:rPr>
        <w:t>园区循环化改造示范项目</w:t>
      </w:r>
      <w:r>
        <w:rPr>
          <w:rFonts w:hint="eastAsia" w:eastAsia="仿宋"/>
          <w:sz w:val="32"/>
          <w:szCs w:val="32"/>
        </w:rPr>
        <w:t>建设</w:t>
      </w:r>
      <w:r>
        <w:rPr>
          <w:rFonts w:eastAsia="仿宋"/>
          <w:sz w:val="32"/>
          <w:szCs w:val="32"/>
        </w:rPr>
        <w:t>，</w:t>
      </w:r>
      <w:r>
        <w:rPr>
          <w:rFonts w:hint="eastAsia" w:eastAsia="仿宋"/>
          <w:sz w:val="32"/>
          <w:szCs w:val="32"/>
        </w:rPr>
        <w:t>推进完成</w:t>
      </w:r>
      <w:r>
        <w:rPr>
          <w:rFonts w:eastAsia="仿宋"/>
          <w:sz w:val="32"/>
          <w:szCs w:val="32"/>
        </w:rPr>
        <w:t>南宁经开区、广西</w:t>
      </w:r>
      <w:r>
        <w:rPr>
          <w:rFonts w:hint="eastAsia" w:eastAsia="仿宋"/>
          <w:sz w:val="32"/>
          <w:szCs w:val="32"/>
        </w:rPr>
        <w:t>—</w:t>
      </w:r>
      <w:r>
        <w:rPr>
          <w:rFonts w:eastAsia="仿宋"/>
          <w:sz w:val="32"/>
          <w:szCs w:val="32"/>
        </w:rPr>
        <w:t>东盟经开区等国家循环化改造示范试点园区</w:t>
      </w:r>
      <w:r>
        <w:rPr>
          <w:rFonts w:hint="eastAsia" w:eastAsia="仿宋"/>
          <w:sz w:val="32"/>
          <w:szCs w:val="32"/>
        </w:rPr>
        <w:t>终期验收</w:t>
      </w:r>
      <w:r>
        <w:rPr>
          <w:rFonts w:eastAsia="仿宋"/>
          <w:sz w:val="32"/>
          <w:szCs w:val="32"/>
        </w:rPr>
        <w:t>，</w:t>
      </w:r>
      <w:r>
        <w:rPr>
          <w:rFonts w:hint="eastAsia" w:eastAsia="仿宋"/>
          <w:sz w:val="32"/>
          <w:szCs w:val="32"/>
        </w:rPr>
        <w:t>积极</w:t>
      </w:r>
      <w:r>
        <w:rPr>
          <w:rFonts w:eastAsia="仿宋"/>
          <w:sz w:val="32"/>
          <w:szCs w:val="32"/>
        </w:rPr>
        <w:t>推进南宁仙葫经开区、广西良庆经开区、宾阳县黎塘工业园区等自治区级园区循环化改造。推动南宁高新区、</w:t>
      </w:r>
      <w:r>
        <w:rPr>
          <w:rFonts w:hint="eastAsia" w:eastAsia="仿宋"/>
          <w:sz w:val="32"/>
          <w:szCs w:val="32"/>
        </w:rPr>
        <w:t>南宁</w:t>
      </w:r>
      <w:r>
        <w:rPr>
          <w:rFonts w:eastAsia="仿宋"/>
          <w:sz w:val="32"/>
          <w:szCs w:val="32"/>
        </w:rPr>
        <w:t>六景工业园区、</w:t>
      </w:r>
      <w:r>
        <w:rPr>
          <w:rFonts w:hint="eastAsia" w:eastAsia="仿宋"/>
          <w:sz w:val="32"/>
          <w:szCs w:val="32"/>
        </w:rPr>
        <w:t>南宁</w:t>
      </w:r>
      <w:r>
        <w:rPr>
          <w:rFonts w:eastAsia="仿宋"/>
          <w:sz w:val="32"/>
          <w:szCs w:val="32"/>
        </w:rPr>
        <w:t>江南工业园区申报国家循环化改造示范试点园区</w:t>
      </w:r>
      <w:r>
        <w:rPr>
          <w:rFonts w:hint="eastAsia" w:eastAsia="仿宋"/>
          <w:sz w:val="32"/>
          <w:szCs w:val="32"/>
        </w:rPr>
        <w:t>，支持</w:t>
      </w:r>
      <w:r>
        <w:rPr>
          <w:rFonts w:eastAsia="仿宋"/>
          <w:sz w:val="32"/>
          <w:szCs w:val="32"/>
        </w:rPr>
        <w:t>南宁高新区、南宁经开区申报创建国家生态工业示范园区。</w:t>
      </w:r>
      <w:r>
        <w:rPr>
          <w:rFonts w:hint="eastAsia" w:eastAsia="仿宋_GB2312"/>
          <w:sz w:val="32"/>
          <w:szCs w:val="32"/>
        </w:rPr>
        <w:t>加快江南工业园综合能源服务示范区建设，积极推进电、热、冷、气等多种能源协同互济的综合能源项目建设。</w:t>
      </w:r>
      <w:r>
        <w:rPr>
          <w:rFonts w:hint="eastAsia" w:eastAsia="仿宋"/>
          <w:sz w:val="32"/>
          <w:szCs w:val="32"/>
        </w:rPr>
        <w:t>推进新建或在建工业园区循环经济发展</w:t>
      </w:r>
      <w:r>
        <w:rPr>
          <w:rFonts w:eastAsia="仿宋"/>
          <w:sz w:val="32"/>
          <w:szCs w:val="32"/>
        </w:rPr>
        <w:t>，</w:t>
      </w:r>
      <w:r>
        <w:rPr>
          <w:rFonts w:hint="eastAsia" w:eastAsia="仿宋"/>
          <w:sz w:val="32"/>
          <w:szCs w:val="32"/>
        </w:rPr>
        <w:t>着力加快南宁伶俐工业园发展新能源汽车</w:t>
      </w:r>
      <w:r>
        <w:rPr>
          <w:rFonts w:eastAsia="仿宋"/>
          <w:sz w:val="32"/>
          <w:szCs w:val="32"/>
        </w:rPr>
        <w:t>、</w:t>
      </w:r>
      <w:r>
        <w:rPr>
          <w:rFonts w:hint="eastAsia" w:eastAsia="仿宋"/>
          <w:sz w:val="32"/>
          <w:szCs w:val="32"/>
        </w:rPr>
        <w:t>先进制造等产业以及南宁新兴产业园发展新能源</w:t>
      </w:r>
      <w:r>
        <w:rPr>
          <w:rFonts w:eastAsia="仿宋"/>
          <w:sz w:val="32"/>
          <w:szCs w:val="32"/>
        </w:rPr>
        <w:t>、</w:t>
      </w:r>
      <w:r>
        <w:rPr>
          <w:rFonts w:hint="eastAsia" w:eastAsia="仿宋"/>
          <w:sz w:val="32"/>
          <w:szCs w:val="32"/>
        </w:rPr>
        <w:t>新能源汽车等产业</w:t>
      </w:r>
      <w:r>
        <w:rPr>
          <w:rFonts w:eastAsia="仿宋"/>
          <w:sz w:val="32"/>
          <w:szCs w:val="32"/>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hint="eastAsia" w:eastAsia="仿宋"/>
                <w:b/>
                <w:bCs/>
                <w:sz w:val="30"/>
                <w:szCs w:val="30"/>
              </w:rPr>
            </w:pPr>
            <w:r>
              <w:rPr>
                <w:rFonts w:eastAsia="仿宋"/>
                <w:b/>
                <w:bCs/>
                <w:sz w:val="30"/>
                <w:szCs w:val="30"/>
              </w:rPr>
              <w:t>专栏</w:t>
            </w:r>
            <w:r>
              <w:rPr>
                <w:rFonts w:hint="eastAsia" w:eastAsia="仿宋"/>
                <w:b/>
                <w:bCs/>
                <w:sz w:val="30"/>
                <w:szCs w:val="30"/>
              </w:rPr>
              <w:t>5</w:t>
            </w:r>
            <w:r>
              <w:rPr>
                <w:rFonts w:eastAsia="仿宋"/>
                <w:b/>
                <w:bCs/>
                <w:sz w:val="30"/>
                <w:szCs w:val="30"/>
              </w:rPr>
              <w:t xml:space="preserve">-1 </w:t>
            </w:r>
            <w:r>
              <w:rPr>
                <w:rFonts w:hint="eastAsia" w:eastAsia="仿宋"/>
                <w:b/>
                <w:bCs/>
                <w:sz w:val="30"/>
                <w:szCs w:val="30"/>
              </w:rPr>
              <w:t>园区循环化改造升级工程</w:t>
            </w:r>
          </w:p>
          <w:p>
            <w:pPr>
              <w:spacing w:line="520" w:lineRule="exact"/>
              <w:ind w:firstLine="602" w:firstLineChars="200"/>
              <w:rPr>
                <w:rFonts w:ascii="仿宋" w:hAnsi="仿宋" w:eastAsia="仿宋"/>
                <w:bCs/>
                <w:sz w:val="30"/>
                <w:szCs w:val="30"/>
              </w:rPr>
            </w:pPr>
            <w:r>
              <w:rPr>
                <w:rFonts w:hint="eastAsia" w:ascii="仿宋" w:hAnsi="仿宋" w:eastAsia="仿宋"/>
                <w:b/>
                <w:sz w:val="30"/>
                <w:szCs w:val="30"/>
              </w:rPr>
              <w:t>园区循环化改造示范园区</w:t>
            </w:r>
            <w:r>
              <w:rPr>
                <w:rFonts w:ascii="仿宋" w:hAnsi="仿宋" w:eastAsia="仿宋"/>
                <w:b/>
                <w:sz w:val="30"/>
                <w:szCs w:val="30"/>
              </w:rPr>
              <w:t>：</w:t>
            </w:r>
            <w:r>
              <w:rPr>
                <w:rFonts w:hint="eastAsia" w:ascii="仿宋" w:hAnsi="仿宋" w:eastAsia="仿宋"/>
                <w:bCs/>
                <w:sz w:val="30"/>
                <w:szCs w:val="30"/>
              </w:rPr>
              <w:t>南宁经开区、广西—东盟经开区</w:t>
            </w:r>
            <w:r>
              <w:rPr>
                <w:rFonts w:ascii="仿宋" w:hAnsi="仿宋" w:eastAsia="仿宋"/>
                <w:bCs/>
                <w:sz w:val="30"/>
                <w:szCs w:val="30"/>
              </w:rPr>
              <w:t>、</w:t>
            </w:r>
            <w:r>
              <w:rPr>
                <w:rFonts w:hint="eastAsia" w:ascii="仿宋" w:hAnsi="仿宋" w:eastAsia="仿宋"/>
                <w:bCs/>
                <w:sz w:val="30"/>
                <w:szCs w:val="30"/>
              </w:rPr>
              <w:t>南宁高新区、南宁六景工业园区、南宁江南工业园区、南宁仙葫经济开发区、广西良庆经济开发区、宾阳县黎塘工业园区</w:t>
            </w:r>
            <w:r>
              <w:rPr>
                <w:rFonts w:ascii="仿宋" w:hAnsi="仿宋" w:eastAsia="仿宋"/>
                <w:bCs/>
                <w:sz w:val="30"/>
                <w:szCs w:val="30"/>
              </w:rPr>
              <w:t>。</w:t>
            </w:r>
          </w:p>
          <w:p>
            <w:pPr>
              <w:spacing w:line="520" w:lineRule="exact"/>
              <w:ind w:firstLine="602" w:firstLineChars="200"/>
              <w:rPr>
                <w:rFonts w:ascii="仿宋" w:hAnsi="仿宋" w:eastAsia="仿宋"/>
                <w:bCs/>
                <w:sz w:val="30"/>
                <w:szCs w:val="30"/>
              </w:rPr>
            </w:pPr>
            <w:r>
              <w:rPr>
                <w:rFonts w:hint="eastAsia" w:ascii="仿宋" w:hAnsi="仿宋" w:eastAsia="仿宋"/>
                <w:b/>
                <w:sz w:val="30"/>
                <w:szCs w:val="30"/>
              </w:rPr>
              <w:t>绿色产业示范基地</w:t>
            </w:r>
            <w:r>
              <w:rPr>
                <w:rFonts w:ascii="仿宋" w:hAnsi="仿宋" w:eastAsia="仿宋"/>
                <w:b/>
                <w:sz w:val="30"/>
                <w:szCs w:val="30"/>
              </w:rPr>
              <w:t>：</w:t>
            </w:r>
            <w:r>
              <w:rPr>
                <w:rFonts w:ascii="仿宋" w:hAnsi="仿宋" w:eastAsia="仿宋"/>
                <w:bCs/>
                <w:sz w:val="30"/>
                <w:szCs w:val="30"/>
              </w:rPr>
              <w:t>南宁高新区</w:t>
            </w:r>
          </w:p>
          <w:p>
            <w:pPr>
              <w:spacing w:line="520" w:lineRule="exact"/>
              <w:ind w:firstLine="602" w:firstLineChars="200"/>
              <w:rPr>
                <w:rFonts w:hint="eastAsia" w:eastAsia="仿宋"/>
              </w:rPr>
            </w:pPr>
            <w:r>
              <w:rPr>
                <w:rFonts w:hint="eastAsia" w:ascii="仿宋" w:hAnsi="仿宋" w:eastAsia="仿宋"/>
                <w:b/>
                <w:sz w:val="30"/>
                <w:szCs w:val="30"/>
              </w:rPr>
              <w:t>生态工业示范园区</w:t>
            </w:r>
            <w:r>
              <w:rPr>
                <w:rFonts w:ascii="仿宋" w:hAnsi="仿宋" w:eastAsia="仿宋"/>
                <w:b/>
                <w:sz w:val="30"/>
                <w:szCs w:val="30"/>
              </w:rPr>
              <w:t>：</w:t>
            </w:r>
            <w:r>
              <w:rPr>
                <w:rFonts w:ascii="仿宋" w:hAnsi="仿宋" w:eastAsia="仿宋"/>
                <w:bCs/>
                <w:sz w:val="30"/>
                <w:szCs w:val="30"/>
              </w:rPr>
              <w:t>南宁高新区、南宁经开区</w:t>
            </w:r>
          </w:p>
        </w:tc>
      </w:tr>
    </w:tbl>
    <w:p>
      <w:bookmarkStart w:id="580" w:name="_Toc181"/>
      <w:bookmarkStart w:id="581" w:name="_Toc23969"/>
      <w:bookmarkStart w:id="582" w:name="_Toc1721"/>
      <w:bookmarkStart w:id="583" w:name="_Toc18147"/>
      <w:bookmarkStart w:id="584" w:name="_Toc9989"/>
      <w:bookmarkStart w:id="585" w:name="_Toc88909823"/>
      <w:bookmarkStart w:id="586" w:name="_Toc88908050"/>
    </w:p>
    <w:p>
      <w:pPr>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bookmarkStart w:id="587" w:name="_Toc22023"/>
      <w:bookmarkStart w:id="588" w:name="_Toc18564"/>
      <w:bookmarkStart w:id="589" w:name="_Toc14179"/>
      <w:bookmarkStart w:id="590" w:name="_Toc22653"/>
      <w:bookmarkStart w:id="591" w:name="_Toc24665"/>
      <w:bookmarkStart w:id="592" w:name="_Toc1405056994"/>
      <w:bookmarkStart w:id="593" w:name="_Toc15662"/>
      <w:bookmarkStart w:id="594" w:name="_Toc11455"/>
      <w:bookmarkStart w:id="595" w:name="_Toc31588"/>
      <w:bookmarkStart w:id="596" w:name="_Toc92706655"/>
      <w:bookmarkStart w:id="597" w:name="_Toc13704"/>
      <w:bookmarkStart w:id="598" w:name="_Toc9445"/>
      <w:bookmarkStart w:id="599" w:name="_Toc18998"/>
      <w:bookmarkStart w:id="600" w:name="_Toc28271"/>
      <w:bookmarkStart w:id="601" w:name="_Toc19323"/>
      <w:bookmarkStart w:id="602" w:name="_Toc22564"/>
      <w:bookmarkStart w:id="603" w:name="_Toc18472"/>
      <w:bookmarkStart w:id="604" w:name="_Toc15994"/>
      <w:bookmarkStart w:id="605" w:name="_Toc32537"/>
      <w:bookmarkStart w:id="606" w:name="_Toc18319"/>
      <w:bookmarkStart w:id="607" w:name="_Toc421"/>
      <w:bookmarkStart w:id="608" w:name="_Toc9292"/>
      <w:bookmarkStart w:id="609" w:name="_Toc1248"/>
      <w:r>
        <w:rPr>
          <w:rFonts w:hint="eastAsia" w:ascii="楷体" w:hAnsi="楷体" w:eastAsia="楷体" w:cs="楷体"/>
          <w:b/>
          <w:sz w:val="32"/>
          <w:szCs w:val="32"/>
        </w:rPr>
        <w:t>（二）大宗固体废弃物综合利用示范工程</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adjustRightInd w:val="0"/>
        <w:snapToGrid w:val="0"/>
        <w:spacing w:line="560" w:lineRule="exact"/>
        <w:ind w:left="2" w:firstLine="537" w:firstLineChars="168"/>
        <w:rPr>
          <w:rFonts w:eastAsia="仿宋"/>
          <w:sz w:val="32"/>
          <w:szCs w:val="32"/>
        </w:rPr>
      </w:pPr>
      <w:r>
        <w:rPr>
          <w:rFonts w:hint="eastAsia" w:eastAsia="仿宋"/>
          <w:sz w:val="32"/>
          <w:szCs w:val="32"/>
        </w:rPr>
        <w:t>聚焦冶炼渣、粉煤灰、工业副产石膏等重点品种，坚持消纳存量和控制增量，促进绿色、高效、高质、高值、规模化利用，大力推广使用再生资源利用产品，不断探索其他规模化利用渠道。</w:t>
      </w:r>
      <w:r>
        <w:rPr>
          <w:rFonts w:hint="eastAsia" w:ascii="仿宋" w:hAnsi="仿宋" w:eastAsia="仿宋"/>
          <w:sz w:val="32"/>
          <w:szCs w:val="32"/>
        </w:rPr>
        <w:t>开发和推广一批大宗固体废弃物综合利用先进技术、装备及高附加值产品，构建和延伸跨企业、跨行业的综合利用产业链条。积极申报第二批全国“无废城市”建设试点</w:t>
      </w:r>
      <w:r>
        <w:rPr>
          <w:rFonts w:ascii="仿宋" w:hAnsi="仿宋" w:eastAsia="仿宋"/>
          <w:sz w:val="32"/>
          <w:szCs w:val="32"/>
        </w:rPr>
        <w:t>，以大宗工业固体废物</w:t>
      </w:r>
      <w:r>
        <w:rPr>
          <w:rFonts w:hint="eastAsia" w:ascii="仿宋" w:hAnsi="仿宋" w:eastAsia="仿宋"/>
          <w:sz w:val="32"/>
          <w:szCs w:val="32"/>
        </w:rPr>
        <w:t>等</w:t>
      </w:r>
      <w:r>
        <w:rPr>
          <w:rFonts w:ascii="仿宋" w:hAnsi="仿宋" w:eastAsia="仿宋"/>
          <w:sz w:val="32"/>
          <w:szCs w:val="32"/>
        </w:rPr>
        <w:t>为重点，</w:t>
      </w:r>
      <w:r>
        <w:rPr>
          <w:rFonts w:hint="eastAsia" w:ascii="仿宋" w:hAnsi="仿宋" w:eastAsia="仿宋"/>
          <w:sz w:val="32"/>
          <w:szCs w:val="32"/>
        </w:rPr>
        <w:t>探索</w:t>
      </w:r>
      <w:r>
        <w:rPr>
          <w:rFonts w:ascii="仿宋" w:hAnsi="仿宋" w:eastAsia="仿宋"/>
          <w:sz w:val="32"/>
          <w:szCs w:val="32"/>
        </w:rPr>
        <w:t>固体废物源头减量和资源化利用</w:t>
      </w:r>
      <w:r>
        <w:rPr>
          <w:rFonts w:hint="eastAsia" w:ascii="仿宋" w:hAnsi="仿宋" w:eastAsia="仿宋"/>
          <w:sz w:val="32"/>
          <w:szCs w:val="32"/>
        </w:rPr>
        <w:t>新模式</w:t>
      </w:r>
      <w:r>
        <w:rPr>
          <w:rFonts w:eastAsia="仿宋"/>
          <w:sz w:val="32"/>
          <w:szCs w:val="32"/>
        </w:rPr>
        <w:t>。</w:t>
      </w:r>
      <w:r>
        <w:rPr>
          <w:rFonts w:hint="eastAsia" w:ascii="仿宋" w:hAnsi="仿宋" w:eastAsia="仿宋"/>
          <w:sz w:val="32"/>
          <w:szCs w:val="32"/>
        </w:rPr>
        <w:t>到</w:t>
      </w:r>
      <w:r>
        <w:rPr>
          <w:rFonts w:eastAsia="仿宋"/>
          <w:sz w:val="32"/>
          <w:szCs w:val="32"/>
        </w:rPr>
        <w:t>2025年，</w:t>
      </w:r>
      <w:r>
        <w:rPr>
          <w:rFonts w:hint="eastAsia" w:eastAsia="仿宋"/>
          <w:sz w:val="32"/>
          <w:szCs w:val="32"/>
        </w:rPr>
        <w:t>大宗固体废物综合利用率达到65%</w:t>
      </w:r>
      <w:r>
        <w:rPr>
          <w:rFonts w:eastAsia="仿宋"/>
          <w:sz w:val="32"/>
          <w:szCs w:val="32"/>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2</w:t>
            </w:r>
            <w:r>
              <w:rPr>
                <w:rFonts w:eastAsia="仿宋"/>
                <w:b/>
                <w:bCs/>
                <w:sz w:val="30"/>
                <w:szCs w:val="30"/>
              </w:rPr>
              <w:t xml:space="preserve"> </w:t>
            </w:r>
            <w:r>
              <w:rPr>
                <w:rFonts w:hint="eastAsia" w:eastAsia="仿宋"/>
                <w:b/>
                <w:bCs/>
                <w:sz w:val="30"/>
                <w:szCs w:val="30"/>
              </w:rPr>
              <w:t>大宗固体废弃物综合利用项目</w:t>
            </w:r>
          </w:p>
          <w:p>
            <w:pPr>
              <w:adjustRightInd w:val="0"/>
              <w:snapToGrid w:val="0"/>
              <w:spacing w:line="520" w:lineRule="exact"/>
              <w:ind w:firstLine="600" w:firstLineChars="200"/>
            </w:pPr>
            <w:r>
              <w:rPr>
                <w:rFonts w:hint="eastAsia" w:ascii="宋体" w:hAnsi="宋体" w:eastAsia="仿宋" w:cs="宋体"/>
                <w:kern w:val="0"/>
                <w:sz w:val="30"/>
                <w:szCs w:val="30"/>
              </w:rPr>
              <w:t>南宁市双定循环经济产业园污泥处置厂、利用固体废弃物生产烧结砖项目等。</w:t>
            </w:r>
          </w:p>
        </w:tc>
      </w:tr>
    </w:tbl>
    <w:p>
      <w:bookmarkStart w:id="610" w:name="_Toc4262"/>
      <w:bookmarkStart w:id="611" w:name="_Toc28986"/>
      <w:bookmarkStart w:id="612" w:name="_Toc1062715746"/>
      <w:bookmarkStart w:id="613" w:name="_Toc92706656"/>
      <w:bookmarkStart w:id="614" w:name="_Toc6900"/>
      <w:bookmarkStart w:id="615" w:name="_Toc29647"/>
      <w:bookmarkStart w:id="616" w:name="_Toc20783"/>
      <w:bookmarkStart w:id="617" w:name="_Toc22430"/>
      <w:bookmarkStart w:id="618" w:name="_Toc23188"/>
      <w:bookmarkStart w:id="619" w:name="_Toc23472"/>
      <w:bookmarkStart w:id="620" w:name="_Toc11661"/>
      <w:bookmarkStart w:id="621" w:name="_Toc14722"/>
      <w:bookmarkStart w:id="622" w:name="_Toc25557"/>
      <w:bookmarkStart w:id="623" w:name="_Toc14570"/>
      <w:bookmarkStart w:id="624" w:name="_Toc19157"/>
      <w:bookmarkStart w:id="625" w:name="_Toc22709"/>
      <w:bookmarkStart w:id="626" w:name="_Toc21846"/>
      <w:bookmarkStart w:id="627" w:name="_Toc17129"/>
      <w:bookmarkStart w:id="628" w:name="_Toc22592"/>
      <w:bookmarkStart w:id="629" w:name="_Toc12925"/>
      <w:bookmarkStart w:id="630" w:name="_Toc28749"/>
    </w:p>
    <w:p>
      <w:pPr>
        <w:adjustRightInd w:val="0"/>
        <w:snapToGrid w:val="0"/>
        <w:spacing w:before="120" w:beforeLines="50" w:line="560" w:lineRule="exact"/>
        <w:ind w:left="319" w:leftChars="152" w:firstLine="318" w:firstLineChars="99"/>
        <w:jc w:val="left"/>
        <w:outlineLvl w:val="1"/>
        <w:rPr>
          <w:rFonts w:hint="eastAsia" w:ascii="楷体" w:hAnsi="楷体" w:eastAsia="楷体" w:cs="楷体"/>
          <w:b/>
          <w:sz w:val="32"/>
          <w:szCs w:val="32"/>
        </w:rPr>
      </w:pPr>
      <w:r>
        <w:rPr>
          <w:rFonts w:hint="eastAsia" w:ascii="楷体" w:hAnsi="楷体" w:eastAsia="楷体" w:cs="楷体"/>
          <w:b/>
          <w:sz w:val="32"/>
          <w:szCs w:val="32"/>
        </w:rPr>
        <w:t>（三）城市废旧物资循环利用体系建设工程</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adjustRightInd w:val="0"/>
        <w:snapToGrid w:val="0"/>
        <w:spacing w:line="560" w:lineRule="exact"/>
        <w:ind w:left="2" w:firstLine="537" w:firstLineChars="168"/>
        <w:jc w:val="left"/>
        <w:rPr>
          <w:rFonts w:hint="eastAsia" w:eastAsia="仿宋"/>
        </w:rPr>
      </w:pPr>
      <w:r>
        <w:rPr>
          <w:rFonts w:hint="eastAsia" w:ascii="仿宋" w:hAnsi="仿宋" w:eastAsia="仿宋"/>
          <w:sz w:val="32"/>
          <w:szCs w:val="32"/>
        </w:rPr>
        <w:t>加快构建废旧物资循环利用体系，推动生产和生活领域再生资源回收利用，提升回收利用率。统筹布局城市废旧物资回收交投点、中转站、分拣中心建设。重点推进</w:t>
      </w:r>
      <w:bookmarkEnd w:id="580"/>
      <w:bookmarkEnd w:id="581"/>
      <w:bookmarkEnd w:id="582"/>
      <w:bookmarkEnd w:id="583"/>
      <w:bookmarkEnd w:id="584"/>
      <w:bookmarkEnd w:id="585"/>
      <w:bookmarkEnd w:id="586"/>
      <w:bookmarkEnd w:id="629"/>
      <w:bookmarkEnd w:id="630"/>
      <w:r>
        <w:rPr>
          <w:rFonts w:hint="eastAsia" w:ascii="仿宋" w:hAnsi="仿宋" w:eastAsia="仿宋"/>
          <w:sz w:val="32"/>
          <w:szCs w:val="32"/>
        </w:rPr>
        <w:t>废钢、废塑料、废玻璃、废纸、废旧轮胎等可回收物分拣进入专项资源化利用企业，加大废旧灯管、废旧电池等有害垃圾的回收和无害化处置。积极申报创建废旧物资循环利用体系示范城市</w:t>
      </w:r>
      <w:r>
        <w:rPr>
          <w:rFonts w:ascii="仿宋" w:hAnsi="仿宋" w:eastAsia="仿宋"/>
          <w:sz w:val="32"/>
          <w:szCs w:val="32"/>
        </w:rPr>
        <w:t>，</w:t>
      </w:r>
      <w:r>
        <w:rPr>
          <w:rFonts w:hint="eastAsia" w:ascii="仿宋" w:hAnsi="仿宋" w:eastAsia="仿宋"/>
          <w:sz w:val="32"/>
          <w:szCs w:val="32"/>
        </w:rPr>
        <w:t>加强废旧家电、废旧电池、废旧轮胎、废旧木制品、废旧纺织品、废塑料、废纸等城市废旧物资分类利用和集中处置，引导再生资源加工利用项目集聚发展。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3</w:t>
            </w:r>
            <w:r>
              <w:rPr>
                <w:rFonts w:eastAsia="仿宋"/>
                <w:b/>
                <w:bCs/>
                <w:sz w:val="30"/>
                <w:szCs w:val="30"/>
              </w:rPr>
              <w:t xml:space="preserve"> </w:t>
            </w:r>
            <w:r>
              <w:rPr>
                <w:rFonts w:hint="eastAsia" w:eastAsia="仿宋"/>
                <w:b/>
                <w:bCs/>
                <w:sz w:val="30"/>
                <w:szCs w:val="30"/>
              </w:rPr>
              <w:t>城市废旧物资循环利用项目</w:t>
            </w:r>
          </w:p>
          <w:p>
            <w:pPr>
              <w:adjustRightInd w:val="0"/>
              <w:snapToGrid w:val="0"/>
              <w:spacing w:line="520" w:lineRule="exact"/>
              <w:ind w:firstLine="600" w:firstLineChars="200"/>
            </w:pPr>
            <w:r>
              <w:rPr>
                <w:rFonts w:hint="eastAsia" w:ascii="宋体" w:hAnsi="宋体" w:eastAsia="仿宋" w:cs="宋体"/>
                <w:kern w:val="0"/>
                <w:sz w:val="30"/>
                <w:szCs w:val="30"/>
              </w:rPr>
              <w:t>废钢铁加工仓储配送中心、废钢铁资源回收及加工中心、广西交科新材料科技有限责任公司生产基地、广西废旧物资回收信息平台项目等。</w:t>
            </w:r>
          </w:p>
        </w:tc>
      </w:tr>
    </w:tbl>
    <w:p>
      <w:bookmarkStart w:id="631" w:name="_Toc11909"/>
      <w:bookmarkStart w:id="632" w:name="_Toc21170"/>
      <w:bookmarkStart w:id="633" w:name="_Toc3298"/>
      <w:bookmarkStart w:id="634" w:name="_Toc19881"/>
      <w:bookmarkStart w:id="635" w:name="_Toc19150"/>
      <w:bookmarkStart w:id="636" w:name="_Toc27359"/>
      <w:bookmarkStart w:id="637" w:name="_Toc25258"/>
      <w:bookmarkStart w:id="638" w:name="_Toc29653"/>
      <w:bookmarkStart w:id="639" w:name="_Toc6632"/>
      <w:bookmarkStart w:id="640" w:name="_Toc11762"/>
      <w:bookmarkStart w:id="641" w:name="_Toc14141"/>
      <w:bookmarkStart w:id="642" w:name="_Toc5546"/>
      <w:bookmarkStart w:id="643" w:name="_Toc22790"/>
      <w:bookmarkStart w:id="644" w:name="_Toc92706657"/>
      <w:bookmarkStart w:id="645" w:name="_Toc8067"/>
      <w:bookmarkStart w:id="646" w:name="_Toc1889"/>
      <w:bookmarkStart w:id="647" w:name="_Toc442050923"/>
      <w:bookmarkStart w:id="648" w:name="_Toc29038"/>
      <w:bookmarkStart w:id="649" w:name="_Toc29373"/>
      <w:bookmarkStart w:id="650" w:name="_Toc8525"/>
      <w:bookmarkStart w:id="651" w:name="_Toc1764"/>
      <w:bookmarkStart w:id="652" w:name="_Toc20298"/>
      <w:bookmarkStart w:id="653" w:name="_Toc25322"/>
    </w:p>
    <w:p>
      <w:pPr>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r>
        <w:rPr>
          <w:rFonts w:hint="eastAsia" w:ascii="楷体" w:hAnsi="楷体" w:eastAsia="楷体" w:cs="楷体"/>
          <w:b/>
          <w:sz w:val="32"/>
          <w:szCs w:val="32"/>
        </w:rPr>
        <w:t>（四）建筑垃圾资源化利用示范工程</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adjustRightInd w:val="0"/>
        <w:snapToGrid w:val="0"/>
        <w:spacing w:line="560" w:lineRule="exact"/>
        <w:ind w:left="2" w:firstLine="537" w:firstLineChars="168"/>
        <w:jc w:val="left"/>
        <w:rPr>
          <w:rFonts w:hint="eastAsia" w:ascii="仿宋" w:hAnsi="仿宋" w:eastAsia="仿宋"/>
          <w:sz w:val="32"/>
          <w:szCs w:val="32"/>
        </w:rPr>
      </w:pPr>
      <w:r>
        <w:rPr>
          <w:rFonts w:hint="eastAsia" w:ascii="仿宋" w:hAnsi="仿宋" w:eastAsia="仿宋"/>
          <w:sz w:val="32"/>
          <w:szCs w:val="32"/>
        </w:rPr>
        <w:t>在全市范围内推广装配式建筑、全装修住宅、建筑信息模型应用，推广改性沥青混合料再生筑路材料制备技术及装备。鼓励企业研发推广建筑垃圾减量化控制技术及建筑垃圾再生材料在建筑工程中应用的成套技术，大力推广混凝土、石灰石等物质进行粉碎处理资源化利用成为混凝土骨料、新型墙体材料和再生道路工程材料等新型环保建材的新技术。引进、扶持和发展建筑垃圾综合利用项目，培育行业骨干企业，加快构建“建筑原料—建筑物—建筑渣土/废弃物—再生产品”“建筑垃圾回收—破碎分选（金属回收）—制砖/混凝土/水稳/干粉砂浆”等建筑垃圾再生利用循环产业链，提高建筑垃圾回收、储运、分类处理</w:t>
      </w:r>
      <w:r>
        <w:rPr>
          <w:rFonts w:eastAsia="仿宋"/>
          <w:sz w:val="32"/>
          <w:szCs w:val="32"/>
        </w:rPr>
        <w:t>能力。</w:t>
      </w:r>
      <w:r>
        <w:rPr>
          <w:rFonts w:hint="eastAsia" w:eastAsia="仿宋"/>
          <w:sz w:val="32"/>
          <w:szCs w:val="32"/>
        </w:rPr>
        <w:t>积极争创国家建筑垃圾资源化利用示范城市，</w:t>
      </w:r>
      <w:r>
        <w:rPr>
          <w:rFonts w:hint="eastAsia" w:ascii="仿宋" w:hAnsi="仿宋" w:eastAsia="仿宋"/>
          <w:sz w:val="32"/>
          <w:szCs w:val="32"/>
        </w:rPr>
        <w:t>推进开展建筑垃圾管理和资源利用试点</w:t>
      </w:r>
      <w:r>
        <w:rPr>
          <w:rFonts w:ascii="仿宋" w:hAnsi="仿宋" w:eastAsia="仿宋"/>
          <w:sz w:val="32"/>
          <w:szCs w:val="32"/>
        </w:rPr>
        <w:t>，在</w:t>
      </w:r>
      <w:r>
        <w:rPr>
          <w:rFonts w:hint="eastAsia" w:ascii="仿宋" w:hAnsi="仿宋" w:eastAsia="仿宋"/>
          <w:sz w:val="32"/>
          <w:szCs w:val="32"/>
        </w:rPr>
        <w:t>条件合适的县区配套建设建筑垃圾资源化处理处置项目及建筑垃圾回收体系，建立建筑垃圾收集、分类、转运和再利用一体化的资源化利用机制。</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20" w:lineRule="exact"/>
              <w:jc w:val="center"/>
              <w:rPr>
                <w:rFonts w:eastAsia="仿宋"/>
                <w:b/>
                <w:bCs/>
                <w:sz w:val="30"/>
                <w:szCs w:val="30"/>
              </w:rPr>
            </w:pPr>
            <w:bookmarkStart w:id="654" w:name="_Toc6675"/>
            <w:bookmarkStart w:id="655" w:name="_Toc5207"/>
            <w:bookmarkStart w:id="656" w:name="_Toc31360"/>
            <w:bookmarkStart w:id="657" w:name="_Toc10746"/>
            <w:bookmarkStart w:id="658" w:name="_Toc19332"/>
            <w:bookmarkStart w:id="659" w:name="_Toc17227"/>
            <w:bookmarkStart w:id="660" w:name="_Toc6208"/>
            <w:bookmarkStart w:id="661" w:name="_Toc92706658"/>
            <w:bookmarkStart w:id="662" w:name="_Toc13851"/>
            <w:bookmarkStart w:id="663" w:name="_Toc22056"/>
            <w:bookmarkStart w:id="664" w:name="_Toc9402"/>
            <w:bookmarkStart w:id="665" w:name="_Toc613762114"/>
            <w:bookmarkStart w:id="666" w:name="_Toc5956"/>
            <w:bookmarkStart w:id="667" w:name="_Toc424125871"/>
            <w:bookmarkStart w:id="668" w:name="_Toc606191467"/>
            <w:bookmarkStart w:id="669" w:name="_Toc23080"/>
            <w:bookmarkStart w:id="670" w:name="_Toc31758"/>
            <w:bookmarkStart w:id="671" w:name="_Toc24080"/>
            <w:bookmarkStart w:id="672" w:name="_Toc4189"/>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4 建筑垃圾资源化利用项目</w:t>
            </w:r>
          </w:p>
          <w:p>
            <w:pPr>
              <w:adjustRightInd w:val="0"/>
              <w:snapToGrid w:val="0"/>
              <w:spacing w:line="520" w:lineRule="exact"/>
              <w:ind w:firstLine="600" w:firstLineChars="200"/>
            </w:pPr>
            <w:r>
              <w:rPr>
                <w:rFonts w:hint="eastAsia" w:ascii="宋体" w:hAnsi="宋体" w:eastAsia="仿宋" w:cs="宋体"/>
                <w:kern w:val="0"/>
                <w:sz w:val="30"/>
                <w:szCs w:val="30"/>
              </w:rPr>
              <w:t>南宁市建筑垃圾综合利用项目、广西美斯达</w:t>
            </w:r>
            <w:r>
              <w:rPr>
                <w:rFonts w:eastAsia="仿宋"/>
                <w:kern w:val="0"/>
                <w:sz w:val="30"/>
                <w:szCs w:val="30"/>
              </w:rPr>
              <w:t>MESDA建</w:t>
            </w:r>
            <w:r>
              <w:rPr>
                <w:rFonts w:hint="eastAsia" w:ascii="宋体" w:hAnsi="宋体" w:eastAsia="仿宋" w:cs="宋体"/>
                <w:kern w:val="0"/>
                <w:sz w:val="30"/>
                <w:szCs w:val="30"/>
              </w:rPr>
              <w:t>筑废弃物以及资源化再利用项目、绿色建筑技术研究及应用等。</w:t>
            </w:r>
          </w:p>
        </w:tc>
      </w:tr>
    </w:tbl>
    <w:p/>
    <w:p>
      <w:pPr>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bookmarkStart w:id="673" w:name="_Toc12471"/>
      <w:bookmarkStart w:id="674" w:name="_Toc30132"/>
      <w:bookmarkStart w:id="675" w:name="_Toc21070"/>
      <w:bookmarkStart w:id="676" w:name="_Toc7580"/>
      <w:bookmarkStart w:id="677" w:name="_Toc14472"/>
      <w:bookmarkStart w:id="678" w:name="_Toc1403927888"/>
      <w:bookmarkStart w:id="679" w:name="_Toc18845"/>
      <w:bookmarkStart w:id="680" w:name="_Toc8003"/>
      <w:bookmarkStart w:id="681" w:name="_Toc21978"/>
      <w:bookmarkStart w:id="682" w:name="_Toc25305"/>
      <w:r>
        <w:rPr>
          <w:rFonts w:hint="eastAsia" w:ascii="楷体" w:hAnsi="楷体" w:eastAsia="楷体" w:cs="楷体"/>
          <w:b/>
          <w:sz w:val="32"/>
          <w:szCs w:val="32"/>
        </w:rPr>
        <w:t>（五）废旧车用电池循环利用工程</w:t>
      </w:r>
      <w:bookmarkEnd w:id="654"/>
      <w:bookmarkEnd w:id="655"/>
      <w:bookmarkEnd w:id="656"/>
      <w:bookmarkEnd w:id="657"/>
      <w:bookmarkEnd w:id="658"/>
      <w:bookmarkEnd w:id="659"/>
      <w:bookmarkEnd w:id="660"/>
      <w:bookmarkEnd w:id="661"/>
      <w:bookmarkEnd w:id="662"/>
      <w:bookmarkEnd w:id="663"/>
      <w:bookmarkEnd w:id="664"/>
      <w:bookmarkEnd w:id="673"/>
      <w:bookmarkEnd w:id="674"/>
      <w:bookmarkEnd w:id="675"/>
      <w:bookmarkEnd w:id="676"/>
      <w:bookmarkEnd w:id="677"/>
      <w:bookmarkEnd w:id="678"/>
      <w:bookmarkEnd w:id="679"/>
      <w:bookmarkEnd w:id="680"/>
      <w:bookmarkEnd w:id="681"/>
      <w:bookmarkEnd w:id="682"/>
    </w:p>
    <w:p>
      <w:pPr>
        <w:adjustRightInd w:val="0"/>
        <w:snapToGrid w:val="0"/>
        <w:spacing w:line="560" w:lineRule="exact"/>
        <w:ind w:left="2" w:firstLine="537" w:firstLineChars="168"/>
        <w:rPr>
          <w:rFonts w:ascii="仿宋" w:hAnsi="仿宋" w:eastAsia="仿宋" w:cs="仿宋"/>
          <w:sz w:val="32"/>
          <w:szCs w:val="32"/>
          <w:highlight w:val="yellow"/>
        </w:rPr>
      </w:pPr>
      <w:r>
        <w:rPr>
          <w:rFonts w:hint="eastAsia" w:eastAsia="仿宋"/>
          <w:sz w:val="32"/>
          <w:szCs w:val="32"/>
        </w:rPr>
        <w:t>探索发展汽车循环经济</w:t>
      </w:r>
      <w:r>
        <w:rPr>
          <w:rFonts w:eastAsia="仿宋"/>
          <w:sz w:val="32"/>
          <w:szCs w:val="32"/>
        </w:rPr>
        <w:t>，</w:t>
      </w:r>
      <w:r>
        <w:rPr>
          <w:rFonts w:hint="eastAsia" w:eastAsia="仿宋"/>
          <w:sz w:val="32"/>
          <w:szCs w:val="32"/>
        </w:rPr>
        <w:t>推进报废机动车拆解与动力电池回收再利用</w:t>
      </w:r>
      <w:r>
        <w:rPr>
          <w:rFonts w:eastAsia="仿宋"/>
          <w:sz w:val="32"/>
          <w:szCs w:val="32"/>
        </w:rPr>
        <w:t>，</w:t>
      </w:r>
      <w:r>
        <w:rPr>
          <w:rFonts w:hint="eastAsia" w:eastAsia="仿宋"/>
          <w:sz w:val="32"/>
          <w:szCs w:val="32"/>
        </w:rPr>
        <w:t>构建废旧汽车拆解加工循环产业链</w:t>
      </w:r>
      <w:r>
        <w:rPr>
          <w:rFonts w:eastAsia="仿宋"/>
          <w:sz w:val="32"/>
          <w:szCs w:val="32"/>
        </w:rPr>
        <w:t>。</w:t>
      </w:r>
      <w:r>
        <w:rPr>
          <w:rFonts w:hint="eastAsia" w:eastAsia="仿宋"/>
          <w:sz w:val="32"/>
          <w:szCs w:val="32"/>
        </w:rPr>
        <w:t>积极推动汽车废旧电池回收利用</w:t>
      </w:r>
      <w:r>
        <w:rPr>
          <w:rFonts w:eastAsia="仿宋"/>
          <w:sz w:val="32"/>
          <w:szCs w:val="32"/>
        </w:rPr>
        <w:t>，</w:t>
      </w:r>
      <w:r>
        <w:rPr>
          <w:rFonts w:hint="eastAsia" w:eastAsia="仿宋"/>
          <w:sz w:val="32"/>
          <w:szCs w:val="32"/>
        </w:rPr>
        <w:t>重点推进废旧电池分选</w:t>
      </w:r>
      <w:r>
        <w:rPr>
          <w:rFonts w:eastAsia="仿宋"/>
          <w:sz w:val="32"/>
          <w:szCs w:val="32"/>
        </w:rPr>
        <w:t>、</w:t>
      </w:r>
      <w:r>
        <w:rPr>
          <w:rFonts w:hint="eastAsia" w:eastAsia="仿宋"/>
          <w:sz w:val="32"/>
          <w:szCs w:val="32"/>
        </w:rPr>
        <w:t>拆解及再生</w:t>
      </w:r>
      <w:r>
        <w:rPr>
          <w:rFonts w:eastAsia="仿宋"/>
          <w:sz w:val="32"/>
          <w:szCs w:val="32"/>
        </w:rPr>
        <w:t>，</w:t>
      </w:r>
      <w:r>
        <w:rPr>
          <w:rFonts w:hint="eastAsia" w:eastAsia="仿宋"/>
          <w:sz w:val="32"/>
          <w:szCs w:val="32"/>
        </w:rPr>
        <w:t>推动汽车电池工业向绿色</w:t>
      </w:r>
      <w:r>
        <w:rPr>
          <w:rFonts w:eastAsia="仿宋"/>
          <w:sz w:val="32"/>
          <w:szCs w:val="32"/>
        </w:rPr>
        <w:t>、</w:t>
      </w:r>
      <w:r>
        <w:rPr>
          <w:rFonts w:hint="eastAsia" w:eastAsia="仿宋"/>
          <w:sz w:val="32"/>
          <w:szCs w:val="32"/>
        </w:rPr>
        <w:t>安全</w:t>
      </w:r>
      <w:r>
        <w:rPr>
          <w:rFonts w:eastAsia="仿宋"/>
          <w:sz w:val="32"/>
          <w:szCs w:val="32"/>
        </w:rPr>
        <w:t>、</w:t>
      </w:r>
      <w:r>
        <w:rPr>
          <w:rFonts w:hint="eastAsia" w:eastAsia="仿宋"/>
          <w:sz w:val="32"/>
          <w:szCs w:val="32"/>
        </w:rPr>
        <w:t>高效发展</w:t>
      </w:r>
      <w:r>
        <w:rPr>
          <w:rFonts w:eastAsia="仿宋"/>
          <w:sz w:val="32"/>
          <w:szCs w:val="32"/>
        </w:rPr>
        <w:t>。</w:t>
      </w:r>
      <w:r>
        <w:rPr>
          <w:rFonts w:hint="eastAsia" w:eastAsia="仿宋"/>
          <w:sz w:val="32"/>
          <w:szCs w:val="32"/>
        </w:rPr>
        <w:t>以电动汽车动力锂电池、电动自行车动力铅蓄电池和锂电池、启停铅蓄电池为重点，建立规范有序的回收利用体系。</w:t>
      </w:r>
      <w:r>
        <w:rPr>
          <w:rFonts w:hint="eastAsia" w:ascii="仿宋" w:hAnsi="仿宋" w:eastAsia="仿宋" w:cs="仿宋"/>
          <w:sz w:val="32"/>
          <w:szCs w:val="32"/>
        </w:rPr>
        <w:t>推行退役动力电池在储能领域的二次应用，</w:t>
      </w:r>
      <w:r>
        <w:rPr>
          <w:rFonts w:hint="eastAsia" w:eastAsia="仿宋"/>
          <w:sz w:val="32"/>
          <w:szCs w:val="32"/>
        </w:rPr>
        <w:t>开展退役电池作为铁塔基站储能电池应用试点，提高废旧动力电池余能检测、残值评估、重组利用、安全管理等技术水平。培育废旧动力电池综合利用骨干企业，促进废旧动力电池循环利用产业加快发展。加强车用电池溯源管理平台建设，建立健全全生命周期溯源系统。</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bookmarkStart w:id="683" w:name="_Toc8608"/>
            <w:bookmarkStart w:id="684" w:name="_Toc21738"/>
            <w:bookmarkStart w:id="685" w:name="_Toc25531"/>
            <w:bookmarkStart w:id="686" w:name="_Toc31660"/>
            <w:bookmarkStart w:id="687" w:name="_Toc22306"/>
            <w:bookmarkStart w:id="688" w:name="_Toc25983"/>
            <w:bookmarkStart w:id="689" w:name="_Toc92706659"/>
            <w:bookmarkStart w:id="690" w:name="_Toc13189"/>
            <w:bookmarkStart w:id="691" w:name="_Toc13217"/>
            <w:bookmarkStart w:id="692" w:name="_Toc19774"/>
            <w:bookmarkStart w:id="693" w:name="_Toc24958"/>
            <w:bookmarkStart w:id="694" w:name="_Toc88909826"/>
            <w:bookmarkStart w:id="695" w:name="_Toc3755"/>
            <w:bookmarkStart w:id="696" w:name="_Toc4828"/>
            <w:bookmarkStart w:id="697" w:name="_Toc14870"/>
            <w:bookmarkStart w:id="698" w:name="_Toc4078"/>
            <w:bookmarkStart w:id="699" w:name="_Toc2299"/>
            <w:bookmarkStart w:id="700" w:name="_Toc88908053"/>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5</w:t>
            </w:r>
            <w:r>
              <w:rPr>
                <w:rFonts w:eastAsia="仿宋"/>
                <w:b/>
                <w:bCs/>
                <w:sz w:val="30"/>
                <w:szCs w:val="30"/>
              </w:rPr>
              <w:t xml:space="preserve"> </w:t>
            </w:r>
            <w:r>
              <w:rPr>
                <w:rFonts w:hint="eastAsia" w:eastAsia="仿宋"/>
                <w:b/>
                <w:bCs/>
                <w:sz w:val="30"/>
                <w:szCs w:val="30"/>
              </w:rPr>
              <w:t>废旧车用电池循环利用项目</w:t>
            </w:r>
          </w:p>
          <w:p>
            <w:pPr>
              <w:adjustRightInd w:val="0"/>
              <w:snapToGrid w:val="0"/>
              <w:spacing w:line="520" w:lineRule="exact"/>
              <w:ind w:firstLine="600" w:firstLineChars="200"/>
            </w:pPr>
            <w:r>
              <w:rPr>
                <w:rFonts w:ascii="宋体" w:hAnsi="宋体" w:eastAsia="仿宋" w:cs="宋体"/>
                <w:kern w:val="0"/>
                <w:sz w:val="30"/>
                <w:szCs w:val="30"/>
              </w:rPr>
              <w:t>新能源汽车动力电池梯次利用项目</w:t>
            </w:r>
            <w:r>
              <w:rPr>
                <w:rFonts w:hint="eastAsia" w:ascii="宋体" w:hAnsi="宋体" w:eastAsia="仿宋" w:cs="宋体"/>
                <w:kern w:val="0"/>
                <w:sz w:val="30"/>
                <w:szCs w:val="30"/>
              </w:rPr>
              <w:t>、</w:t>
            </w:r>
            <w:r>
              <w:rPr>
                <w:rFonts w:ascii="宋体" w:hAnsi="宋体" w:eastAsia="仿宋" w:cs="宋体"/>
                <w:kern w:val="0"/>
                <w:sz w:val="30"/>
                <w:szCs w:val="30"/>
              </w:rPr>
              <w:t>新能源电池</w:t>
            </w:r>
            <w:r>
              <w:rPr>
                <w:rFonts w:hint="eastAsia" w:ascii="宋体" w:hAnsi="宋体" w:eastAsia="仿宋" w:cs="宋体"/>
                <w:kern w:val="0"/>
                <w:sz w:val="30"/>
                <w:szCs w:val="30"/>
              </w:rPr>
              <w:t>/</w:t>
            </w:r>
            <w:r>
              <w:rPr>
                <w:rFonts w:ascii="宋体" w:hAnsi="宋体" w:eastAsia="仿宋" w:cs="宋体"/>
                <w:kern w:val="0"/>
                <w:sz w:val="30"/>
                <w:szCs w:val="30"/>
              </w:rPr>
              <w:t>新能源汽车拆解项目</w:t>
            </w:r>
            <w:r>
              <w:rPr>
                <w:rFonts w:hint="eastAsia" w:ascii="宋体" w:hAnsi="宋体" w:eastAsia="仿宋" w:cs="宋体"/>
                <w:kern w:val="0"/>
                <w:sz w:val="30"/>
                <w:szCs w:val="30"/>
              </w:rPr>
              <w:t>等。</w:t>
            </w:r>
          </w:p>
        </w:tc>
      </w:tr>
    </w:tbl>
    <w:p/>
    <w:p>
      <w:pPr>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bookmarkStart w:id="701" w:name="_Toc1169"/>
      <w:bookmarkStart w:id="702" w:name="_Toc15804"/>
      <w:bookmarkStart w:id="703" w:name="_Toc11578"/>
      <w:bookmarkStart w:id="704" w:name="_Toc31615"/>
      <w:bookmarkStart w:id="705" w:name="_Toc1413184027"/>
      <w:bookmarkStart w:id="706" w:name="_Toc1548"/>
      <w:bookmarkStart w:id="707" w:name="_Toc28493"/>
      <w:bookmarkStart w:id="708" w:name="_Toc25925"/>
      <w:bookmarkStart w:id="709" w:name="_Toc17269"/>
      <w:bookmarkStart w:id="710" w:name="_Toc22615"/>
      <w:r>
        <w:rPr>
          <w:rFonts w:hint="eastAsia" w:ascii="楷体" w:hAnsi="楷体" w:eastAsia="楷体" w:cs="楷体"/>
          <w:b/>
          <w:sz w:val="32"/>
          <w:szCs w:val="32"/>
        </w:rPr>
        <w:t>（六）再制造产业高质量发展工程</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adjustRightInd w:val="0"/>
        <w:snapToGrid w:val="0"/>
        <w:spacing w:line="560" w:lineRule="exact"/>
        <w:ind w:left="2" w:firstLine="537" w:firstLineChars="168"/>
        <w:rPr>
          <w:rFonts w:hint="eastAsia"/>
        </w:rPr>
      </w:pPr>
      <w:r>
        <w:rPr>
          <w:rFonts w:hint="eastAsia" w:eastAsia="仿宋"/>
          <w:sz w:val="32"/>
          <w:szCs w:val="32"/>
        </w:rPr>
        <w:t>发挥新能源汽车、先进装备制造产业发展的优势，围绕汽车零部件、工程机械等方向，重点开展汽车发动机</w:t>
      </w:r>
      <w:r>
        <w:rPr>
          <w:rFonts w:eastAsia="仿宋"/>
          <w:sz w:val="32"/>
          <w:szCs w:val="32"/>
        </w:rPr>
        <w:t>、</w:t>
      </w:r>
      <w:r>
        <w:rPr>
          <w:rFonts w:hint="eastAsia" w:eastAsia="仿宋"/>
          <w:sz w:val="32"/>
          <w:szCs w:val="32"/>
        </w:rPr>
        <w:t>变速箱</w:t>
      </w:r>
      <w:r>
        <w:rPr>
          <w:rFonts w:eastAsia="仿宋"/>
          <w:sz w:val="32"/>
          <w:szCs w:val="32"/>
        </w:rPr>
        <w:t>、</w:t>
      </w:r>
      <w:r>
        <w:rPr>
          <w:rFonts w:hint="eastAsia" w:eastAsia="仿宋"/>
          <w:sz w:val="32"/>
          <w:szCs w:val="32"/>
        </w:rPr>
        <w:t>发电机等零部件再制造</w:t>
      </w:r>
      <w:r>
        <w:rPr>
          <w:rFonts w:eastAsia="仿宋"/>
          <w:sz w:val="32"/>
          <w:szCs w:val="32"/>
        </w:rPr>
        <w:t>，支持建立发动机、变速箱等汽车旧件回收、再制造加工体系</w:t>
      </w:r>
      <w:r>
        <w:rPr>
          <w:rFonts w:hint="eastAsia" w:eastAsia="仿宋"/>
          <w:sz w:val="32"/>
          <w:szCs w:val="32"/>
        </w:rPr>
        <w:t>，壮大发展再制造产业</w:t>
      </w:r>
      <w:r>
        <w:rPr>
          <w:rFonts w:eastAsia="仿宋"/>
          <w:sz w:val="32"/>
          <w:szCs w:val="32"/>
        </w:rPr>
        <w:t>。</w:t>
      </w:r>
      <w:r>
        <w:rPr>
          <w:rFonts w:hint="eastAsia" w:eastAsia="仿宋"/>
          <w:sz w:val="32"/>
          <w:szCs w:val="32"/>
        </w:rPr>
        <w:t>推动再制造企业与上游废旧资源回收、拆解企业以及下游汽车、工程机械售后维修网点，建立产业协同关系，形成“旧件回收—拆解—再制造零部件—终端产品”有机衔接的产业体系。建立再制造产业链数据中心及产品交易平台，促进行业间的信息共享。规划建设汽车再制造产业园</w:t>
      </w:r>
      <w:r>
        <w:rPr>
          <w:rFonts w:eastAsia="仿宋"/>
          <w:sz w:val="32"/>
          <w:szCs w:val="32"/>
        </w:rPr>
        <w:t>（</w:t>
      </w:r>
      <w:r>
        <w:rPr>
          <w:rFonts w:hint="eastAsia" w:eastAsia="仿宋"/>
          <w:sz w:val="32"/>
          <w:szCs w:val="32"/>
        </w:rPr>
        <w:t>示范基地</w:t>
      </w:r>
      <w:r>
        <w:rPr>
          <w:rFonts w:eastAsia="仿宋"/>
          <w:sz w:val="32"/>
          <w:szCs w:val="32"/>
        </w:rPr>
        <w:t>）</w:t>
      </w:r>
      <w:r>
        <w:rPr>
          <w:rFonts w:hint="eastAsia" w:eastAsia="仿宋"/>
          <w:sz w:val="32"/>
          <w:szCs w:val="32"/>
        </w:rPr>
        <w:t>、再生铝产业园，推动南宁经开区构建报废工程机械—回收拆解—零部件—再制造等产业链条。支持再制造企业加快技术升级改造，实施一批再制造示范项目，鼓励和支持广西桂物、南宁交投等企业建设再制造产业基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bookmarkStart w:id="711" w:name="_Toc24576"/>
            <w:bookmarkStart w:id="712" w:name="_Toc11738"/>
            <w:bookmarkStart w:id="713" w:name="_Toc20408"/>
            <w:bookmarkStart w:id="714" w:name="_Toc8796"/>
            <w:bookmarkStart w:id="715" w:name="_Toc27082"/>
            <w:bookmarkStart w:id="716" w:name="_Toc7655"/>
            <w:bookmarkStart w:id="717" w:name="_Toc88908054"/>
            <w:bookmarkStart w:id="718" w:name="_Toc28218"/>
            <w:bookmarkStart w:id="719" w:name="_Toc92706660"/>
            <w:bookmarkStart w:id="720" w:name="_Toc6558"/>
            <w:bookmarkStart w:id="721" w:name="_Toc21796"/>
            <w:bookmarkStart w:id="722" w:name="_Toc88909827"/>
            <w:bookmarkStart w:id="723" w:name="_Toc9513"/>
            <w:bookmarkStart w:id="724" w:name="_Toc13710"/>
            <w:bookmarkStart w:id="725" w:name="_Toc1595"/>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6</w:t>
            </w:r>
            <w:r>
              <w:rPr>
                <w:rFonts w:eastAsia="仿宋"/>
                <w:b/>
                <w:bCs/>
                <w:sz w:val="30"/>
                <w:szCs w:val="30"/>
              </w:rPr>
              <w:t xml:space="preserve"> </w:t>
            </w:r>
            <w:r>
              <w:rPr>
                <w:rFonts w:hint="eastAsia" w:eastAsia="仿宋"/>
                <w:b/>
                <w:bCs/>
                <w:sz w:val="30"/>
                <w:szCs w:val="30"/>
              </w:rPr>
              <w:t>再制造产业项目</w:t>
            </w:r>
          </w:p>
          <w:p>
            <w:pPr>
              <w:adjustRightInd w:val="0"/>
              <w:snapToGrid w:val="0"/>
              <w:spacing w:line="520" w:lineRule="exact"/>
              <w:ind w:firstLine="600" w:firstLineChars="200"/>
            </w:pPr>
            <w:r>
              <w:rPr>
                <w:rFonts w:ascii="宋体" w:hAnsi="宋体" w:eastAsia="仿宋" w:cs="宋体"/>
                <w:kern w:val="0"/>
                <w:sz w:val="30"/>
                <w:szCs w:val="30"/>
              </w:rPr>
              <w:t>广西桂物资源循环产业园报废机动车拆解处理与综合利用项目</w:t>
            </w:r>
            <w:r>
              <w:rPr>
                <w:rFonts w:hint="eastAsia" w:ascii="宋体" w:hAnsi="宋体" w:eastAsia="仿宋" w:cs="宋体"/>
                <w:kern w:val="0"/>
                <w:sz w:val="30"/>
                <w:szCs w:val="30"/>
              </w:rPr>
              <w:t>、</w:t>
            </w:r>
            <w:r>
              <w:rPr>
                <w:rFonts w:ascii="宋体" w:hAnsi="宋体" w:eastAsia="仿宋" w:cs="宋体"/>
                <w:kern w:val="0"/>
                <w:sz w:val="30"/>
                <w:szCs w:val="30"/>
              </w:rPr>
              <w:t>南宁经开区再制造产业链建设工程</w:t>
            </w:r>
            <w:r>
              <w:rPr>
                <w:rFonts w:hint="eastAsia" w:ascii="宋体" w:hAnsi="宋体" w:eastAsia="仿宋" w:cs="宋体"/>
                <w:kern w:val="0"/>
                <w:sz w:val="30"/>
                <w:szCs w:val="30"/>
              </w:rPr>
              <w:t>等。</w:t>
            </w:r>
          </w:p>
        </w:tc>
      </w:tr>
    </w:tbl>
    <w:p/>
    <w:p>
      <w:pPr>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bookmarkStart w:id="726" w:name="_Toc5067"/>
      <w:bookmarkStart w:id="727" w:name="_Toc8784"/>
      <w:bookmarkStart w:id="728" w:name="_Toc27186"/>
      <w:bookmarkStart w:id="729" w:name="_Toc32206"/>
      <w:bookmarkStart w:id="730" w:name="_Toc3950"/>
      <w:bookmarkStart w:id="731" w:name="_Toc1460"/>
      <w:bookmarkStart w:id="732" w:name="_Toc92"/>
      <w:bookmarkStart w:id="733" w:name="_Toc214805969"/>
      <w:bookmarkStart w:id="734" w:name="_Toc2385"/>
      <w:bookmarkStart w:id="735" w:name="_Toc16859"/>
      <w:r>
        <w:rPr>
          <w:rFonts w:hint="eastAsia" w:ascii="楷体" w:hAnsi="楷体" w:eastAsia="楷体" w:cs="楷体"/>
          <w:b/>
          <w:sz w:val="32"/>
          <w:szCs w:val="32"/>
        </w:rPr>
        <w:t>（七）农林废弃物循环经济示范工程</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adjustRightInd w:val="0"/>
        <w:snapToGrid w:val="0"/>
        <w:spacing w:line="560" w:lineRule="exact"/>
        <w:ind w:left="2" w:firstLine="537" w:firstLineChars="168"/>
        <w:jc w:val="left"/>
        <w:rPr>
          <w:rFonts w:eastAsia="仿宋"/>
          <w:sz w:val="32"/>
          <w:szCs w:val="32"/>
        </w:rPr>
      </w:pPr>
      <w:r>
        <w:rPr>
          <w:rFonts w:hint="eastAsia" w:ascii="仿宋" w:hAnsi="仿宋" w:eastAsia="仿宋" w:cs="仿宋"/>
          <w:sz w:val="32"/>
          <w:szCs w:val="32"/>
        </w:rPr>
        <w:t>进一步完善秸秆收储运体系，</w:t>
      </w:r>
      <w:r>
        <w:rPr>
          <w:rFonts w:hint="eastAsia" w:eastAsia="仿宋"/>
          <w:sz w:val="32"/>
          <w:szCs w:val="32"/>
        </w:rPr>
        <w:t>积极构建农作物秸秆综合利用循环产业链</w:t>
      </w:r>
      <w:r>
        <w:rPr>
          <w:rFonts w:eastAsia="仿宋"/>
          <w:sz w:val="32"/>
          <w:szCs w:val="32"/>
        </w:rPr>
        <w:t>，</w:t>
      </w:r>
      <w:r>
        <w:rPr>
          <w:rFonts w:hint="eastAsia" w:eastAsia="仿宋"/>
          <w:sz w:val="32"/>
          <w:szCs w:val="32"/>
        </w:rPr>
        <w:t>推动形成秸秆—</w:t>
      </w:r>
      <w:r>
        <w:rPr>
          <w:rFonts w:eastAsia="仿宋"/>
          <w:sz w:val="32"/>
          <w:szCs w:val="32"/>
        </w:rPr>
        <w:t>农用机械粉碎/掩埋翻耕</w:t>
      </w:r>
      <w:r>
        <w:rPr>
          <w:rFonts w:hint="eastAsia" w:eastAsia="仿宋"/>
          <w:sz w:val="32"/>
          <w:szCs w:val="32"/>
        </w:rPr>
        <w:t>—有机肥料</w:t>
      </w:r>
      <w:r>
        <w:rPr>
          <w:rFonts w:eastAsia="仿宋"/>
          <w:sz w:val="32"/>
          <w:szCs w:val="32"/>
        </w:rPr>
        <w:t>、秸秆</w:t>
      </w:r>
      <w:r>
        <w:rPr>
          <w:rFonts w:hint="eastAsia" w:eastAsia="仿宋"/>
          <w:sz w:val="32"/>
          <w:szCs w:val="32"/>
        </w:rPr>
        <w:t>—</w:t>
      </w:r>
      <w:r>
        <w:rPr>
          <w:rFonts w:eastAsia="仿宋"/>
          <w:sz w:val="32"/>
          <w:szCs w:val="32"/>
        </w:rPr>
        <w:t>基料</w:t>
      </w:r>
      <w:r>
        <w:rPr>
          <w:rFonts w:hint="eastAsia" w:eastAsia="仿宋"/>
          <w:sz w:val="32"/>
          <w:szCs w:val="32"/>
        </w:rPr>
        <w:t>—</w:t>
      </w:r>
      <w:r>
        <w:rPr>
          <w:rFonts w:eastAsia="仿宋"/>
          <w:sz w:val="32"/>
          <w:szCs w:val="32"/>
        </w:rPr>
        <w:t>食用菌（广平菇、双孢蘑菇、草菇等）、秸秆</w:t>
      </w:r>
      <w:r>
        <w:rPr>
          <w:rFonts w:hint="eastAsia" w:eastAsia="仿宋"/>
          <w:sz w:val="32"/>
          <w:szCs w:val="32"/>
        </w:rPr>
        <w:t>—</w:t>
      </w:r>
      <w:r>
        <w:rPr>
          <w:rFonts w:eastAsia="仿宋"/>
          <w:sz w:val="32"/>
          <w:szCs w:val="32"/>
        </w:rPr>
        <w:t>成型燃料</w:t>
      </w:r>
      <w:r>
        <w:rPr>
          <w:rFonts w:hint="eastAsia" w:eastAsia="仿宋"/>
          <w:sz w:val="32"/>
          <w:szCs w:val="32"/>
        </w:rPr>
        <w:t>—</w:t>
      </w:r>
      <w:r>
        <w:rPr>
          <w:rFonts w:eastAsia="仿宋"/>
          <w:sz w:val="32"/>
          <w:szCs w:val="32"/>
        </w:rPr>
        <w:t>燃料</w:t>
      </w:r>
      <w:r>
        <w:rPr>
          <w:rFonts w:hint="eastAsia" w:eastAsia="仿宋"/>
          <w:sz w:val="32"/>
          <w:szCs w:val="32"/>
        </w:rPr>
        <w:t>—</w:t>
      </w:r>
      <w:r>
        <w:rPr>
          <w:rFonts w:eastAsia="仿宋"/>
          <w:sz w:val="32"/>
          <w:szCs w:val="32"/>
        </w:rPr>
        <w:t>农户、秸秆</w:t>
      </w:r>
      <w:r>
        <w:rPr>
          <w:rFonts w:hint="eastAsia" w:eastAsia="仿宋"/>
          <w:sz w:val="32"/>
          <w:szCs w:val="32"/>
        </w:rPr>
        <w:t>—</w:t>
      </w:r>
      <w:r>
        <w:rPr>
          <w:rFonts w:eastAsia="仿宋"/>
          <w:sz w:val="32"/>
          <w:szCs w:val="32"/>
        </w:rPr>
        <w:t>青贮/氨化/微贮饲料</w:t>
      </w:r>
      <w:r>
        <w:rPr>
          <w:rFonts w:hint="eastAsia" w:eastAsia="仿宋"/>
          <w:sz w:val="32"/>
          <w:szCs w:val="32"/>
        </w:rPr>
        <w:t>—</w:t>
      </w:r>
      <w:r>
        <w:rPr>
          <w:rFonts w:eastAsia="仿宋"/>
          <w:sz w:val="32"/>
          <w:szCs w:val="32"/>
        </w:rPr>
        <w:t>养殖业（肉</w:t>
      </w:r>
      <w:r>
        <w:rPr>
          <w:rFonts w:hint="eastAsia" w:eastAsia="仿宋"/>
          <w:sz w:val="32"/>
          <w:szCs w:val="32"/>
        </w:rPr>
        <w:t>牛、羊等牲畜饲料）等循环产业链，实现秸秆资源化逐级利用和污染物零排放。持续推进畜禽粪污资源化利用，推广“公司+小散养户+种植户”“猪—沼—肥—草—猪”“猪—沼—肥—果”“猪—沼—肥—林”等生态种养农牧结合模式，构建畜禽粪便—</w:t>
      </w:r>
      <w:r>
        <w:rPr>
          <w:rFonts w:eastAsia="仿宋"/>
          <w:sz w:val="32"/>
          <w:szCs w:val="32"/>
        </w:rPr>
        <w:t>沼气工程</w:t>
      </w:r>
      <w:r>
        <w:rPr>
          <w:rFonts w:hint="eastAsia" w:eastAsia="仿宋"/>
          <w:sz w:val="32"/>
          <w:szCs w:val="32"/>
        </w:rPr>
        <w:t>—</w:t>
      </w:r>
      <w:r>
        <w:rPr>
          <w:rFonts w:eastAsia="仿宋"/>
          <w:sz w:val="32"/>
          <w:szCs w:val="32"/>
        </w:rPr>
        <w:t>燃料</w:t>
      </w:r>
      <w:r>
        <w:rPr>
          <w:rFonts w:hint="eastAsia" w:eastAsia="仿宋"/>
          <w:sz w:val="32"/>
          <w:szCs w:val="32"/>
        </w:rPr>
        <w:t>发电—</w:t>
      </w:r>
      <w:r>
        <w:rPr>
          <w:rFonts w:eastAsia="仿宋"/>
          <w:sz w:val="32"/>
          <w:szCs w:val="32"/>
        </w:rPr>
        <w:t>农户、</w:t>
      </w:r>
      <w:r>
        <w:rPr>
          <w:rFonts w:hint="eastAsia" w:eastAsia="仿宋"/>
          <w:sz w:val="32"/>
          <w:szCs w:val="32"/>
        </w:rPr>
        <w:t>禽畜粪便—沼气</w:t>
      </w:r>
      <w:r>
        <w:rPr>
          <w:rFonts w:eastAsia="仿宋"/>
          <w:sz w:val="32"/>
          <w:szCs w:val="32"/>
        </w:rPr>
        <w:t>工程</w:t>
      </w:r>
      <w:r>
        <w:rPr>
          <w:rFonts w:hint="eastAsia" w:eastAsia="仿宋"/>
          <w:sz w:val="32"/>
          <w:szCs w:val="32"/>
        </w:rPr>
        <w:t>—沼渣</w:t>
      </w:r>
      <w:r>
        <w:rPr>
          <w:rFonts w:eastAsia="仿宋"/>
          <w:sz w:val="32"/>
          <w:szCs w:val="32"/>
        </w:rPr>
        <w:t>/</w:t>
      </w:r>
      <w:r>
        <w:rPr>
          <w:rFonts w:hint="eastAsia" w:eastAsia="仿宋"/>
          <w:sz w:val="32"/>
          <w:szCs w:val="32"/>
        </w:rPr>
        <w:t>沼液—农林作物</w:t>
      </w:r>
      <w:r>
        <w:rPr>
          <w:rFonts w:eastAsia="仿宋"/>
          <w:sz w:val="32"/>
          <w:szCs w:val="32"/>
        </w:rPr>
        <w:t>、畜禽粪便</w:t>
      </w:r>
      <w:r>
        <w:rPr>
          <w:rFonts w:hint="eastAsia" w:eastAsia="仿宋"/>
          <w:sz w:val="32"/>
          <w:szCs w:val="32"/>
        </w:rPr>
        <w:t>—无害化处理—</w:t>
      </w:r>
      <w:r>
        <w:rPr>
          <w:rFonts w:eastAsia="仿宋"/>
          <w:sz w:val="32"/>
          <w:szCs w:val="32"/>
        </w:rPr>
        <w:t>有机肥</w:t>
      </w:r>
      <w:r>
        <w:rPr>
          <w:rFonts w:hint="eastAsia" w:eastAsia="仿宋"/>
          <w:sz w:val="32"/>
          <w:szCs w:val="32"/>
        </w:rPr>
        <w:t>料—农林作物等循环产业链。加强</w:t>
      </w:r>
      <w:r>
        <w:rPr>
          <w:rFonts w:hint="eastAsia" w:eastAsia="仿宋"/>
          <w:sz w:val="32"/>
          <w:szCs w:val="32"/>
          <w:lang w:eastAsia="zh-Hans"/>
        </w:rPr>
        <w:t>林业废弃物</w:t>
      </w:r>
      <w:r>
        <w:rPr>
          <w:rFonts w:hint="eastAsia" w:eastAsia="仿宋"/>
          <w:sz w:val="32"/>
          <w:szCs w:val="32"/>
        </w:rPr>
        <w:t>的综合利用，健全次小薪材、林业三剩物回收体系，积极构建农林废弃物—有机肥—食用菇生产循环产业链</w:t>
      </w:r>
      <w:r>
        <w:rPr>
          <w:rFonts w:eastAsia="仿宋"/>
          <w:sz w:val="32"/>
          <w:szCs w:val="32"/>
          <w:lang w:eastAsia="zh-Hans"/>
        </w:rPr>
        <w:t>。</w:t>
      </w:r>
      <w:r>
        <w:rPr>
          <w:rFonts w:hint="eastAsia" w:eastAsia="仿宋"/>
          <w:sz w:val="32"/>
          <w:szCs w:val="32"/>
        </w:rPr>
        <w:t>加快推进秸秆、畜禽粪污、林业废弃物等领域资源化利用重点县（市、区）建设，积极推进广西横县现代林业产业园发展，打造打造原材料基地—人造板—高端绿色家居全产业链，推动产业绿色化。</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noWrap w:val="0"/>
            <w:vAlign w:val="top"/>
          </w:tcPr>
          <w:p>
            <w:pPr>
              <w:spacing w:line="520" w:lineRule="exact"/>
              <w:jc w:val="center"/>
              <w:rPr>
                <w:rFonts w:eastAsia="仿宋"/>
                <w:b/>
                <w:bCs/>
                <w:sz w:val="30"/>
                <w:szCs w:val="30"/>
              </w:rPr>
            </w:pPr>
            <w:r>
              <w:rPr>
                <w:rFonts w:hint="eastAsia" w:eastAsia="仿宋"/>
                <w:b/>
                <w:bCs/>
                <w:sz w:val="30"/>
                <w:szCs w:val="30"/>
              </w:rPr>
              <w:t>专栏5-7 农林废弃物循环经济示范工程重点区域和项目</w:t>
            </w:r>
          </w:p>
          <w:p>
            <w:pPr>
              <w:spacing w:line="520" w:lineRule="exact"/>
              <w:ind w:firstLine="602" w:firstLineChars="200"/>
              <w:rPr>
                <w:rFonts w:hint="eastAsia" w:ascii="宋体" w:hAnsi="宋体" w:eastAsia="仿宋" w:cs="宋体"/>
                <w:kern w:val="0"/>
                <w:sz w:val="30"/>
                <w:szCs w:val="30"/>
              </w:rPr>
            </w:pPr>
            <w:r>
              <w:rPr>
                <w:rFonts w:hint="eastAsia" w:ascii="宋体" w:hAnsi="宋体" w:eastAsia="仿宋" w:cs="宋体"/>
                <w:b/>
                <w:bCs/>
                <w:kern w:val="0"/>
                <w:sz w:val="30"/>
                <w:szCs w:val="30"/>
              </w:rPr>
              <w:t>秸秆资源化利用重点县（市、区）：</w:t>
            </w:r>
            <w:r>
              <w:rPr>
                <w:rFonts w:hint="eastAsia" w:ascii="宋体" w:hAnsi="宋体" w:eastAsia="仿宋" w:cs="宋体"/>
                <w:kern w:val="0"/>
                <w:sz w:val="30"/>
                <w:szCs w:val="30"/>
              </w:rPr>
              <w:t>青秀区、武鸣区、横州市、宾阳县、上林县、隆安县</w:t>
            </w:r>
          </w:p>
          <w:p>
            <w:pPr>
              <w:spacing w:line="520" w:lineRule="exact"/>
              <w:ind w:firstLine="602" w:firstLineChars="200"/>
              <w:rPr>
                <w:rFonts w:hint="eastAsia" w:ascii="宋体" w:hAnsi="宋体" w:eastAsia="仿宋" w:cs="宋体"/>
                <w:kern w:val="0"/>
                <w:sz w:val="30"/>
                <w:szCs w:val="30"/>
              </w:rPr>
            </w:pPr>
            <w:r>
              <w:rPr>
                <w:rFonts w:hint="eastAsia" w:ascii="宋体" w:hAnsi="宋体" w:eastAsia="仿宋" w:cs="宋体"/>
                <w:b/>
                <w:bCs/>
                <w:kern w:val="0"/>
                <w:sz w:val="30"/>
                <w:szCs w:val="30"/>
              </w:rPr>
              <w:t>畜禽粪污资源化利用重点县（市、区）：</w:t>
            </w:r>
            <w:r>
              <w:rPr>
                <w:rFonts w:hint="eastAsia" w:ascii="宋体" w:hAnsi="宋体" w:eastAsia="仿宋" w:cs="宋体"/>
                <w:kern w:val="0"/>
                <w:sz w:val="30"/>
                <w:szCs w:val="30"/>
              </w:rPr>
              <w:t>西乡塘区、马山县</w:t>
            </w:r>
          </w:p>
          <w:p>
            <w:pPr>
              <w:spacing w:line="520" w:lineRule="exact"/>
              <w:ind w:firstLine="602" w:firstLineChars="200"/>
              <w:rPr>
                <w:rFonts w:hint="eastAsia" w:ascii="宋体" w:hAnsi="宋体" w:eastAsia="仿宋" w:cs="宋体"/>
                <w:kern w:val="0"/>
                <w:sz w:val="30"/>
                <w:szCs w:val="30"/>
              </w:rPr>
            </w:pPr>
            <w:r>
              <w:rPr>
                <w:rFonts w:hint="eastAsia" w:ascii="宋体" w:hAnsi="宋体" w:eastAsia="仿宋" w:cs="宋体"/>
                <w:b/>
                <w:bCs/>
                <w:kern w:val="0"/>
                <w:sz w:val="30"/>
                <w:szCs w:val="30"/>
              </w:rPr>
              <w:t>林业废弃物资源化利用重点县（市、区）：</w:t>
            </w:r>
            <w:r>
              <w:rPr>
                <w:rFonts w:hint="eastAsia" w:ascii="宋体" w:hAnsi="宋体" w:eastAsia="仿宋" w:cs="宋体"/>
                <w:kern w:val="0"/>
                <w:sz w:val="30"/>
                <w:szCs w:val="30"/>
              </w:rPr>
              <w:t>上林县</w:t>
            </w:r>
          </w:p>
          <w:p>
            <w:pPr>
              <w:spacing w:line="520" w:lineRule="exact"/>
              <w:ind w:firstLine="602" w:firstLineChars="200"/>
            </w:pPr>
            <w:r>
              <w:rPr>
                <w:rFonts w:hint="eastAsia" w:eastAsia="仿宋"/>
                <w:b/>
                <w:bCs/>
                <w:sz w:val="30"/>
                <w:szCs w:val="30"/>
              </w:rPr>
              <w:t>农林废弃物循环</w:t>
            </w:r>
            <w:r>
              <w:rPr>
                <w:rFonts w:hint="eastAsia" w:eastAsia="仿宋"/>
                <w:b/>
                <w:bCs/>
                <w:sz w:val="30"/>
                <w:szCs w:val="30"/>
                <w:lang w:eastAsia="zh-Hans"/>
              </w:rPr>
              <w:t>经济</w:t>
            </w:r>
            <w:r>
              <w:rPr>
                <w:rFonts w:hint="eastAsia" w:eastAsia="仿宋"/>
                <w:b/>
                <w:bCs/>
                <w:sz w:val="30"/>
                <w:szCs w:val="30"/>
              </w:rPr>
              <w:t>重点项目：</w:t>
            </w:r>
            <w:r>
              <w:rPr>
                <w:rFonts w:hint="eastAsia" w:ascii="宋体" w:hAnsi="宋体" w:eastAsia="仿宋" w:cs="宋体"/>
                <w:kern w:val="0"/>
                <w:sz w:val="30"/>
                <w:szCs w:val="30"/>
              </w:rPr>
              <w:t>新希望南宁市生猪养殖聚落全产业链生态循环农业投资项目、农利来绿色农业科教产学研用一体化项目、年处理</w:t>
            </w:r>
            <w:r>
              <w:rPr>
                <w:rFonts w:eastAsia="仿宋"/>
                <w:kern w:val="0"/>
                <w:sz w:val="30"/>
                <w:szCs w:val="30"/>
              </w:rPr>
              <w:t>50万</w:t>
            </w:r>
            <w:r>
              <w:rPr>
                <w:rFonts w:hint="eastAsia" w:ascii="宋体" w:hAnsi="宋体" w:eastAsia="仿宋" w:cs="宋体"/>
                <w:kern w:val="0"/>
                <w:sz w:val="30"/>
                <w:szCs w:val="30"/>
              </w:rPr>
              <w:t>吨农作物秸秆饲料化项目、宾阳县农作物秸秆综合利用等。</w:t>
            </w:r>
          </w:p>
        </w:tc>
      </w:tr>
    </w:tbl>
    <w:p>
      <w:bookmarkStart w:id="736" w:name="_Toc92706661"/>
      <w:bookmarkStart w:id="737" w:name="_Toc11672"/>
      <w:bookmarkStart w:id="738" w:name="_Toc25296"/>
      <w:bookmarkStart w:id="739" w:name="_Toc31244"/>
      <w:bookmarkStart w:id="740" w:name="_Toc13646"/>
      <w:bookmarkStart w:id="741" w:name="_Toc2178"/>
      <w:bookmarkStart w:id="742" w:name="_Toc13907"/>
      <w:bookmarkStart w:id="743" w:name="_Toc27316"/>
      <w:bookmarkStart w:id="744" w:name="_Toc27060"/>
      <w:bookmarkStart w:id="745" w:name="_Toc14454"/>
      <w:bookmarkStart w:id="746" w:name="_Toc10853"/>
    </w:p>
    <w:p>
      <w:pPr>
        <w:adjustRightInd w:val="0"/>
        <w:snapToGrid w:val="0"/>
        <w:spacing w:line="560" w:lineRule="exact"/>
        <w:ind w:left="319" w:leftChars="152" w:firstLine="318" w:firstLineChars="99"/>
        <w:jc w:val="left"/>
        <w:outlineLvl w:val="1"/>
        <w:rPr>
          <w:rFonts w:ascii="楷体" w:hAnsi="楷体" w:eastAsia="楷体" w:cs="楷体"/>
          <w:b/>
          <w:sz w:val="32"/>
          <w:szCs w:val="32"/>
        </w:rPr>
      </w:pPr>
      <w:bookmarkStart w:id="747" w:name="_Toc10488"/>
      <w:bookmarkStart w:id="748" w:name="_Toc19305"/>
      <w:bookmarkStart w:id="749" w:name="_Toc12046"/>
      <w:bookmarkStart w:id="750" w:name="_Toc28039"/>
      <w:bookmarkStart w:id="751" w:name="_Toc323910376"/>
      <w:bookmarkStart w:id="752" w:name="_Toc8551"/>
      <w:bookmarkStart w:id="753" w:name="_Toc13658"/>
      <w:bookmarkStart w:id="754" w:name="_Toc3516"/>
      <w:bookmarkStart w:id="755" w:name="_Toc21559"/>
      <w:bookmarkStart w:id="756" w:name="_Toc12015"/>
      <w:r>
        <w:rPr>
          <w:rFonts w:hint="eastAsia" w:ascii="楷体" w:hAnsi="楷体" w:eastAsia="楷体" w:cs="楷体"/>
          <w:b/>
          <w:sz w:val="32"/>
          <w:szCs w:val="32"/>
        </w:rPr>
        <w:t>（八）</w:t>
      </w:r>
      <w:bookmarkEnd w:id="665"/>
      <w:bookmarkEnd w:id="666"/>
      <w:bookmarkEnd w:id="667"/>
      <w:bookmarkEnd w:id="668"/>
      <w:bookmarkEnd w:id="669"/>
      <w:bookmarkEnd w:id="670"/>
      <w:r>
        <w:rPr>
          <w:rFonts w:hint="eastAsia" w:ascii="楷体" w:hAnsi="楷体" w:eastAsia="楷体" w:cs="楷体"/>
          <w:b/>
          <w:sz w:val="32"/>
          <w:szCs w:val="32"/>
        </w:rPr>
        <w:t>废弃电器电子产品回收利用提质行动</w:t>
      </w:r>
      <w:bookmarkEnd w:id="671"/>
      <w:bookmarkEnd w:id="672"/>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adjustRightInd w:val="0"/>
        <w:snapToGrid w:val="0"/>
        <w:spacing w:line="560" w:lineRule="exact"/>
        <w:ind w:left="2" w:firstLine="537" w:firstLineChars="168"/>
        <w:rPr>
          <w:rFonts w:ascii="楷体" w:hAnsi="楷体" w:eastAsia="仿宋" w:cs="楷体"/>
          <w:b/>
          <w:sz w:val="32"/>
          <w:szCs w:val="32"/>
        </w:rPr>
      </w:pPr>
      <w:r>
        <w:rPr>
          <w:rFonts w:hint="eastAsia" w:ascii="仿宋" w:hAnsi="仿宋" w:eastAsia="仿宋" w:cs="仿宋"/>
          <w:sz w:val="32"/>
          <w:szCs w:val="32"/>
        </w:rPr>
        <w:t>全面推进废旧手机、废旧家电等废旧电器电子产品的回收体系建设及其再生资源利用产业化。</w:t>
      </w:r>
      <w:r>
        <w:rPr>
          <w:rFonts w:hint="eastAsia" w:eastAsia="仿宋"/>
          <w:kern w:val="0"/>
          <w:sz w:val="32"/>
          <w:szCs w:val="32"/>
        </w:rPr>
        <w:t>规范废弃电子废弃物回收处理行为，逐步建立“龙头企业主导+个体回收+回收基地+信息管理”废旧电子产品回收和综合利用网络。支持生产企业、销售企业、专业回收企业、梯级利用企业和再生利用企业共建废弃电器电子产品回收网络。促进互联网+废旧资源回收、监管及交易，重点推进废旧电子产品等再生资源和再生产品交易平台建设，构建集消费、回收、再生、回用于一体的循环体系，形成电子废弃物“回收—破碎—拆解—分离提纯—电子电器原材料”循环产业链。</w:t>
      </w:r>
      <w:bookmarkStart w:id="757" w:name="_Toc88909829"/>
      <w:bookmarkStart w:id="758" w:name="_Toc14239"/>
      <w:bookmarkStart w:id="759" w:name="_Toc22519"/>
      <w:bookmarkStart w:id="760" w:name="_Toc30286"/>
      <w:bookmarkStart w:id="761" w:name="_Toc6308"/>
      <w:bookmarkStart w:id="762" w:name="_Toc24293"/>
      <w:bookmarkStart w:id="763" w:name="_Toc22820"/>
      <w:bookmarkStart w:id="764" w:name="_Toc92706662"/>
      <w:bookmarkStart w:id="765" w:name="_Toc3942"/>
      <w:bookmarkStart w:id="766" w:name="_Toc88908056"/>
      <w:bookmarkStart w:id="767" w:name="_Toc13887"/>
      <w:bookmarkStart w:id="768" w:name="_Toc11206"/>
      <w:bookmarkStart w:id="769" w:name="_Toc31172"/>
      <w:bookmarkStart w:id="770" w:name="_Toc16712"/>
      <w:bookmarkStart w:id="771" w:name="_Toc24612"/>
      <w:bookmarkStart w:id="772" w:name="_Toc13027"/>
      <w:bookmarkStart w:id="773" w:name="_Toc28072"/>
      <w:r>
        <w:rPr>
          <w:rFonts w:hint="eastAsia" w:eastAsia="仿宋"/>
          <w:kern w:val="0"/>
          <w:sz w:val="32"/>
          <w:szCs w:val="32"/>
        </w:rPr>
        <w:t>积极开展电器电子产品生产责任延伸试点，建立信息溯源平台，实现生产、销售、用户、回收、加工各环节的信息追踪、查询和共享，有序引导报废产品流向规范的拆解加工企业。依托广西桂物资源循环产业园等园区，集聚和培育一批专业化规范化回收、再生利用骨干企业。</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hint="eastAsia" w:eastAsia="仿宋"/>
                <w:b/>
                <w:bCs/>
                <w:sz w:val="30"/>
                <w:szCs w:val="30"/>
              </w:rPr>
            </w:pPr>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8 废弃电器电子产品回收利用项目</w:t>
            </w:r>
          </w:p>
          <w:p>
            <w:pPr>
              <w:tabs>
                <w:tab w:val="left" w:pos="5095"/>
              </w:tabs>
              <w:adjustRightInd w:val="0"/>
              <w:snapToGrid w:val="0"/>
              <w:spacing w:line="520" w:lineRule="exact"/>
              <w:ind w:firstLine="600" w:firstLineChars="200"/>
            </w:pPr>
            <w:r>
              <w:rPr>
                <w:rFonts w:hint="eastAsia" w:ascii="宋体" w:hAnsi="宋体" w:eastAsia="仿宋" w:cs="宋体"/>
                <w:kern w:val="0"/>
                <w:sz w:val="30"/>
                <w:szCs w:val="30"/>
              </w:rPr>
              <w:t>广西桂物资源循环产业园区废弃电器电子产品回收拆解中心扩建项目（“四机一脑”资质增量）等。</w:t>
            </w:r>
          </w:p>
        </w:tc>
      </w:tr>
    </w:tbl>
    <w:p/>
    <w:p>
      <w:pPr>
        <w:tabs>
          <w:tab w:val="left" w:pos="595"/>
        </w:tabs>
        <w:adjustRightInd w:val="0"/>
        <w:snapToGrid w:val="0"/>
        <w:spacing w:line="560" w:lineRule="exact"/>
        <w:ind w:left="319" w:leftChars="152" w:firstLine="318" w:firstLineChars="99"/>
        <w:jc w:val="left"/>
        <w:outlineLvl w:val="1"/>
        <w:rPr>
          <w:rFonts w:hint="eastAsia" w:ascii="楷体" w:hAnsi="楷体" w:eastAsia="楷体" w:cs="楷体"/>
          <w:b/>
          <w:sz w:val="32"/>
          <w:szCs w:val="32"/>
        </w:rPr>
      </w:pPr>
      <w:bookmarkStart w:id="774" w:name="_Toc21809"/>
      <w:bookmarkStart w:id="775" w:name="_Toc3813"/>
      <w:bookmarkStart w:id="776" w:name="_Toc14494"/>
      <w:bookmarkStart w:id="777" w:name="_Toc192"/>
      <w:bookmarkStart w:id="778" w:name="_Toc90644287"/>
      <w:bookmarkStart w:id="779" w:name="_Toc32273"/>
      <w:bookmarkStart w:id="780" w:name="_Toc12334"/>
      <w:bookmarkStart w:id="781" w:name="_Toc4827"/>
      <w:bookmarkStart w:id="782" w:name="_Toc18013"/>
      <w:bookmarkStart w:id="783" w:name="_Toc23526"/>
      <w:r>
        <w:rPr>
          <w:rFonts w:hint="eastAsia" w:ascii="楷体" w:hAnsi="楷体" w:eastAsia="楷体" w:cs="楷体"/>
          <w:b/>
          <w:sz w:val="32"/>
          <w:szCs w:val="32"/>
        </w:rPr>
        <w:t>（九）汽车使用全生命周期管理推进行动</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4"/>
      <w:bookmarkEnd w:id="775"/>
      <w:bookmarkEnd w:id="776"/>
      <w:bookmarkEnd w:id="777"/>
      <w:bookmarkEnd w:id="778"/>
      <w:bookmarkEnd w:id="779"/>
      <w:bookmarkEnd w:id="780"/>
      <w:bookmarkEnd w:id="781"/>
      <w:bookmarkEnd w:id="782"/>
      <w:bookmarkEnd w:id="783"/>
    </w:p>
    <w:p>
      <w:pPr>
        <w:adjustRightInd w:val="0"/>
        <w:snapToGrid w:val="0"/>
        <w:spacing w:line="560" w:lineRule="exact"/>
        <w:ind w:left="2" w:firstLine="537" w:firstLineChars="168"/>
        <w:rPr>
          <w:rFonts w:hint="eastAsia" w:eastAsia="仿宋"/>
          <w:kern w:val="0"/>
          <w:sz w:val="32"/>
          <w:szCs w:val="32"/>
        </w:rPr>
      </w:pPr>
      <w:r>
        <w:rPr>
          <w:rFonts w:hint="eastAsia" w:eastAsia="仿宋"/>
          <w:kern w:val="0"/>
          <w:sz w:val="32"/>
          <w:szCs w:val="32"/>
        </w:rPr>
        <w:t>引导汽车生产企业联合相关配套企业，共同探索制定产品全生命周期标准，实现汽车生产设计、制造、使用、回收及再利用全生命周期管理。试点开展“5G+工业互联网”先导应用示范场景，探索建设工业互联网平台，构建以汽车生产企业为骨干、中小微企业广泛参与的“互联网+”产业生态体系。推动汽车零部件供应商、经销商、售后服务商、终端用户、回收拆解企业、再制造企业等相关方逐步进驻云上平台，实现汽车生产、进口、销售、登记、维修、二手车交易、报废、关键零部件流向等信息互联互通和交互共享。加强跟踪分析和经验借鉴，积极推广汽车使用全生命周期管理试点经验。</w:t>
      </w:r>
    </w:p>
    <w:bookmarkEnd w:id="771"/>
    <w:bookmarkEnd w:id="772"/>
    <w:bookmarkEnd w:id="773"/>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bookmarkStart w:id="784" w:name="_Toc21016"/>
            <w:bookmarkStart w:id="785" w:name="_Toc7135"/>
            <w:bookmarkStart w:id="786" w:name="_Toc30176"/>
            <w:bookmarkStart w:id="787" w:name="_Toc21906"/>
            <w:bookmarkStart w:id="788" w:name="_Toc92706663"/>
            <w:bookmarkStart w:id="789" w:name="_Toc29268"/>
            <w:bookmarkStart w:id="790" w:name="_Toc12454"/>
            <w:bookmarkStart w:id="791" w:name="_Toc1771"/>
            <w:bookmarkStart w:id="792" w:name="_Toc18393"/>
            <w:bookmarkStart w:id="793" w:name="_Toc4899"/>
            <w:bookmarkStart w:id="794" w:name="_Toc9367"/>
            <w:bookmarkStart w:id="795" w:name="_Toc13535"/>
            <w:bookmarkStart w:id="796" w:name="_Toc19179"/>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9 汽车使用全生命周期管理项目</w:t>
            </w:r>
          </w:p>
          <w:p>
            <w:pPr>
              <w:adjustRightInd w:val="0"/>
              <w:snapToGrid w:val="0"/>
              <w:spacing w:line="520" w:lineRule="exact"/>
              <w:ind w:firstLine="600" w:firstLineChars="200"/>
            </w:pPr>
            <w:r>
              <w:rPr>
                <w:rFonts w:ascii="宋体" w:hAnsi="宋体" w:eastAsia="仿宋" w:cs="宋体"/>
                <w:kern w:val="0"/>
                <w:sz w:val="30"/>
                <w:szCs w:val="30"/>
              </w:rPr>
              <w:t>汽车使用全生命周期管理信息平台</w:t>
            </w:r>
            <w:r>
              <w:rPr>
                <w:rFonts w:hint="eastAsia" w:ascii="宋体" w:hAnsi="宋体" w:eastAsia="仿宋" w:cs="宋体"/>
                <w:kern w:val="0"/>
                <w:sz w:val="30"/>
                <w:szCs w:val="30"/>
              </w:rPr>
              <w:t>等。</w:t>
            </w:r>
          </w:p>
        </w:tc>
      </w:tr>
    </w:tbl>
    <w:p/>
    <w:p>
      <w:pPr>
        <w:adjustRightInd w:val="0"/>
        <w:snapToGrid w:val="0"/>
        <w:spacing w:line="560" w:lineRule="exact"/>
        <w:ind w:firstLine="643" w:firstLineChars="200"/>
        <w:jc w:val="left"/>
        <w:outlineLvl w:val="1"/>
        <w:rPr>
          <w:rFonts w:hint="eastAsia" w:ascii="楷体" w:hAnsi="楷体" w:eastAsia="楷体" w:cs="楷体"/>
          <w:b/>
          <w:sz w:val="32"/>
          <w:szCs w:val="32"/>
        </w:rPr>
      </w:pPr>
      <w:bookmarkStart w:id="797" w:name="_Toc30501"/>
      <w:bookmarkStart w:id="798" w:name="_Toc16329"/>
      <w:bookmarkStart w:id="799" w:name="_Toc3713"/>
      <w:bookmarkStart w:id="800" w:name="_Toc15203"/>
      <w:bookmarkStart w:id="801" w:name="_Toc892625886"/>
      <w:bookmarkStart w:id="802" w:name="_Toc826"/>
      <w:bookmarkStart w:id="803" w:name="_Toc6104"/>
      <w:bookmarkStart w:id="804" w:name="_Toc8028"/>
      <w:bookmarkStart w:id="805" w:name="_Toc6391"/>
      <w:bookmarkStart w:id="806" w:name="_Toc17534"/>
      <w:r>
        <w:rPr>
          <w:rFonts w:hint="eastAsia" w:ascii="楷体" w:hAnsi="楷体" w:eastAsia="楷体" w:cs="楷体"/>
          <w:b/>
          <w:sz w:val="32"/>
          <w:szCs w:val="32"/>
        </w:rPr>
        <w:t>（十）塑料污染全链条治理</w:t>
      </w:r>
      <w:bookmarkEnd w:id="784"/>
      <w:bookmarkEnd w:id="785"/>
      <w:r>
        <w:rPr>
          <w:rFonts w:hint="eastAsia" w:ascii="楷体" w:hAnsi="楷体" w:eastAsia="楷体" w:cs="楷体"/>
          <w:b/>
          <w:sz w:val="32"/>
          <w:szCs w:val="32"/>
        </w:rPr>
        <w:t>行动</w:t>
      </w:r>
      <w:bookmarkEnd w:id="786"/>
      <w:bookmarkEnd w:id="787"/>
      <w:bookmarkEnd w:id="788"/>
      <w:bookmarkEnd w:id="789"/>
      <w:bookmarkEnd w:id="797"/>
      <w:bookmarkEnd w:id="798"/>
      <w:bookmarkEnd w:id="799"/>
      <w:bookmarkEnd w:id="800"/>
      <w:bookmarkEnd w:id="801"/>
      <w:bookmarkEnd w:id="802"/>
      <w:bookmarkEnd w:id="803"/>
      <w:bookmarkEnd w:id="804"/>
      <w:bookmarkEnd w:id="805"/>
      <w:bookmarkEnd w:id="806"/>
    </w:p>
    <w:p>
      <w:pPr>
        <w:adjustRightInd w:val="0"/>
        <w:snapToGrid w:val="0"/>
        <w:spacing w:line="560" w:lineRule="exact"/>
        <w:ind w:left="2" w:firstLine="537" w:firstLineChars="168"/>
        <w:jc w:val="left"/>
        <w:rPr>
          <w:rFonts w:hint="eastAsia" w:eastAsia="仿宋"/>
          <w:sz w:val="32"/>
          <w:szCs w:val="32"/>
        </w:rPr>
      </w:pPr>
      <w:r>
        <w:rPr>
          <w:rFonts w:hint="eastAsia" w:eastAsia="仿宋"/>
          <w:sz w:val="32"/>
          <w:szCs w:val="32"/>
        </w:rPr>
        <w:t>持续推进一次性塑料制品使用减量，限制不可降解塑料袋使用。科学稳妥推广塑料替代产品，积极推广使用绿色材料制品、可再生品、可降解品、可拆解再利用产品等。着力摸清现有废旧塑料收运链条和企业信息等，组织开展可替代、可降解塑料制品项目精准招商，引导和整合塑料（含可降解塑料）制品加工企业集聚，推动生物降解塑料产业有序发展。建立健全塑料制品生产、流通、使用、回收处置等环节的管理制度，加强塑料废弃物规范回收和清运。积极组织开展塑料垃圾专项清理，制定塑料制品加工企业环境污染治理实施方案，提升塑料垃圾无害化处置水平。深入开展农村、江河湖、旅游景区塑料垃圾清理整治，推动塑料废弃物资源化利用的规范化、集中化和产业化。</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10</w:t>
            </w:r>
            <w:r>
              <w:rPr>
                <w:rFonts w:eastAsia="仿宋"/>
                <w:b/>
                <w:bCs/>
                <w:sz w:val="30"/>
                <w:szCs w:val="30"/>
              </w:rPr>
              <w:t xml:space="preserve"> </w:t>
            </w:r>
            <w:r>
              <w:rPr>
                <w:rFonts w:hint="eastAsia" w:eastAsia="仿宋"/>
                <w:b/>
                <w:bCs/>
                <w:sz w:val="30"/>
                <w:szCs w:val="30"/>
              </w:rPr>
              <w:t>塑料污染治理项目</w:t>
            </w:r>
          </w:p>
          <w:p>
            <w:pPr>
              <w:adjustRightInd w:val="0"/>
              <w:snapToGrid w:val="0"/>
              <w:spacing w:line="520" w:lineRule="exact"/>
              <w:ind w:firstLine="600" w:firstLineChars="200"/>
            </w:pPr>
            <w:r>
              <w:rPr>
                <w:rFonts w:hint="eastAsia" w:ascii="宋体" w:hAnsi="宋体" w:eastAsia="仿宋" w:cs="宋体"/>
                <w:kern w:val="0"/>
                <w:sz w:val="30"/>
                <w:szCs w:val="30"/>
              </w:rPr>
              <w:t>广西桂物资源循环产业园废塑料资源化加工与利用项目、生物降解材料生产基地、年产</w:t>
            </w:r>
            <w:r>
              <w:rPr>
                <w:rFonts w:eastAsia="仿宋"/>
                <w:kern w:val="0"/>
                <w:sz w:val="30"/>
                <w:szCs w:val="30"/>
              </w:rPr>
              <w:t>30万</w:t>
            </w:r>
            <w:r>
              <w:rPr>
                <w:rFonts w:hint="eastAsia" w:ascii="宋体" w:hAnsi="宋体" w:eastAsia="仿宋" w:cs="宋体"/>
                <w:kern w:val="0"/>
                <w:sz w:val="30"/>
                <w:szCs w:val="30"/>
              </w:rPr>
              <w:t>吨淀粉基生物降解颗粒母料生产基地建设项目、南宁市再生塑料资源化利用项目、塑料回收循环利用等。</w:t>
            </w:r>
          </w:p>
        </w:tc>
      </w:tr>
    </w:tbl>
    <w:p>
      <w:bookmarkStart w:id="807" w:name="_Toc27068"/>
      <w:bookmarkStart w:id="808" w:name="_Toc6949"/>
      <w:bookmarkStart w:id="809" w:name="_Toc92706664"/>
      <w:bookmarkStart w:id="810" w:name="_Toc664"/>
      <w:bookmarkStart w:id="811" w:name="_Toc170"/>
      <w:bookmarkStart w:id="812" w:name="_Toc26580"/>
    </w:p>
    <w:p>
      <w:pPr>
        <w:adjustRightInd w:val="0"/>
        <w:snapToGrid w:val="0"/>
        <w:spacing w:line="560" w:lineRule="exact"/>
        <w:ind w:firstLine="643" w:firstLineChars="200"/>
        <w:jc w:val="left"/>
        <w:outlineLvl w:val="1"/>
        <w:rPr>
          <w:rFonts w:ascii="楷体" w:hAnsi="楷体" w:eastAsia="楷体" w:cs="楷体"/>
          <w:b/>
          <w:sz w:val="32"/>
          <w:szCs w:val="32"/>
        </w:rPr>
      </w:pPr>
      <w:bookmarkStart w:id="813" w:name="_Toc15176"/>
      <w:bookmarkStart w:id="814" w:name="_Toc9416"/>
      <w:bookmarkStart w:id="815" w:name="_Toc42508060"/>
      <w:bookmarkStart w:id="816" w:name="_Toc22037"/>
      <w:bookmarkStart w:id="817" w:name="_Toc23251"/>
      <w:bookmarkStart w:id="818" w:name="_Toc361"/>
      <w:bookmarkStart w:id="819" w:name="_Toc11164"/>
      <w:bookmarkStart w:id="820" w:name="_Toc26358"/>
      <w:bookmarkStart w:id="821" w:name="_Toc4868"/>
      <w:bookmarkStart w:id="822" w:name="_Toc10552"/>
      <w:r>
        <w:rPr>
          <w:rFonts w:hint="eastAsia" w:ascii="楷体" w:hAnsi="楷体" w:eastAsia="楷体" w:cs="楷体"/>
          <w:b/>
          <w:sz w:val="32"/>
          <w:szCs w:val="32"/>
        </w:rPr>
        <w:t>（十一）快递包装绿色转型升级</w:t>
      </w:r>
      <w:bookmarkEnd w:id="807"/>
      <w:bookmarkEnd w:id="808"/>
      <w:r>
        <w:rPr>
          <w:rFonts w:hint="eastAsia" w:ascii="楷体" w:hAnsi="楷体" w:eastAsia="楷体" w:cs="楷体"/>
          <w:b/>
          <w:sz w:val="32"/>
          <w:szCs w:val="32"/>
        </w:rPr>
        <w:t>行动</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adjustRightInd w:val="0"/>
        <w:snapToGrid w:val="0"/>
        <w:spacing w:line="560" w:lineRule="exact"/>
        <w:ind w:left="2" w:firstLine="537" w:firstLineChars="168"/>
        <w:jc w:val="left"/>
        <w:rPr>
          <w:rFonts w:hint="eastAsia" w:eastAsia="仿宋"/>
          <w:sz w:val="32"/>
          <w:szCs w:val="32"/>
        </w:rPr>
      </w:pPr>
      <w:r>
        <w:rPr>
          <w:rFonts w:hint="eastAsia" w:eastAsia="仿宋"/>
          <w:sz w:val="32"/>
          <w:szCs w:val="32"/>
        </w:rPr>
        <w:t>建立健全快递包装绿色标准体系，强化快递包装生产、使用、回收、处置各环节监督管理，推进快递包装材料源头减量，减少商品生产出厂、电商销售、快递运输等环节的二次包装。建立完善绿色快递包装产品采购和使用的引导和约束机制，规范快递包装废弃物回收和处置。加大绿色循环共用标准化周转箱推广应用力度，积极配合自治区开展可循环快递包装规模化应用试点。到2025年，全市范围内</w:t>
      </w:r>
      <w:r>
        <w:rPr>
          <w:rFonts w:hint="eastAsia" w:eastAsia="仿宋"/>
          <w:sz w:val="32"/>
          <w:szCs w:val="32"/>
          <w:lang w:eastAsia="zh-Hans"/>
        </w:rPr>
        <w:t>电商</w:t>
      </w:r>
      <w:r>
        <w:rPr>
          <w:rFonts w:hint="eastAsia" w:eastAsia="仿宋"/>
          <w:sz w:val="32"/>
          <w:szCs w:val="32"/>
        </w:rPr>
        <w:t>快件基本实现不再二次包装，可循环快递包装基本全覆盖，快递包装绿色转型基本实现。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
                <w:b/>
                <w:bCs/>
                <w:sz w:val="30"/>
                <w:szCs w:val="30"/>
              </w:rPr>
            </w:pPr>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11</w:t>
            </w:r>
            <w:r>
              <w:rPr>
                <w:rFonts w:eastAsia="仿宋"/>
                <w:b/>
                <w:bCs/>
                <w:sz w:val="30"/>
                <w:szCs w:val="30"/>
              </w:rPr>
              <w:t xml:space="preserve"> </w:t>
            </w:r>
            <w:r>
              <w:rPr>
                <w:rFonts w:hint="eastAsia" w:eastAsia="仿宋"/>
                <w:b/>
                <w:bCs/>
                <w:sz w:val="30"/>
                <w:szCs w:val="30"/>
              </w:rPr>
              <w:t>绿色快递包装项目</w:t>
            </w:r>
          </w:p>
          <w:p>
            <w:pPr>
              <w:adjustRightInd w:val="0"/>
              <w:snapToGrid w:val="0"/>
              <w:spacing w:line="520" w:lineRule="exact"/>
              <w:ind w:firstLine="600" w:firstLineChars="200"/>
            </w:pPr>
            <w:r>
              <w:rPr>
                <w:rFonts w:ascii="宋体" w:hAnsi="宋体" w:eastAsia="仿宋" w:cs="宋体"/>
                <w:kern w:val="0"/>
                <w:sz w:val="30"/>
                <w:szCs w:val="30"/>
              </w:rPr>
              <w:t>南宁绿色包装产业基地</w:t>
            </w:r>
            <w:r>
              <w:rPr>
                <w:rFonts w:hint="eastAsia" w:ascii="宋体" w:hAnsi="宋体" w:eastAsia="仿宋" w:cs="宋体"/>
                <w:kern w:val="0"/>
                <w:sz w:val="30"/>
                <w:szCs w:val="30"/>
              </w:rPr>
              <w:t>等。</w:t>
            </w:r>
          </w:p>
        </w:tc>
      </w:tr>
    </w:tbl>
    <w:p>
      <w:bookmarkStart w:id="823" w:name="_Toc92706665"/>
      <w:bookmarkStart w:id="824" w:name="_Toc25025"/>
      <w:bookmarkStart w:id="825" w:name="_Toc28722"/>
      <w:bookmarkStart w:id="826" w:name="_Toc7084"/>
      <w:bookmarkStart w:id="827" w:name="_Toc29109"/>
      <w:bookmarkStart w:id="828" w:name="_Toc5870"/>
    </w:p>
    <w:p>
      <w:pPr>
        <w:adjustRightInd w:val="0"/>
        <w:snapToGrid w:val="0"/>
        <w:spacing w:line="560" w:lineRule="exact"/>
        <w:ind w:firstLine="643" w:firstLineChars="200"/>
        <w:jc w:val="left"/>
        <w:outlineLvl w:val="1"/>
        <w:rPr>
          <w:rFonts w:ascii="楷体" w:hAnsi="楷体" w:eastAsia="楷体" w:cs="楷体"/>
          <w:b/>
          <w:sz w:val="32"/>
          <w:szCs w:val="32"/>
        </w:rPr>
      </w:pPr>
      <w:bookmarkStart w:id="829" w:name="_Toc26969"/>
      <w:bookmarkStart w:id="830" w:name="_Toc17587"/>
      <w:bookmarkStart w:id="831" w:name="_Toc10419"/>
      <w:bookmarkStart w:id="832" w:name="_Toc1468393616"/>
      <w:bookmarkStart w:id="833" w:name="_Toc27993"/>
      <w:bookmarkStart w:id="834" w:name="_Toc12693"/>
      <w:bookmarkStart w:id="835" w:name="_Toc23031"/>
      <w:bookmarkStart w:id="836" w:name="_Toc15536"/>
      <w:bookmarkStart w:id="837" w:name="_Toc22876"/>
      <w:bookmarkStart w:id="838" w:name="_Toc22636"/>
      <w:r>
        <w:rPr>
          <w:rFonts w:hint="eastAsia" w:ascii="楷体" w:hAnsi="楷体" w:eastAsia="楷体" w:cs="楷体"/>
          <w:b/>
          <w:sz w:val="32"/>
          <w:szCs w:val="32"/>
        </w:rPr>
        <w:t>（十二）循环经济关键技术</w:t>
      </w:r>
      <w:bookmarkStart w:id="839" w:name="_Toc1109687558"/>
      <w:bookmarkStart w:id="840" w:name="_Toc123243422"/>
      <w:bookmarkStart w:id="841" w:name="_Toc7880"/>
      <w:bookmarkStart w:id="842" w:name="_Toc106132674"/>
      <w:bookmarkStart w:id="843" w:name="_Toc28159"/>
      <w:r>
        <w:rPr>
          <w:rFonts w:hint="eastAsia" w:ascii="楷体" w:hAnsi="楷体" w:eastAsia="楷体" w:cs="楷体"/>
          <w:b/>
          <w:sz w:val="32"/>
          <w:szCs w:val="32"/>
        </w:rPr>
        <w:t>和装备攻坚行动</w:t>
      </w:r>
      <w:bookmarkEnd w:id="790"/>
      <w:bookmarkEnd w:id="791"/>
      <w:bookmarkEnd w:id="792"/>
      <w:bookmarkEnd w:id="793"/>
      <w:bookmarkEnd w:id="794"/>
      <w:bookmarkEnd w:id="795"/>
      <w:bookmarkEnd w:id="796"/>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adjustRightInd w:val="0"/>
        <w:snapToGrid w:val="0"/>
        <w:spacing w:line="560" w:lineRule="exact"/>
        <w:ind w:left="2" w:firstLine="537" w:firstLineChars="168"/>
        <w:rPr>
          <w:rFonts w:hint="eastAsia" w:ascii="仿宋" w:hAnsi="仿宋" w:eastAsia="仿宋" w:cs="仿宋"/>
          <w:sz w:val="32"/>
          <w:szCs w:val="32"/>
        </w:rPr>
      </w:pPr>
      <w:r>
        <w:rPr>
          <w:rFonts w:hint="eastAsia" w:ascii="仿宋" w:hAnsi="仿宋" w:eastAsia="仿宋"/>
          <w:sz w:val="32"/>
          <w:szCs w:val="32"/>
        </w:rPr>
        <w:t>积极推进成熟适用技术和装备产业化，引进、消化、吸收和再创新一批循环经济关键技术和装备。实施循环经济技术产业化示范工程，重点支持废物资源化利用、可回收利用材料、有毒有害原材料替代、再制造、再生资源高值利用、延长产业链和相关产业链接、“零排放”等关键技术和装备产业化示范。支持绿色技术创新，着力推进固体废弃物无害化资源化利用技术开发与应用、全降解塑料制品和可再生塑料制品技术开发与应用等领域示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hint="eastAsia" w:eastAsia="仿宋"/>
                <w:b/>
                <w:bCs/>
                <w:sz w:val="30"/>
                <w:szCs w:val="30"/>
              </w:rPr>
            </w:pPr>
            <w:bookmarkStart w:id="844" w:name="_Toc27141"/>
            <w:bookmarkStart w:id="845" w:name="_Toc30559"/>
            <w:bookmarkStart w:id="846" w:name="_Toc22001"/>
            <w:bookmarkStart w:id="847" w:name="_Toc16629"/>
            <w:bookmarkStart w:id="848" w:name="_Toc24837"/>
            <w:bookmarkStart w:id="849" w:name="_Toc13080"/>
            <w:bookmarkStart w:id="850" w:name="_Toc28446"/>
            <w:bookmarkStart w:id="851" w:name="_Toc28"/>
            <w:bookmarkStart w:id="852" w:name="_Toc13809"/>
            <w:bookmarkStart w:id="853" w:name="_Toc25446"/>
            <w:bookmarkStart w:id="854" w:name="_Toc25517"/>
            <w:bookmarkStart w:id="855" w:name="_Toc17954"/>
            <w:bookmarkStart w:id="856" w:name="_Toc92706666"/>
            <w:r>
              <w:rPr>
                <w:rFonts w:hint="eastAsia"/>
              </w:rPr>
              <w:tab/>
            </w:r>
            <w:r>
              <w:rPr>
                <w:rFonts w:eastAsia="仿宋"/>
                <w:b/>
                <w:bCs/>
                <w:sz w:val="30"/>
                <w:szCs w:val="30"/>
              </w:rPr>
              <w:t>专栏</w:t>
            </w:r>
            <w:r>
              <w:rPr>
                <w:rFonts w:hint="eastAsia" w:eastAsia="仿宋"/>
                <w:b/>
                <w:bCs/>
                <w:sz w:val="30"/>
                <w:szCs w:val="30"/>
              </w:rPr>
              <w:t>5</w:t>
            </w:r>
            <w:r>
              <w:rPr>
                <w:rFonts w:eastAsia="仿宋"/>
                <w:b/>
                <w:bCs/>
                <w:sz w:val="30"/>
                <w:szCs w:val="30"/>
              </w:rPr>
              <w:t>-</w:t>
            </w:r>
            <w:r>
              <w:rPr>
                <w:rFonts w:hint="eastAsia" w:eastAsia="仿宋"/>
                <w:b/>
                <w:bCs/>
                <w:sz w:val="30"/>
                <w:szCs w:val="30"/>
              </w:rPr>
              <w:t>12 循环经济关键技术和装备项目</w:t>
            </w:r>
          </w:p>
          <w:p>
            <w:pPr>
              <w:adjustRightInd w:val="0"/>
              <w:snapToGrid w:val="0"/>
              <w:spacing w:line="520" w:lineRule="exact"/>
              <w:ind w:firstLine="600" w:firstLineChars="200"/>
            </w:pPr>
            <w:r>
              <w:rPr>
                <w:rFonts w:hint="eastAsia" w:ascii="宋体" w:hAnsi="宋体" w:eastAsia="仿宋" w:cs="宋体"/>
                <w:kern w:val="0"/>
                <w:sz w:val="30"/>
                <w:szCs w:val="30"/>
              </w:rPr>
              <w:t>电解法次氯酸钠发生装置技术及核心装备开发、易腐垃圾环保处理与资源化智能装备研制与示范应用、固体废弃物无害化资源化利用技术开发与应用等。</w:t>
            </w:r>
          </w:p>
        </w:tc>
      </w:tr>
    </w:tbl>
    <w:p/>
    <w:p>
      <w:pPr>
        <w:spacing w:before="120" w:beforeLines="50" w:line="560" w:lineRule="exact"/>
        <w:ind w:firstLine="640" w:firstLineChars="200"/>
        <w:jc w:val="left"/>
        <w:outlineLvl w:val="0"/>
        <w:rPr>
          <w:rFonts w:ascii="黑体" w:hAnsi="宋体" w:eastAsia="黑体" w:cs="黑体"/>
          <w:sz w:val="32"/>
          <w:szCs w:val="32"/>
        </w:rPr>
      </w:pPr>
      <w:bookmarkStart w:id="857" w:name="_Toc1372"/>
      <w:bookmarkStart w:id="858" w:name="_Toc18653"/>
      <w:bookmarkStart w:id="859" w:name="_Toc22470"/>
      <w:bookmarkStart w:id="860" w:name="_Toc21276"/>
      <w:bookmarkStart w:id="861" w:name="_Toc409432788"/>
      <w:bookmarkStart w:id="862" w:name="_Toc12202"/>
      <w:bookmarkStart w:id="863" w:name="_Toc11943"/>
      <w:bookmarkStart w:id="864" w:name="_Toc15126"/>
      <w:bookmarkStart w:id="865" w:name="_Toc6840"/>
      <w:bookmarkStart w:id="866" w:name="_Toc24893"/>
      <w:r>
        <w:rPr>
          <w:rFonts w:hint="eastAsia" w:ascii="黑体" w:hAnsi="黑体" w:eastAsia="黑体"/>
          <w:sz w:val="32"/>
          <w:szCs w:val="32"/>
        </w:rPr>
        <w:t>六、保障措施</w:t>
      </w:r>
      <w:bookmarkEnd w:id="520"/>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Start w:id="867" w:name="pindex353"/>
      <w:bookmarkEnd w:id="867"/>
    </w:p>
    <w:p>
      <w:pPr>
        <w:adjustRightInd w:val="0"/>
        <w:snapToGrid w:val="0"/>
        <w:spacing w:line="560" w:lineRule="exact"/>
        <w:ind w:left="319" w:leftChars="152" w:firstLine="318" w:firstLineChars="99"/>
        <w:jc w:val="left"/>
        <w:outlineLvl w:val="1"/>
        <w:rPr>
          <w:rFonts w:ascii="楷体" w:hAnsi="楷体" w:eastAsia="楷体" w:cs="楷体"/>
          <w:b/>
          <w:sz w:val="32"/>
          <w:szCs w:val="32"/>
        </w:rPr>
      </w:pPr>
      <w:bookmarkStart w:id="868" w:name="_Toc15025"/>
      <w:bookmarkStart w:id="869" w:name="_Toc17086"/>
      <w:bookmarkStart w:id="870" w:name="_Toc16495"/>
      <w:bookmarkStart w:id="871" w:name="_Toc14143"/>
      <w:bookmarkStart w:id="872" w:name="_Toc21203"/>
      <w:bookmarkStart w:id="873" w:name="_Toc31664"/>
      <w:bookmarkStart w:id="874" w:name="_Toc1770796758"/>
      <w:bookmarkStart w:id="875" w:name="_Toc7686"/>
      <w:bookmarkStart w:id="876" w:name="_Toc28460"/>
      <w:bookmarkStart w:id="877" w:name="_Toc28975"/>
      <w:bookmarkStart w:id="878" w:name="_Toc25188"/>
      <w:bookmarkStart w:id="879" w:name="_Toc3795"/>
      <w:bookmarkStart w:id="880" w:name="_Toc1177957846"/>
      <w:bookmarkStart w:id="881" w:name="_Toc21759"/>
      <w:bookmarkStart w:id="882" w:name="_Toc31529"/>
      <w:bookmarkStart w:id="883" w:name="_Toc4474"/>
      <w:bookmarkStart w:id="884" w:name="_Toc5807"/>
      <w:bookmarkStart w:id="885" w:name="_Toc5941"/>
      <w:bookmarkStart w:id="886" w:name="_Toc4299"/>
      <w:bookmarkStart w:id="887" w:name="_Toc6868"/>
      <w:bookmarkStart w:id="888" w:name="_Toc3087"/>
      <w:bookmarkStart w:id="889" w:name="_Toc1360424908"/>
      <w:bookmarkStart w:id="890" w:name="_Toc2213"/>
      <w:bookmarkStart w:id="891" w:name="_Toc92706667"/>
      <w:bookmarkStart w:id="892" w:name="_Toc7968"/>
      <w:bookmarkStart w:id="893" w:name="_Toc799262928"/>
      <w:bookmarkStart w:id="894" w:name="_Toc18566"/>
      <w:bookmarkStart w:id="895" w:name="_Toc9328"/>
      <w:bookmarkStart w:id="896" w:name="_Toc2867"/>
      <w:r>
        <w:rPr>
          <w:rFonts w:hint="eastAsia" w:ascii="楷体" w:hAnsi="楷体" w:eastAsia="楷体" w:cs="楷体"/>
          <w:b/>
          <w:sz w:val="32"/>
          <w:szCs w:val="32"/>
        </w:rPr>
        <w:t>（一）加强</w:t>
      </w:r>
      <w:bookmarkStart w:id="897" w:name="pindex354"/>
      <w:bookmarkEnd w:id="897"/>
      <w:r>
        <w:rPr>
          <w:rFonts w:hint="eastAsia" w:ascii="楷体" w:hAnsi="楷体" w:eastAsia="楷体" w:cs="楷体"/>
          <w:b/>
          <w:sz w:val="32"/>
          <w:szCs w:val="32"/>
        </w:rPr>
        <w:t>统筹协调</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adjustRightInd w:val="0"/>
        <w:snapToGrid w:val="0"/>
        <w:spacing w:line="560" w:lineRule="exact"/>
        <w:ind w:left="2" w:firstLine="537" w:firstLineChars="168"/>
        <w:jc w:val="left"/>
        <w:rPr>
          <w:rFonts w:ascii="仿宋" w:hAnsi="仿宋" w:eastAsia="仿宋"/>
          <w:sz w:val="32"/>
          <w:szCs w:val="32"/>
        </w:rPr>
      </w:pPr>
      <w:bookmarkStart w:id="898" w:name="_Toc23048"/>
      <w:bookmarkStart w:id="899" w:name="_Toc29160"/>
      <w:bookmarkStart w:id="900" w:name="_Toc403039147"/>
      <w:r>
        <w:rPr>
          <w:rFonts w:ascii="仿宋" w:hAnsi="仿宋" w:eastAsia="仿宋"/>
          <w:sz w:val="32"/>
          <w:szCs w:val="32"/>
        </w:rPr>
        <w:t>加强组织领导和统筹协调</w:t>
      </w:r>
      <w:bookmarkEnd w:id="898"/>
      <w:bookmarkEnd w:id="899"/>
      <w:r>
        <w:rPr>
          <w:rFonts w:ascii="仿宋" w:hAnsi="仿宋" w:eastAsia="仿宋"/>
          <w:sz w:val="32"/>
          <w:szCs w:val="32"/>
        </w:rPr>
        <w:t>，</w:t>
      </w:r>
      <w:bookmarkEnd w:id="900"/>
      <w:bookmarkStart w:id="901" w:name="_Toc715520991"/>
      <w:r>
        <w:rPr>
          <w:rFonts w:hint="eastAsia" w:ascii="仿宋" w:hAnsi="仿宋" w:eastAsia="仿宋"/>
          <w:sz w:val="32"/>
          <w:szCs w:val="32"/>
        </w:rPr>
        <w:t>加强部门间的协调配合，按照“五化”工作法的要求，统筹推进规划目标任务落地落实。市直相关部门、县（市、区）人民政府、开发区管委会与企业加强上下联动、横向协同，根据本规划因地制宜制定实施方案，确保责任层层落实。</w:t>
      </w:r>
      <w:bookmarkEnd w:id="901"/>
      <w:bookmarkStart w:id="902" w:name="_Toc1129890703"/>
      <w:r>
        <w:rPr>
          <w:rFonts w:ascii="仿宋" w:hAnsi="仿宋" w:eastAsia="仿宋"/>
          <w:sz w:val="32"/>
          <w:szCs w:val="32"/>
        </w:rPr>
        <w:t>充分发挥</w:t>
      </w:r>
      <w:r>
        <w:rPr>
          <w:rFonts w:hint="eastAsia" w:ascii="仿宋" w:hAnsi="仿宋" w:eastAsia="仿宋"/>
          <w:sz w:val="32"/>
          <w:szCs w:val="32"/>
        </w:rPr>
        <w:t>行业协会</w:t>
      </w:r>
      <w:r>
        <w:rPr>
          <w:rFonts w:ascii="仿宋" w:hAnsi="仿宋" w:eastAsia="仿宋"/>
          <w:sz w:val="32"/>
          <w:szCs w:val="32"/>
        </w:rPr>
        <w:t>的</w:t>
      </w:r>
      <w:r>
        <w:rPr>
          <w:rFonts w:hint="eastAsia" w:ascii="仿宋" w:hAnsi="仿宋" w:eastAsia="仿宋"/>
          <w:sz w:val="32"/>
          <w:szCs w:val="32"/>
        </w:rPr>
        <w:t>桥梁和纽带作用，整合社会力量和资源，推动形成引导合力。</w:t>
      </w:r>
      <w:bookmarkEnd w:id="902"/>
    </w:p>
    <w:p>
      <w:pPr>
        <w:adjustRightInd w:val="0"/>
        <w:snapToGrid w:val="0"/>
        <w:spacing w:line="560" w:lineRule="exact"/>
        <w:ind w:left="319" w:leftChars="152" w:firstLine="318" w:firstLineChars="99"/>
        <w:jc w:val="left"/>
        <w:outlineLvl w:val="1"/>
        <w:rPr>
          <w:rFonts w:ascii="楷体" w:hAnsi="楷体" w:eastAsia="楷体" w:cs="楷体"/>
          <w:b/>
          <w:sz w:val="32"/>
          <w:szCs w:val="32"/>
        </w:rPr>
      </w:pPr>
      <w:bookmarkStart w:id="903" w:name="_Toc92706668"/>
      <w:bookmarkStart w:id="904" w:name="_Toc21631"/>
      <w:bookmarkStart w:id="905" w:name="_Toc27729"/>
      <w:bookmarkStart w:id="906" w:name="_Toc26593"/>
      <w:bookmarkStart w:id="907" w:name="_Toc13796"/>
      <w:bookmarkStart w:id="908" w:name="_Toc27827"/>
      <w:bookmarkStart w:id="909" w:name="_Toc1454"/>
      <w:bookmarkStart w:id="910" w:name="_Toc25932"/>
      <w:bookmarkStart w:id="911" w:name="_Toc1733"/>
      <w:bookmarkStart w:id="912" w:name="_Toc23614"/>
      <w:bookmarkStart w:id="913" w:name="_Toc7919"/>
      <w:bookmarkStart w:id="914" w:name="_Toc27272"/>
      <w:bookmarkStart w:id="915" w:name="_Toc701818911"/>
      <w:bookmarkStart w:id="916" w:name="_Toc24128"/>
      <w:bookmarkStart w:id="917" w:name="_Toc19114"/>
      <w:bookmarkStart w:id="918" w:name="_Toc14947"/>
      <w:bookmarkStart w:id="919" w:name="_Toc12535"/>
      <w:bookmarkStart w:id="920" w:name="_Toc14894"/>
      <w:bookmarkStart w:id="921" w:name="_Toc24225"/>
      <w:bookmarkStart w:id="922" w:name="_Toc31353"/>
      <w:bookmarkStart w:id="923" w:name="_Toc21827"/>
      <w:bookmarkStart w:id="924" w:name="_Toc3562"/>
      <w:bookmarkStart w:id="925" w:name="_Toc24463"/>
      <w:bookmarkStart w:id="926" w:name="_Toc13680"/>
      <w:bookmarkStart w:id="927" w:name="_Toc1629934359"/>
      <w:bookmarkStart w:id="928" w:name="_Toc7972"/>
      <w:bookmarkStart w:id="929" w:name="_Toc1869406596"/>
      <w:bookmarkStart w:id="930" w:name="_Toc1472073403"/>
      <w:bookmarkStart w:id="931" w:name="_Toc32398"/>
      <w:r>
        <w:rPr>
          <w:rFonts w:hint="eastAsia" w:ascii="楷体" w:hAnsi="楷体" w:eastAsia="楷体" w:cs="楷体"/>
          <w:b/>
          <w:sz w:val="32"/>
          <w:szCs w:val="32"/>
        </w:rPr>
        <w:t>（二）加大政策支持</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adjustRightInd w:val="0"/>
        <w:snapToGrid w:val="0"/>
        <w:spacing w:line="560" w:lineRule="exact"/>
        <w:ind w:left="2" w:firstLine="537" w:firstLineChars="168"/>
        <w:jc w:val="left"/>
        <w:rPr>
          <w:rFonts w:hint="eastAsia" w:ascii="仿宋" w:hAnsi="仿宋" w:eastAsia="仿宋"/>
          <w:sz w:val="32"/>
          <w:szCs w:val="32"/>
        </w:rPr>
      </w:pPr>
      <w:r>
        <w:rPr>
          <w:rFonts w:hint="eastAsia" w:ascii="仿宋" w:hAnsi="仿宋" w:eastAsia="仿宋" w:cs="仿宋"/>
          <w:sz w:val="32"/>
          <w:szCs w:val="32"/>
        </w:rPr>
        <w:t>积极创新</w:t>
      </w:r>
      <w:r>
        <w:rPr>
          <w:rFonts w:hint="eastAsia" w:ascii="仿宋" w:hAnsi="仿宋" w:eastAsia="仿宋"/>
          <w:sz w:val="32"/>
          <w:szCs w:val="32"/>
        </w:rPr>
        <w:t>财政</w:t>
      </w:r>
      <w:r>
        <w:rPr>
          <w:rFonts w:hint="eastAsia" w:ascii="仿宋" w:hAnsi="仿宋" w:eastAsia="仿宋" w:cs="仿宋"/>
          <w:sz w:val="32"/>
          <w:szCs w:val="32"/>
        </w:rPr>
        <w:t>资金支持循环经济发展的方式，综合采取补助、贴息、奖励等方式，提高资金使用效果。构建多渠道资金投入模式，大力引入政府和社会资本合作（</w:t>
      </w:r>
      <w:r>
        <w:rPr>
          <w:rFonts w:eastAsia="仿宋"/>
          <w:sz w:val="32"/>
          <w:szCs w:val="32"/>
        </w:rPr>
        <w:t>PPP</w:t>
      </w:r>
      <w:r>
        <w:rPr>
          <w:rFonts w:hint="eastAsia" w:ascii="仿宋" w:hAnsi="仿宋" w:eastAsia="仿宋" w:cs="仿宋"/>
          <w:sz w:val="32"/>
          <w:szCs w:val="32"/>
        </w:rPr>
        <w:t>）模式，推广“建宁模式”，引导社会投资参与循环经济重大项目建设。对符合条件的重大技术、装备的引进和消化、吸收和创新给予资金支持，鼓励环保类技术创新和相关成果市场化、产业化。引导金融机构加大金融创新力度，增加绿色信贷、绿色债券、绿色保险、绿色基金等绿色金融产品供给。</w:t>
      </w:r>
    </w:p>
    <w:p>
      <w:pPr>
        <w:adjustRightInd w:val="0"/>
        <w:snapToGrid w:val="0"/>
        <w:spacing w:line="560" w:lineRule="exact"/>
        <w:ind w:left="319" w:leftChars="152" w:firstLine="318" w:firstLineChars="99"/>
        <w:jc w:val="left"/>
        <w:outlineLvl w:val="1"/>
        <w:rPr>
          <w:rFonts w:ascii="楷体" w:hAnsi="楷体" w:eastAsia="楷体" w:cs="楷体"/>
          <w:b/>
          <w:sz w:val="32"/>
          <w:szCs w:val="32"/>
        </w:rPr>
      </w:pPr>
      <w:bookmarkStart w:id="932" w:name="_Toc3508"/>
      <w:bookmarkStart w:id="933" w:name="_Toc21756"/>
      <w:bookmarkStart w:id="934" w:name="_Toc348"/>
      <w:bookmarkStart w:id="935" w:name="_Toc30382"/>
      <w:bookmarkStart w:id="936" w:name="_Toc5251"/>
      <w:bookmarkStart w:id="937" w:name="_Toc15343"/>
      <w:bookmarkStart w:id="938" w:name="_Toc22968"/>
      <w:bookmarkStart w:id="939" w:name="_Toc92706669"/>
      <w:bookmarkStart w:id="940" w:name="_Toc1490247853"/>
      <w:bookmarkStart w:id="941" w:name="_Toc8181"/>
      <w:bookmarkStart w:id="942" w:name="_Toc30196"/>
      <w:bookmarkStart w:id="943" w:name="_Toc27324"/>
      <w:bookmarkStart w:id="944" w:name="_Toc5401"/>
      <w:bookmarkStart w:id="945" w:name="_Toc18602"/>
      <w:bookmarkStart w:id="946" w:name="_Toc5125"/>
      <w:bookmarkStart w:id="947" w:name="_Toc32629"/>
      <w:bookmarkStart w:id="948" w:name="_Toc14745"/>
      <w:bookmarkStart w:id="949" w:name="_Toc19172"/>
      <w:bookmarkStart w:id="950" w:name="_Toc22674"/>
      <w:bookmarkStart w:id="951" w:name="_Toc26083"/>
      <w:bookmarkStart w:id="952" w:name="_Toc1284"/>
      <w:bookmarkStart w:id="953" w:name="_Toc5614"/>
      <w:bookmarkStart w:id="954" w:name="_Toc29630"/>
      <w:r>
        <w:rPr>
          <w:rFonts w:hint="eastAsia" w:ascii="楷体" w:hAnsi="楷体" w:eastAsia="楷体" w:cs="楷体"/>
          <w:b/>
          <w:sz w:val="32"/>
          <w:szCs w:val="32"/>
        </w:rPr>
        <w:t>（三）强化</w:t>
      </w:r>
      <w:bookmarkStart w:id="955" w:name="pindex362"/>
      <w:bookmarkEnd w:id="955"/>
      <w:r>
        <w:rPr>
          <w:rFonts w:hint="eastAsia" w:ascii="楷体" w:hAnsi="楷体" w:eastAsia="楷体" w:cs="楷体"/>
          <w:b/>
          <w:sz w:val="32"/>
          <w:szCs w:val="32"/>
        </w:rPr>
        <w:t>监督考核</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adjustRightInd w:val="0"/>
        <w:snapToGrid w:val="0"/>
        <w:spacing w:line="560" w:lineRule="exact"/>
        <w:ind w:firstLine="640" w:firstLineChars="200"/>
        <w:jc w:val="left"/>
        <w:rPr>
          <w:rFonts w:ascii="仿宋" w:hAnsi="仿宋" w:eastAsia="仿宋"/>
          <w:sz w:val="32"/>
          <w:szCs w:val="32"/>
        </w:rPr>
      </w:pPr>
      <w:bookmarkStart w:id="956" w:name="_Toc27219"/>
      <w:bookmarkStart w:id="957" w:name="_Toc15046"/>
      <w:bookmarkStart w:id="958" w:name="_Toc2126070781"/>
      <w:r>
        <w:rPr>
          <w:rFonts w:hint="eastAsia" w:ascii="仿宋" w:hAnsi="仿宋" w:eastAsia="仿宋"/>
          <w:sz w:val="32"/>
          <w:szCs w:val="32"/>
        </w:rPr>
        <w:t>加强考核监督</w:t>
      </w:r>
      <w:bookmarkEnd w:id="956"/>
      <w:bookmarkEnd w:id="957"/>
      <w:r>
        <w:rPr>
          <w:rFonts w:hint="eastAsia" w:ascii="仿宋" w:hAnsi="仿宋" w:eastAsia="仿宋"/>
          <w:sz w:val="32"/>
          <w:szCs w:val="32"/>
        </w:rPr>
        <w:t>，</w:t>
      </w:r>
      <w:bookmarkEnd w:id="958"/>
      <w:bookmarkStart w:id="959" w:name="_Toc891213834"/>
      <w:r>
        <w:rPr>
          <w:rFonts w:hint="eastAsia" w:ascii="仿宋" w:hAnsi="仿宋" w:eastAsia="仿宋"/>
          <w:sz w:val="32"/>
          <w:szCs w:val="32"/>
        </w:rPr>
        <w:t>建立严格有效的考核奖惩制度，将循环经济主要指标纳入市直相关部门以及各县（市</w:t>
      </w:r>
      <w:r>
        <w:rPr>
          <w:rFonts w:ascii="仿宋" w:hAnsi="仿宋" w:eastAsia="仿宋"/>
          <w:sz w:val="32"/>
          <w:szCs w:val="32"/>
        </w:rPr>
        <w:t>、</w:t>
      </w:r>
      <w:r>
        <w:rPr>
          <w:rFonts w:hint="eastAsia" w:ascii="仿宋" w:hAnsi="仿宋" w:eastAsia="仿宋"/>
          <w:sz w:val="32"/>
          <w:szCs w:val="32"/>
        </w:rPr>
        <w:t>区）、开发区考核范畴。建立循环经济发展成效评价机制，强化考核结果运用，形成循环经济发展指标考核的硬约束机制。</w:t>
      </w:r>
      <w:bookmarkEnd w:id="959"/>
      <w:bookmarkStart w:id="960" w:name="_Toc31045"/>
      <w:bookmarkStart w:id="961" w:name="_Toc8268"/>
      <w:bookmarkStart w:id="962" w:name="_Toc2079953860"/>
      <w:r>
        <w:rPr>
          <w:rFonts w:hint="eastAsia" w:ascii="仿宋" w:hAnsi="仿宋" w:eastAsia="仿宋"/>
          <w:sz w:val="32"/>
          <w:szCs w:val="32"/>
        </w:rPr>
        <w:t>强化统计监测</w:t>
      </w:r>
      <w:bookmarkEnd w:id="960"/>
      <w:bookmarkEnd w:id="961"/>
      <w:r>
        <w:rPr>
          <w:rFonts w:hint="eastAsia" w:ascii="仿宋" w:hAnsi="仿宋" w:eastAsia="仿宋"/>
          <w:sz w:val="32"/>
          <w:szCs w:val="32"/>
        </w:rPr>
        <w:t>，</w:t>
      </w:r>
      <w:bookmarkEnd w:id="962"/>
      <w:bookmarkStart w:id="963" w:name="_Toc1045719154"/>
      <w:r>
        <w:rPr>
          <w:rFonts w:hint="eastAsia" w:ascii="仿宋" w:hAnsi="仿宋" w:eastAsia="仿宋"/>
          <w:sz w:val="32"/>
          <w:szCs w:val="32"/>
        </w:rPr>
        <w:t>完善循环经济统计调查制度，建立循环经济统计指标体系和调查机制，完善统计核算方法。制定循环经济评价指标体系，建立循环经济发展成效评价机制，加强循环经济数据的统计和评价分析。</w:t>
      </w:r>
      <w:bookmarkEnd w:id="963"/>
    </w:p>
    <w:p>
      <w:pPr>
        <w:adjustRightInd w:val="0"/>
        <w:snapToGrid w:val="0"/>
        <w:spacing w:line="560" w:lineRule="exact"/>
        <w:ind w:left="-2" w:firstLine="643" w:firstLineChars="200"/>
        <w:outlineLvl w:val="1"/>
        <w:rPr>
          <w:rFonts w:ascii="楷体" w:hAnsi="楷体" w:eastAsia="楷体" w:cs="楷体"/>
          <w:b/>
          <w:sz w:val="32"/>
          <w:szCs w:val="32"/>
        </w:rPr>
      </w:pPr>
      <w:bookmarkStart w:id="964" w:name="_Toc23355"/>
      <w:bookmarkStart w:id="965" w:name="_Toc395654230"/>
      <w:bookmarkStart w:id="966" w:name="_Toc24357"/>
      <w:bookmarkStart w:id="967" w:name="_Toc9951"/>
      <w:bookmarkStart w:id="968" w:name="_Toc26773"/>
      <w:bookmarkStart w:id="969" w:name="_Toc21278"/>
      <w:bookmarkStart w:id="970" w:name="_Toc13926"/>
      <w:bookmarkStart w:id="971" w:name="_Toc11750"/>
      <w:bookmarkStart w:id="972" w:name="_Toc18705"/>
      <w:bookmarkStart w:id="973" w:name="_Toc370"/>
      <w:bookmarkStart w:id="974" w:name="_Toc11915"/>
      <w:bookmarkStart w:id="975" w:name="_Toc92706670"/>
      <w:bookmarkStart w:id="976" w:name="_Toc6829"/>
      <w:bookmarkStart w:id="977" w:name="_Toc3244"/>
      <w:bookmarkStart w:id="978" w:name="_Toc22950"/>
      <w:bookmarkStart w:id="979" w:name="_Toc3184"/>
      <w:bookmarkStart w:id="980" w:name="_Toc3423"/>
      <w:bookmarkStart w:id="981" w:name="_Toc3515"/>
      <w:bookmarkStart w:id="982" w:name="_Toc1005370581"/>
      <w:bookmarkStart w:id="983" w:name="_Toc22188"/>
      <w:bookmarkStart w:id="984" w:name="_Toc24816"/>
      <w:bookmarkStart w:id="985" w:name="_Toc1430903362"/>
      <w:bookmarkStart w:id="986" w:name="_Toc16963"/>
      <w:bookmarkStart w:id="987" w:name="_Toc21134"/>
      <w:bookmarkStart w:id="988" w:name="_Toc18785"/>
      <w:bookmarkStart w:id="989" w:name="_Toc7857"/>
      <w:bookmarkStart w:id="990" w:name="_Toc493890410"/>
      <w:bookmarkStart w:id="991" w:name="_Toc2723"/>
      <w:bookmarkStart w:id="992" w:name="_Toc28115"/>
      <w:r>
        <w:rPr>
          <w:rFonts w:hint="eastAsia" w:ascii="楷体" w:hAnsi="楷体" w:eastAsia="楷体" w:cs="楷体"/>
          <w:b/>
          <w:sz w:val="32"/>
          <w:szCs w:val="32"/>
        </w:rPr>
        <w:t>（四）加强风险监测</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adjustRightInd w:val="0"/>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建立风险评估制度，完善循环经济重大项目的风险评估，探索开展废水综合毒性评估、区域环境风险评估，作为行业准入、产业布局与结构调整的基本依据。完善企业环境风险排查评估制度，推行环境风险分类分级管理，严格高风险企业监管，实施环境风险源登记与动态管理。定期开展产业园区和重大项目设立、选址与规划、园区内布局、准入和退出、配套功能设施、一体化安全管理及应急救援等风险排查工作，指导园区和企业做好问题整改。</w:t>
      </w:r>
    </w:p>
    <w:p>
      <w:pPr>
        <w:adjustRightInd w:val="0"/>
        <w:snapToGrid w:val="0"/>
        <w:spacing w:line="560" w:lineRule="exact"/>
        <w:ind w:firstLine="643" w:firstLineChars="200"/>
        <w:jc w:val="left"/>
        <w:outlineLvl w:val="1"/>
        <w:rPr>
          <w:rFonts w:ascii="楷体" w:hAnsi="楷体" w:eastAsia="楷体" w:cs="楷体"/>
          <w:b/>
          <w:sz w:val="32"/>
          <w:szCs w:val="32"/>
        </w:rPr>
      </w:pPr>
      <w:bookmarkStart w:id="993" w:name="_Toc6597"/>
      <w:bookmarkStart w:id="994" w:name="_Toc948"/>
      <w:bookmarkStart w:id="995" w:name="_Toc379"/>
      <w:bookmarkStart w:id="996" w:name="_Toc18049"/>
      <w:bookmarkStart w:id="997" w:name="_Toc9323"/>
      <w:bookmarkStart w:id="998" w:name="_Toc22202"/>
      <w:bookmarkStart w:id="999" w:name="_Toc15676"/>
      <w:bookmarkStart w:id="1000" w:name="_Toc20810"/>
      <w:bookmarkStart w:id="1001" w:name="_Toc1612775491"/>
      <w:bookmarkStart w:id="1002" w:name="_Toc1687000332"/>
      <w:bookmarkStart w:id="1003" w:name="_Toc22485"/>
      <w:bookmarkStart w:id="1004" w:name="_Toc31874"/>
      <w:bookmarkStart w:id="1005" w:name="_Toc6266"/>
      <w:bookmarkStart w:id="1006" w:name="_Toc12522"/>
      <w:bookmarkStart w:id="1007" w:name="_Toc30367"/>
      <w:bookmarkStart w:id="1008" w:name="_Toc23730"/>
      <w:bookmarkStart w:id="1009" w:name="_Toc8644"/>
      <w:bookmarkStart w:id="1010" w:name="_Toc31104"/>
      <w:bookmarkStart w:id="1011" w:name="_Toc20915"/>
      <w:bookmarkStart w:id="1012" w:name="_Toc32392"/>
      <w:bookmarkStart w:id="1013" w:name="_Toc6656"/>
      <w:bookmarkStart w:id="1014" w:name="_Toc23007"/>
      <w:bookmarkStart w:id="1015" w:name="_Toc23986"/>
      <w:bookmarkStart w:id="1016" w:name="_Toc31523"/>
      <w:bookmarkStart w:id="1017" w:name="_Toc26229"/>
      <w:bookmarkStart w:id="1018" w:name="_Toc791825215"/>
      <w:bookmarkStart w:id="1019" w:name="_Toc8461"/>
      <w:bookmarkStart w:id="1020" w:name="_Toc92706671"/>
      <w:bookmarkStart w:id="1021" w:name="_Toc1304821495"/>
      <w:r>
        <w:rPr>
          <w:rFonts w:hint="eastAsia" w:ascii="楷体" w:hAnsi="楷体" w:eastAsia="楷体" w:cs="楷体"/>
          <w:b/>
          <w:sz w:val="32"/>
          <w:szCs w:val="32"/>
        </w:rPr>
        <w:t>（五）加强宣传教育</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Start w:id="1022" w:name="pindex364"/>
      <w:bookmarkEnd w:id="1022"/>
    </w:p>
    <w:p>
      <w:pPr>
        <w:adjustRightInd w:val="0"/>
        <w:snapToGrid w:val="0"/>
        <w:spacing w:line="560" w:lineRule="exact"/>
        <w:ind w:firstLine="640" w:firstLineChars="200"/>
        <w:jc w:val="left"/>
        <w:rPr>
          <w:rFonts w:ascii="仿宋" w:hAnsi="仿宋" w:eastAsia="仿宋"/>
          <w:sz w:val="32"/>
          <w:szCs w:val="32"/>
        </w:rPr>
      </w:pPr>
      <w:bookmarkStart w:id="1023" w:name="_Toc12367"/>
      <w:bookmarkStart w:id="1024" w:name="_Toc2164"/>
      <w:bookmarkStart w:id="1025" w:name="_Toc187988583"/>
      <w:r>
        <w:rPr>
          <w:rFonts w:hint="eastAsia" w:ascii="仿宋" w:hAnsi="仿宋" w:eastAsia="仿宋"/>
          <w:sz w:val="32"/>
          <w:szCs w:val="32"/>
        </w:rPr>
        <w:t>创新宣传教育方式</w:t>
      </w:r>
      <w:bookmarkEnd w:id="1023"/>
      <w:bookmarkEnd w:id="1024"/>
      <w:r>
        <w:rPr>
          <w:rFonts w:hint="eastAsia" w:ascii="仿宋" w:hAnsi="仿宋" w:eastAsia="仿宋"/>
          <w:sz w:val="32"/>
          <w:szCs w:val="32"/>
        </w:rPr>
        <w:t>，</w:t>
      </w:r>
      <w:bookmarkEnd w:id="1025"/>
      <w:bookmarkStart w:id="1026" w:name="_Toc575669744"/>
      <w:r>
        <w:rPr>
          <w:rFonts w:hint="eastAsia" w:ascii="仿宋" w:hAnsi="仿宋" w:eastAsia="仿宋"/>
          <w:sz w:val="32"/>
          <w:szCs w:val="32"/>
        </w:rPr>
        <w:t>充分利用广播电视、互联网等新闻媒体，组织开展形式多样的宣传活动。充分利用广西节能宣传周和全国低碳日等活动，加大节能减排降碳宣传力度。</w:t>
      </w:r>
      <w:bookmarkEnd w:id="1026"/>
      <w:bookmarkStart w:id="1027" w:name="_Toc11694"/>
      <w:bookmarkStart w:id="1028" w:name="_Toc32076"/>
      <w:bookmarkStart w:id="1029" w:name="_Toc867557673"/>
      <w:r>
        <w:rPr>
          <w:rFonts w:hint="eastAsia" w:ascii="仿宋" w:hAnsi="仿宋" w:eastAsia="仿宋"/>
          <w:sz w:val="32"/>
          <w:szCs w:val="32"/>
        </w:rPr>
        <w:t>提高宣传教育</w:t>
      </w:r>
      <w:bookmarkEnd w:id="1027"/>
      <w:r>
        <w:rPr>
          <w:rFonts w:hint="eastAsia" w:ascii="仿宋" w:hAnsi="仿宋" w:eastAsia="仿宋"/>
          <w:sz w:val="32"/>
          <w:szCs w:val="32"/>
        </w:rPr>
        <w:t>范围</w:t>
      </w:r>
      <w:bookmarkEnd w:id="1028"/>
      <w:r>
        <w:rPr>
          <w:rFonts w:hint="eastAsia" w:ascii="仿宋" w:hAnsi="仿宋" w:eastAsia="仿宋"/>
          <w:sz w:val="32"/>
          <w:szCs w:val="32"/>
        </w:rPr>
        <w:t>，</w:t>
      </w:r>
      <w:bookmarkEnd w:id="1029"/>
      <w:bookmarkStart w:id="1030" w:name="_Toc1775330628"/>
      <w:r>
        <w:rPr>
          <w:rFonts w:hint="eastAsia" w:ascii="仿宋" w:hAnsi="仿宋" w:eastAsia="仿宋"/>
          <w:sz w:val="32"/>
          <w:szCs w:val="32"/>
        </w:rPr>
        <w:t>动员和组织机关、企业、学校、社区、社团等单位，开展以节能减排为主要内容的全民节约共同行动，推动将循环经济理念和知识纳入全市基础教育内容，提高科学知识普及程度。</w:t>
      </w:r>
      <w:bookmarkEnd w:id="1030"/>
    </w:p>
    <w:p>
      <w:pPr>
        <w:spacing w:before="120" w:beforeLines="50" w:line="560" w:lineRule="exact"/>
        <w:ind w:firstLine="640" w:firstLineChars="200"/>
        <w:jc w:val="left"/>
        <w:outlineLvl w:val="0"/>
        <w:rPr>
          <w:rFonts w:hint="eastAsia" w:ascii="黑体" w:hAnsi="黑体" w:eastAsia="黑体"/>
          <w:sz w:val="32"/>
          <w:szCs w:val="32"/>
        </w:rPr>
      </w:pPr>
      <w:bookmarkStart w:id="1031" w:name="_Toc25766"/>
      <w:bookmarkStart w:id="1032" w:name="_Toc250228046"/>
      <w:bookmarkStart w:id="1033" w:name="_Toc15386"/>
      <w:bookmarkStart w:id="1034" w:name="_Toc14290"/>
      <w:bookmarkStart w:id="1035" w:name="_Toc24201"/>
      <w:bookmarkStart w:id="1036" w:name="_Toc20612"/>
      <w:bookmarkStart w:id="1037" w:name="_Toc25247"/>
      <w:bookmarkStart w:id="1038" w:name="_Toc15918"/>
      <w:bookmarkStart w:id="1039" w:name="_Toc15828"/>
      <w:bookmarkStart w:id="1040" w:name="_Toc2286"/>
      <w:bookmarkStart w:id="1041" w:name="_Toc30659"/>
      <w:bookmarkStart w:id="1042" w:name="_Toc25651"/>
      <w:bookmarkStart w:id="1043" w:name="_Toc16741"/>
      <w:bookmarkStart w:id="1044" w:name="_Toc6114"/>
      <w:bookmarkStart w:id="1045" w:name="_Toc16120"/>
      <w:bookmarkStart w:id="1046" w:name="_Toc773"/>
      <w:bookmarkStart w:id="1047" w:name="_Toc1034"/>
      <w:bookmarkStart w:id="1048" w:name="_Toc10551"/>
      <w:bookmarkStart w:id="1049" w:name="_Toc92706672"/>
      <w:bookmarkStart w:id="1050" w:name="_Toc8932"/>
      <w:bookmarkStart w:id="1051" w:name="_Toc31370"/>
      <w:bookmarkStart w:id="1052" w:name="_Toc17834"/>
      <w:r>
        <w:rPr>
          <w:rFonts w:hint="eastAsia" w:ascii="黑体" w:hAnsi="黑体" w:eastAsia="黑体"/>
          <w:sz w:val="32"/>
          <w:szCs w:val="32"/>
        </w:rPr>
        <w:t>七、环境影响评价</w:t>
      </w:r>
      <w:bookmarkEnd w:id="1031"/>
      <w:bookmarkEnd w:id="1032"/>
      <w:bookmarkEnd w:id="1033"/>
      <w:bookmarkEnd w:id="1034"/>
      <w:bookmarkEnd w:id="1035"/>
    </w:p>
    <w:p>
      <w:pPr>
        <w:adjustRightInd w:val="0"/>
        <w:snapToGrid w:val="0"/>
        <w:spacing w:line="560" w:lineRule="exact"/>
        <w:ind w:firstLine="643" w:firstLineChars="200"/>
        <w:jc w:val="left"/>
        <w:outlineLvl w:val="1"/>
        <w:rPr>
          <w:rFonts w:hint="eastAsia" w:ascii="楷体" w:hAnsi="楷体" w:eastAsia="楷体" w:cs="楷体"/>
          <w:b/>
          <w:sz w:val="32"/>
          <w:szCs w:val="32"/>
        </w:rPr>
      </w:pPr>
      <w:bookmarkStart w:id="1053" w:name="_Toc31522"/>
      <w:bookmarkStart w:id="1054" w:name="_Toc809788296"/>
      <w:bookmarkStart w:id="1055" w:name="_Toc19005"/>
      <w:bookmarkStart w:id="1056" w:name="_Toc25538"/>
      <w:bookmarkStart w:id="1057" w:name="_Toc12071"/>
      <w:r>
        <w:rPr>
          <w:rFonts w:hint="eastAsia" w:ascii="楷体" w:hAnsi="楷体" w:eastAsia="楷体" w:cs="楷体"/>
          <w:b/>
          <w:sz w:val="32"/>
          <w:szCs w:val="32"/>
        </w:rPr>
        <w:t>（一）环境影响分析</w:t>
      </w:r>
      <w:bookmarkEnd w:id="1053"/>
      <w:bookmarkEnd w:id="1054"/>
      <w:bookmarkEnd w:id="1055"/>
      <w:bookmarkEnd w:id="1056"/>
      <w:bookmarkEnd w:id="1057"/>
    </w:p>
    <w:p>
      <w:pPr>
        <w:adjustRightInd w:val="0"/>
        <w:snapToGrid w:val="0"/>
        <w:spacing w:line="560" w:lineRule="exact"/>
        <w:ind w:firstLine="640" w:firstLineChars="200"/>
        <w:jc w:val="left"/>
        <w:rPr>
          <w:rFonts w:eastAsia="仿宋"/>
          <w:sz w:val="32"/>
          <w:szCs w:val="32"/>
        </w:rPr>
      </w:pPr>
      <w:r>
        <w:rPr>
          <w:rFonts w:eastAsia="仿宋"/>
          <w:sz w:val="32"/>
          <w:szCs w:val="32"/>
        </w:rPr>
        <w:t>《规划》实施后总体上减少工业源、农业源和生活源对环境的影响。但由于规划实施时间较长，空间跨度较大，各工程项目实施可能会对周边环境产生一定影响，主要污染影响包括废气、废水、噪声、固体废物等。废气主要污染物为燃煤锅炉烟气、烟（粉）尘、二氧化硫、氮氧化物等，落实大气污染防治措施后，废气达标排放对大气环境影响较小。废水主要为生产设备清洗废水、循环冷却排污水、工艺废水等，工艺废水主要有含磷酸盐废水、喷漆废水、地面清洗废水等，主要污染物为pH值、悬浮物、化学需氧量、五日生化需氧量、氨氮、总磷、总氮、石油类和特征污染物等，废水均按照要求收集处理后达标排放，对水环境影响较小。噪声污染主要是注塑机、喷漆机、烘干机、各种风机、各类泵类、车床等工艺设备噪声，强度在65～100dB（A），经采取消声、减震、隔声等措施后噪声可达标排放，对声环境影响较小。固体废物主要包括边角料、锅炉灰渣、包装废料、气化炉排灰、废干燥剂、污泥、废耐火材料、脱硫石膏、废油、脱硝废催化剂等，各类固体废物按照要求进行综合利用和妥善贮存、处置后，对周边环境影响较小。各工程需做好防腐防渗措施，避免污染地下水和土壤。具体工程可能涉及风险物质和风险工艺等，在做好风险防范措施和环境风险防控体系建设情况下，环境风险可接受。</w:t>
      </w:r>
    </w:p>
    <w:p>
      <w:pPr>
        <w:adjustRightInd w:val="0"/>
        <w:snapToGrid w:val="0"/>
        <w:spacing w:line="560" w:lineRule="exact"/>
        <w:ind w:firstLine="643" w:firstLineChars="200"/>
        <w:jc w:val="left"/>
        <w:outlineLvl w:val="1"/>
        <w:rPr>
          <w:rFonts w:hint="eastAsia" w:ascii="楷体" w:hAnsi="楷体" w:eastAsia="楷体" w:cs="楷体"/>
          <w:b/>
          <w:sz w:val="32"/>
          <w:szCs w:val="32"/>
        </w:rPr>
      </w:pPr>
      <w:bookmarkStart w:id="1058" w:name="_Toc5570"/>
      <w:bookmarkStart w:id="1059" w:name="_Toc9683"/>
      <w:bookmarkStart w:id="1060" w:name="_Toc25935"/>
      <w:bookmarkStart w:id="1061" w:name="_Toc2328"/>
      <w:bookmarkStart w:id="1062" w:name="_Toc1508019833"/>
      <w:r>
        <w:rPr>
          <w:rFonts w:hint="eastAsia" w:ascii="楷体" w:hAnsi="楷体" w:eastAsia="楷体" w:cs="楷体"/>
          <w:b/>
          <w:sz w:val="32"/>
          <w:szCs w:val="32"/>
        </w:rPr>
        <w:t>（二）环境影响减缓对策措施</w:t>
      </w:r>
      <w:bookmarkEnd w:id="1058"/>
      <w:bookmarkEnd w:id="1059"/>
      <w:bookmarkEnd w:id="1060"/>
      <w:bookmarkEnd w:id="1061"/>
      <w:bookmarkEnd w:id="1062"/>
    </w:p>
    <w:p>
      <w:pPr>
        <w:adjustRightInd w:val="0"/>
        <w:snapToGrid w:val="0"/>
        <w:spacing w:line="560" w:lineRule="exact"/>
        <w:ind w:firstLine="640" w:firstLineChars="200"/>
        <w:jc w:val="left"/>
        <w:rPr>
          <w:rFonts w:eastAsia="仿宋"/>
          <w:sz w:val="32"/>
          <w:szCs w:val="32"/>
        </w:rPr>
      </w:pPr>
      <w:r>
        <w:rPr>
          <w:rFonts w:eastAsia="仿宋"/>
          <w:sz w:val="32"/>
          <w:szCs w:val="32"/>
        </w:rPr>
        <w:t>《规划》实施各主体单位应落实“三线一单”相关要求，筑牢生态安全屏障，促进经济可持续发展。应严格项目准入，严控高耗能、高污染行业产能，加强事中事后监管（如建立重点排污单位清单、加强与排污许可衔接、建立大数据平台），建立重大环境影响预警体系，具体工程必须满足环境影响评价、环境质量改善目标要求。提升清洁生产和污染防治水平，新建、扩建“两高”项目应达到清洁生产先进水平。各项目应制定并严格落实污染防治措施。各相关单位要制定大气联防联控措施、地表水上下游联防联控措施、自然资源调查联动措施、固体废物非法转移部门联防联控措施，应在南宁市生态环境保护工作机制</w:t>
      </w:r>
      <w:r>
        <w:rPr>
          <w:rFonts w:hint="eastAsia" w:eastAsia="仿宋"/>
          <w:sz w:val="32"/>
          <w:szCs w:val="32"/>
        </w:rPr>
        <w:t>的</w:t>
      </w:r>
      <w:r>
        <w:rPr>
          <w:rFonts w:eastAsia="仿宋"/>
          <w:sz w:val="32"/>
          <w:szCs w:val="32"/>
        </w:rPr>
        <w:t>基础上，增加达成生态环境保护目标、指标体系的日常运营管理措施。</w:t>
      </w:r>
    </w:p>
    <w:p>
      <w:pPr>
        <w:adjustRightInd w:val="0"/>
        <w:snapToGrid w:val="0"/>
        <w:spacing w:line="560" w:lineRule="exact"/>
        <w:ind w:firstLine="643" w:firstLineChars="200"/>
        <w:jc w:val="left"/>
        <w:outlineLvl w:val="1"/>
        <w:rPr>
          <w:rFonts w:hint="eastAsia" w:ascii="楷体" w:hAnsi="楷体" w:eastAsia="楷体" w:cs="楷体"/>
          <w:b/>
          <w:sz w:val="32"/>
          <w:szCs w:val="32"/>
        </w:rPr>
      </w:pPr>
      <w:bookmarkStart w:id="1063" w:name="_Toc22706"/>
      <w:bookmarkStart w:id="1064" w:name="_Toc3879"/>
      <w:bookmarkStart w:id="1065" w:name="_Toc15157"/>
      <w:bookmarkStart w:id="1066" w:name="_Toc687331337"/>
      <w:bookmarkStart w:id="1067" w:name="_Toc23775"/>
      <w:r>
        <w:rPr>
          <w:rFonts w:hint="eastAsia" w:ascii="楷体" w:hAnsi="楷体" w:eastAsia="楷体" w:cs="楷体"/>
          <w:b/>
          <w:sz w:val="32"/>
          <w:szCs w:val="32"/>
        </w:rPr>
        <w:t>（三）环境影响评价结论</w:t>
      </w:r>
      <w:bookmarkEnd w:id="1063"/>
      <w:bookmarkEnd w:id="1064"/>
      <w:bookmarkEnd w:id="1065"/>
      <w:bookmarkEnd w:id="1066"/>
      <w:bookmarkEnd w:id="1067"/>
    </w:p>
    <w:p>
      <w:pPr>
        <w:adjustRightInd w:val="0"/>
        <w:snapToGrid w:val="0"/>
        <w:spacing w:line="560" w:lineRule="exact"/>
        <w:ind w:firstLine="640" w:firstLineChars="200"/>
        <w:jc w:val="left"/>
        <w:rPr>
          <w:rFonts w:eastAsia="仿宋"/>
          <w:sz w:val="32"/>
          <w:szCs w:val="32"/>
        </w:rPr>
      </w:pPr>
      <w:r>
        <w:rPr>
          <w:rFonts w:eastAsia="仿宋"/>
          <w:sz w:val="32"/>
          <w:szCs w:val="32"/>
        </w:rPr>
        <w:t>《规划》实施总体上可以实现全市节能降耗降碳减污增效的目标。具体工程实施会给局部生态环境带来一定影响，通过采取相应环境保护措施，不利环境影响可在一定程度上得到减缓。《规划》实施带来的不良环境影响总体可控，从环境保护角度分析，《规划》实施是可行的。</w:t>
      </w:r>
    </w:p>
    <w:p>
      <w:pPr>
        <w:spacing w:before="120" w:beforeLines="50" w:line="560" w:lineRule="exact"/>
        <w:ind w:firstLine="640" w:firstLineChars="200"/>
        <w:jc w:val="left"/>
        <w:outlineLvl w:val="0"/>
        <w:rPr>
          <w:rFonts w:hint="eastAsia" w:ascii="黑体" w:hAnsi="黑体" w:eastAsia="黑体"/>
          <w:sz w:val="32"/>
          <w:szCs w:val="32"/>
        </w:rPr>
      </w:pPr>
      <w:bookmarkStart w:id="1068" w:name="_Toc663243746"/>
      <w:bookmarkStart w:id="1069" w:name="_Toc4422"/>
      <w:bookmarkStart w:id="1070" w:name="_Toc5597"/>
      <w:bookmarkStart w:id="1071" w:name="_Toc21337"/>
      <w:bookmarkStart w:id="1072" w:name="_Toc6255"/>
      <w:bookmarkStart w:id="1073" w:name="_Toc23310"/>
      <w:r>
        <w:rPr>
          <w:rFonts w:hint="eastAsia" w:ascii="黑体" w:hAnsi="黑体" w:eastAsia="黑体"/>
          <w:sz w:val="32"/>
          <w:szCs w:val="32"/>
        </w:rPr>
        <w:t>八、组织实施</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68"/>
      <w:bookmarkEnd w:id="1069"/>
      <w:bookmarkEnd w:id="1070"/>
      <w:bookmarkEnd w:id="1071"/>
      <w:bookmarkEnd w:id="1072"/>
      <w:bookmarkEnd w:id="1073"/>
    </w:p>
    <w:p>
      <w:pPr>
        <w:adjustRightInd w:val="0"/>
        <w:snapToGrid w:val="0"/>
        <w:spacing w:line="560" w:lineRule="exact"/>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市发展改革委要加强统筹协调和监督管理，及时总结分析工作进展，切实推进规划实施。各有关部门按照职能分工抓好重点任务落实，各县（市、区）要高度重视循环经济发展，精心组织安排，明确重点任务和责任分工，结合实际抓好规划贯彻落实。</w:t>
      </w:r>
    </w:p>
    <w:p>
      <w:pPr>
        <w:adjustRightInd w:val="0"/>
        <w:snapToGrid w:val="0"/>
        <w:spacing w:line="560" w:lineRule="exact"/>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其中，</w:t>
      </w:r>
      <w:r>
        <w:rPr>
          <w:rFonts w:hint="eastAsia" w:ascii="仿宋_GB2312" w:hAnsi="仿宋" w:eastAsia="仿宋_GB2312"/>
          <w:b/>
          <w:bCs/>
          <w:sz w:val="32"/>
          <w:szCs w:val="32"/>
        </w:rPr>
        <w:t>园区循环化发展改造升级工程</w:t>
      </w:r>
      <w:r>
        <w:rPr>
          <w:rFonts w:hint="eastAsia" w:ascii="仿宋_GB2312" w:hAnsi="仿宋" w:eastAsia="仿宋_GB2312"/>
          <w:sz w:val="32"/>
          <w:szCs w:val="32"/>
        </w:rPr>
        <w:t>由市发展改革委会同市工信局等部门组织实施。</w:t>
      </w:r>
      <w:r>
        <w:rPr>
          <w:rFonts w:hint="eastAsia" w:ascii="仿宋_GB2312" w:hAnsi="仿宋" w:eastAsia="仿宋_GB2312"/>
          <w:b/>
          <w:bCs/>
          <w:sz w:val="32"/>
          <w:szCs w:val="32"/>
        </w:rPr>
        <w:t>大宗固体废弃物综合利用示范工程</w:t>
      </w:r>
      <w:r>
        <w:rPr>
          <w:rFonts w:hint="eastAsia" w:ascii="仿宋_GB2312" w:hAnsi="仿宋" w:eastAsia="仿宋_GB2312"/>
          <w:sz w:val="32"/>
          <w:szCs w:val="32"/>
        </w:rPr>
        <w:t>由市发展改革委、工信局会同</w:t>
      </w:r>
      <w:r>
        <w:rPr>
          <w:rFonts w:hint="eastAsia" w:ascii="仿宋_GB2312" w:hAnsi="仿宋" w:eastAsia="仿宋_GB2312"/>
          <w:sz w:val="32"/>
          <w:szCs w:val="32"/>
          <w:lang w:eastAsia="zh-Hans"/>
        </w:rPr>
        <w:t>市政园林局、</w:t>
      </w:r>
      <w:r>
        <w:rPr>
          <w:rFonts w:hint="eastAsia" w:ascii="仿宋_GB2312" w:hAnsi="仿宋" w:eastAsia="仿宋_GB2312"/>
          <w:sz w:val="32"/>
          <w:szCs w:val="32"/>
        </w:rPr>
        <w:t>生态环境局、农业农村局等部门组织实施。</w:t>
      </w:r>
      <w:r>
        <w:rPr>
          <w:rFonts w:hint="eastAsia" w:ascii="仿宋_GB2312" w:hAnsi="仿宋" w:eastAsia="仿宋_GB2312"/>
          <w:b/>
          <w:bCs/>
          <w:sz w:val="32"/>
          <w:szCs w:val="32"/>
        </w:rPr>
        <w:t>城市废旧物资循环利用体系建设工程</w:t>
      </w:r>
      <w:r>
        <w:rPr>
          <w:rFonts w:hint="eastAsia" w:ascii="仿宋_GB2312" w:hAnsi="仿宋" w:eastAsia="仿宋_GB2312"/>
          <w:sz w:val="32"/>
          <w:szCs w:val="32"/>
        </w:rPr>
        <w:t>由市发展改革委、商务局、生态环境局会同自然资源局、工信局、住建局、市场监管局、</w:t>
      </w:r>
      <w:r>
        <w:rPr>
          <w:rFonts w:hint="eastAsia" w:ascii="仿宋_GB2312" w:eastAsia="仿宋_GB2312"/>
          <w:sz w:val="32"/>
          <w:szCs w:val="32"/>
        </w:rPr>
        <w:t>司法局、供销社，南宁邮政管理局</w:t>
      </w:r>
      <w:r>
        <w:rPr>
          <w:rFonts w:hint="eastAsia" w:ascii="仿宋_GB2312" w:hAnsi="仿宋" w:eastAsia="仿宋_GB2312"/>
          <w:sz w:val="32"/>
          <w:szCs w:val="32"/>
        </w:rPr>
        <w:t>等部门组织实施。</w:t>
      </w:r>
      <w:r>
        <w:rPr>
          <w:rFonts w:hint="eastAsia" w:ascii="仿宋_GB2312" w:hAnsi="仿宋" w:eastAsia="仿宋_GB2312"/>
          <w:b/>
          <w:bCs/>
          <w:sz w:val="32"/>
          <w:szCs w:val="32"/>
        </w:rPr>
        <w:t>建筑垃圾资源化利用示范工程</w:t>
      </w:r>
      <w:r>
        <w:rPr>
          <w:rFonts w:hint="eastAsia" w:ascii="仿宋_GB2312" w:hAnsi="仿宋" w:eastAsia="仿宋_GB2312"/>
          <w:sz w:val="32"/>
          <w:szCs w:val="32"/>
        </w:rPr>
        <w:t>由市市政园林局会同市住建局、发展改革委等部门组织实施。</w:t>
      </w:r>
      <w:r>
        <w:rPr>
          <w:rFonts w:hint="eastAsia" w:ascii="仿宋_GB2312" w:hAnsi="仿宋" w:eastAsia="仿宋_GB2312"/>
          <w:b/>
          <w:bCs/>
          <w:sz w:val="32"/>
          <w:szCs w:val="32"/>
        </w:rPr>
        <w:t>废旧车用电池循环利用工程</w:t>
      </w:r>
      <w:r>
        <w:rPr>
          <w:rFonts w:hint="eastAsia" w:ascii="仿宋_GB2312" w:hAnsi="仿宋" w:eastAsia="仿宋_GB2312"/>
          <w:sz w:val="32"/>
          <w:szCs w:val="32"/>
        </w:rPr>
        <w:t>由市工信局会同市发展改革委、生态环境局等部门组织实施。</w:t>
      </w:r>
      <w:r>
        <w:rPr>
          <w:rFonts w:hint="eastAsia" w:ascii="仿宋_GB2312" w:hAnsi="仿宋" w:eastAsia="仿宋_GB2312"/>
          <w:b/>
          <w:bCs/>
          <w:sz w:val="32"/>
          <w:szCs w:val="32"/>
        </w:rPr>
        <w:t>再制造产业高质量发展工程</w:t>
      </w:r>
      <w:r>
        <w:rPr>
          <w:rFonts w:hint="eastAsia" w:ascii="仿宋_GB2312" w:hAnsi="仿宋" w:eastAsia="仿宋_GB2312"/>
          <w:sz w:val="32"/>
          <w:szCs w:val="32"/>
        </w:rPr>
        <w:t>由市发展改革委、工信局会同有关部门组织实施。</w:t>
      </w:r>
      <w:r>
        <w:rPr>
          <w:rFonts w:hint="eastAsia" w:ascii="仿宋_GB2312" w:hAnsi="仿宋" w:eastAsia="仿宋_GB2312"/>
          <w:b/>
          <w:sz w:val="32"/>
          <w:szCs w:val="32"/>
        </w:rPr>
        <w:t>农林废弃物循环经济示范工程</w:t>
      </w:r>
      <w:r>
        <w:rPr>
          <w:rFonts w:hint="eastAsia" w:ascii="仿宋_GB2312" w:hAnsi="仿宋" w:eastAsia="仿宋_GB2312"/>
          <w:sz w:val="32"/>
          <w:szCs w:val="32"/>
        </w:rPr>
        <w:t>由市农业农村局、林业局等有关部门组织实施。</w:t>
      </w:r>
      <w:r>
        <w:rPr>
          <w:rFonts w:hint="eastAsia" w:ascii="仿宋_GB2312" w:hAnsi="仿宋" w:eastAsia="仿宋_GB2312"/>
          <w:b/>
          <w:bCs/>
          <w:sz w:val="32"/>
          <w:szCs w:val="32"/>
        </w:rPr>
        <w:t>废弃电器电子产品回收利用提质行动</w:t>
      </w:r>
      <w:r>
        <w:rPr>
          <w:rFonts w:hint="eastAsia" w:ascii="仿宋_GB2312" w:hAnsi="仿宋" w:eastAsia="仿宋_GB2312"/>
          <w:sz w:val="32"/>
          <w:szCs w:val="32"/>
        </w:rPr>
        <w:t>由市发展改革委、生态环境局会同市工信局、商务局、供销社等部门组织实施。</w:t>
      </w:r>
      <w:r>
        <w:rPr>
          <w:rFonts w:hint="eastAsia" w:ascii="仿宋_GB2312" w:hAnsi="仿宋" w:eastAsia="仿宋_GB2312"/>
          <w:b/>
          <w:bCs/>
          <w:sz w:val="32"/>
          <w:szCs w:val="32"/>
        </w:rPr>
        <w:t>汽车使用全生命周期管理推进行动</w:t>
      </w:r>
      <w:r>
        <w:rPr>
          <w:rFonts w:hint="eastAsia" w:ascii="仿宋_GB2312" w:hAnsi="仿宋" w:eastAsia="仿宋_GB2312"/>
          <w:sz w:val="32"/>
          <w:szCs w:val="32"/>
        </w:rPr>
        <w:t>由市发展改革委、商务局会同工信局、大数据发展局、公安局、生态环境局、交通运输局，邕州海关等部门组织实施。</w:t>
      </w:r>
      <w:r>
        <w:rPr>
          <w:rFonts w:hint="eastAsia" w:ascii="仿宋_GB2312" w:hAnsi="仿宋" w:eastAsia="仿宋_GB2312"/>
          <w:b/>
          <w:bCs/>
          <w:sz w:val="32"/>
          <w:szCs w:val="32"/>
        </w:rPr>
        <w:t>塑料污染全链条治理行动</w:t>
      </w:r>
      <w:r>
        <w:rPr>
          <w:rFonts w:hint="eastAsia" w:ascii="仿宋_GB2312" w:hAnsi="仿宋" w:eastAsia="仿宋_GB2312"/>
          <w:sz w:val="32"/>
          <w:szCs w:val="32"/>
        </w:rPr>
        <w:t>由市发展改革委、生态环境局会同市工信局、商务局、农业农村局、市场监管局、供销社等部门组织实施。</w:t>
      </w:r>
      <w:r>
        <w:rPr>
          <w:rFonts w:hint="eastAsia" w:ascii="仿宋_GB2312" w:hAnsi="仿宋" w:eastAsia="仿宋_GB2312"/>
          <w:b/>
          <w:bCs/>
          <w:sz w:val="32"/>
          <w:szCs w:val="32"/>
        </w:rPr>
        <w:t>快递包装绿色转型升级行动</w:t>
      </w:r>
      <w:r>
        <w:rPr>
          <w:rFonts w:hint="eastAsia" w:ascii="仿宋_GB2312" w:hAnsi="仿宋" w:eastAsia="仿宋_GB2312"/>
          <w:sz w:val="32"/>
          <w:szCs w:val="32"/>
        </w:rPr>
        <w:t>由市发展改革委、邮政</w:t>
      </w:r>
      <w:r>
        <w:rPr>
          <w:rFonts w:hint="eastAsia" w:ascii="仿宋_GB2312" w:hAnsi="仿宋" w:eastAsia="仿宋_GB2312"/>
          <w:sz w:val="32"/>
          <w:szCs w:val="32"/>
          <w:lang w:eastAsia="zh-Hans"/>
        </w:rPr>
        <w:t>管理</w:t>
      </w:r>
      <w:r>
        <w:rPr>
          <w:rFonts w:hint="eastAsia" w:ascii="仿宋_GB2312" w:hAnsi="仿宋" w:eastAsia="仿宋_GB2312"/>
          <w:sz w:val="32"/>
          <w:szCs w:val="32"/>
        </w:rPr>
        <w:t>局会同市工信局、生态环境局、交通运输局、商务局、市场监管局等部门组织实施。</w:t>
      </w:r>
      <w:r>
        <w:rPr>
          <w:rFonts w:hint="eastAsia" w:ascii="仿宋_GB2312" w:hAnsi="仿宋" w:eastAsia="仿宋_GB2312"/>
          <w:b/>
          <w:bCs/>
          <w:sz w:val="32"/>
          <w:szCs w:val="32"/>
        </w:rPr>
        <w:t>循环经济关键技术和装备攻坚行动</w:t>
      </w:r>
      <w:r>
        <w:rPr>
          <w:rFonts w:hint="eastAsia" w:ascii="仿宋_GB2312" w:hAnsi="仿宋" w:eastAsia="仿宋_GB2312"/>
          <w:sz w:val="32"/>
          <w:szCs w:val="32"/>
        </w:rPr>
        <w:t>由市科技局会同市发展改革委、工信局等部门组织实施。</w:t>
      </w:r>
    </w:p>
    <w:p>
      <w:pPr>
        <w:adjustRightInd w:val="0"/>
        <w:snapToGrid w:val="0"/>
        <w:spacing w:line="560" w:lineRule="exact"/>
        <w:ind w:firstLine="640" w:firstLineChars="200"/>
        <w:rPr>
          <w:rFonts w:hint="eastAsia" w:ascii="仿宋" w:hAnsi="仿宋" w:eastAsia="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24"/>
                            </w:rPr>
                          </w:pPr>
                          <w:r>
                            <w:rPr>
                              <w:szCs w:val="21"/>
                            </w:rPr>
                            <w:fldChar w:fldCharType="begin"/>
                          </w:r>
                          <w:r>
                            <w:rPr>
                              <w:szCs w:val="21"/>
                            </w:rPr>
                            <w:instrText xml:space="preserve"> PAGE  \* MERGEFORMAT </w:instrText>
                          </w:r>
                          <w:r>
                            <w:rPr>
                              <w:szCs w:val="21"/>
                            </w:rPr>
                            <w:fldChar w:fldCharType="separate"/>
                          </w:r>
                          <w:r>
                            <w:rPr>
                              <w:szCs w:val="21"/>
                            </w:rPr>
                            <w:t>2</w:t>
                          </w:r>
                          <w:r>
                            <w:rPr>
                              <w:szCs w:val="21"/>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snapToGrid w:val="0"/>
                      <w:rPr>
                        <w:sz w:val="24"/>
                      </w:rPr>
                    </w:pPr>
                    <w:r>
                      <w:rPr>
                        <w:szCs w:val="21"/>
                      </w:rPr>
                      <w:fldChar w:fldCharType="begin"/>
                    </w:r>
                    <w:r>
                      <w:rPr>
                        <w:szCs w:val="21"/>
                      </w:rPr>
                      <w:instrText xml:space="preserve"> PAGE  \* MERGEFORMAT </w:instrText>
                    </w:r>
                    <w:r>
                      <w:rPr>
                        <w:szCs w:val="21"/>
                      </w:rPr>
                      <w:fldChar w:fldCharType="separate"/>
                    </w:r>
                    <w:r>
                      <w:rPr>
                        <w:szCs w:val="21"/>
                      </w:rPr>
                      <w:t>2</w:t>
                    </w:r>
                    <w:r>
                      <w:rPr>
                        <w:szCs w:val="21"/>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30"/>
                              <w:szCs w:val="30"/>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C5UTbT2AEAALADAAAOAAAAAAAAAAEAIAAA&#10;AB4BAABkcnMvZTJvRG9jLnhtbFBLBQYAAAAABgAGAFkBAABoBQAAAAA=&#10;">
              <v:fill on="f" focussize="0,0"/>
              <v:stroke on="f"/>
              <v:imagedata o:title=""/>
              <o:lock v:ext="edit" aspectratio="f"/>
              <v:textbox inset="0mm,0mm,0mm,0mm" style="mso-fit-shape-to-text:t;">
                <w:txbxContent>
                  <w:p>
                    <w:pPr>
                      <w:snapToGrid w:val="0"/>
                      <w:rPr>
                        <w:sz w:val="30"/>
                        <w:szCs w:val="3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55</w:t>
    </w:r>
    <w:r>
      <w:rPr>
        <w:sz w:val="24"/>
        <w:szCs w:val="24"/>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F67FA"/>
    <w:multiLevelType w:val="singleLevel"/>
    <w:tmpl w:val="F5FF67FA"/>
    <w:lvl w:ilvl="0" w:tentative="0">
      <w:start w:val="5"/>
      <w:numFmt w:val="decimal"/>
      <w:suff w:val="space"/>
      <w:lvlText w:val="%1."/>
      <w:lvlJc w:val="left"/>
    </w:lvl>
  </w:abstractNum>
  <w:abstractNum w:abstractNumId="1">
    <w:nsid w:val="04A96AB4"/>
    <w:multiLevelType w:val="singleLevel"/>
    <w:tmpl w:val="04A96AB4"/>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799876D2"/>
    <w:rsid w:val="2135731C"/>
    <w:rsid w:val="79987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pPr>
      <w:autoSpaceDE w:val="0"/>
      <w:autoSpaceDN w:val="0"/>
      <w:ind w:left="475"/>
      <w:jc w:val="left"/>
    </w:pPr>
    <w:rPr>
      <w:rFonts w:ascii="宋体" w:hAnsi="宋体" w:eastAsia="宋体" w:cs="宋体"/>
      <w:kern w:val="0"/>
      <w:sz w:val="28"/>
      <w:szCs w:val="28"/>
    </w:rPr>
  </w:style>
  <w:style w:type="paragraph" w:styleId="3">
    <w:name w:val="Title"/>
    <w:basedOn w:val="1"/>
    <w:next w:val="1"/>
    <w:qFormat/>
    <w:uiPriority w:val="0"/>
    <w:pPr>
      <w:jc w:val="center"/>
      <w:outlineLvl w:val="0"/>
    </w:pPr>
    <w:rPr>
      <w:rFonts w:ascii="等线 Light" w:hAnsi="等线 Light" w:eastAsia="方正小标宋简体" w:cs="Times New Roman"/>
      <w:b/>
      <w:bCs/>
      <w:sz w:val="44"/>
      <w:szCs w:val="32"/>
    </w:r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toc 1"/>
    <w:basedOn w:val="1"/>
    <w:next w:val="1"/>
    <w:unhideWhenUsed/>
    <w:qFormat/>
    <w:uiPriority w:val="39"/>
    <w:rPr>
      <w:rFonts w:ascii="Times New Roman" w:hAnsi="Times New Roman" w:eastAsia="宋体" w:cs="Times New Roman"/>
    </w:rPr>
  </w:style>
  <w:style w:type="paragraph" w:styleId="6">
    <w:name w:val="toc 2"/>
    <w:basedOn w:val="1"/>
    <w:next w:val="1"/>
    <w:unhideWhenUsed/>
    <w:qFormat/>
    <w:uiPriority w:val="39"/>
    <w:pPr>
      <w:ind w:left="420" w:leftChars="200"/>
    </w:pPr>
    <w:rPr>
      <w:rFonts w:ascii="Times New Roman" w:hAnsi="Times New Roman" w:eastAsia="宋体" w:cs="Times New Roman"/>
    </w:rPr>
  </w:style>
  <w:style w:type="paragraph" w:customStyle="1" w:styleId="9">
    <w:name w:val="正文缩进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19542</Words>
  <Characters>19846</Characters>
  <Lines>0</Lines>
  <Paragraphs>0</Paragraphs>
  <TotalTime>4</TotalTime>
  <ScaleCrop>false</ScaleCrop>
  <LinksUpToDate>false</LinksUpToDate>
  <CharactersWithSpaces>19983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2022-03-08T09:51:00Z</dcterms:created>
  <dc:creator>星光</dc:creator>
  <cp:lastModifiedBy>记忆盗记法</cp:lastModifiedBy>
  <dcterms:modified xsi:type="dcterms:W3CDTF">2022-11-09T09:28:42Z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EBB09383F9B9469AB4FEE95483EC00E8</vt:lpwstr>
  </property>
</Properties>
</file>