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60" w:lineRule="exact"/>
        <w:jc w:val="center"/>
        <w:rPr>
          <w:rFonts w:hint="eastAsia" w:ascii="方正小标宋简体" w:hAnsi="宋体" w:eastAsia="方正小标宋简体" w:cs="宋体"/>
          <w:bCs/>
          <w:color w:val="auto"/>
          <w:sz w:val="44"/>
          <w:szCs w:val="44"/>
          <w:highlight w:val="none"/>
          <w:u w:val="none"/>
        </w:rPr>
      </w:pPr>
      <w:r>
        <w:rPr>
          <w:rFonts w:hint="eastAsia" w:ascii="方正小标宋简体" w:hAnsi="宋体" w:eastAsia="方正小标宋简体" w:cs="宋体"/>
          <w:bCs/>
          <w:color w:val="auto"/>
          <w:sz w:val="44"/>
          <w:szCs w:val="44"/>
          <w:highlight w:val="none"/>
          <w:u w:val="none"/>
        </w:rPr>
        <w:t>关于《</w:t>
      </w:r>
      <w:r>
        <w:rPr>
          <w:rFonts w:hint="eastAsia" w:ascii="方正小标宋简体" w:hAnsi="方正小标宋简体" w:eastAsia="方正小标宋简体" w:cs="方正小标宋简体"/>
          <w:color w:val="auto"/>
          <w:sz w:val="44"/>
          <w:szCs w:val="44"/>
          <w:highlight w:val="none"/>
          <w:u w:val="none"/>
        </w:rPr>
        <w:t>关于支持氢能场景建设的若干措施</w:t>
      </w:r>
      <w:r>
        <w:rPr>
          <w:rFonts w:hint="eastAsia" w:ascii="方正小标宋简体" w:hAnsi="宋体" w:eastAsia="方正小标宋简体" w:cs="宋体"/>
          <w:bCs/>
          <w:color w:val="auto"/>
          <w:sz w:val="44"/>
          <w:szCs w:val="44"/>
          <w:highlight w:val="none"/>
          <w:u w:val="none"/>
        </w:rPr>
        <w:t>》的起草说明</w:t>
      </w:r>
    </w:p>
    <w:p>
      <w:pPr>
        <w:pStyle w:val="19"/>
        <w:spacing w:line="660" w:lineRule="exact"/>
        <w:ind w:firstLine="640"/>
        <w:rPr>
          <w:rFonts w:hint="eastAsia"/>
          <w:color w:val="auto"/>
          <w:highlight w:val="none"/>
          <w:u w:val="none"/>
        </w:rPr>
      </w:pPr>
    </w:p>
    <w:p>
      <w:pPr>
        <w:pStyle w:val="19"/>
        <w:spacing w:after="0"/>
        <w:ind w:firstLine="640"/>
        <w:rPr>
          <w:rFonts w:ascii="Times New Roman" w:hAnsi="Times New Roman"/>
          <w:color w:val="auto"/>
          <w:highlight w:val="none"/>
          <w:u w:val="none"/>
        </w:rPr>
      </w:pPr>
      <w:r>
        <w:rPr>
          <w:rFonts w:ascii="Times New Roman" w:hAnsi="Times New Roman"/>
          <w:color w:val="auto"/>
          <w:highlight w:val="none"/>
          <w:u w:val="none"/>
        </w:rPr>
        <w:t>现就《</w:t>
      </w:r>
      <w:r>
        <w:rPr>
          <w:rFonts w:hint="eastAsia" w:ascii="Times New Roman" w:hAnsi="Times New Roman" w:eastAsia="仿宋_GB2312" w:cs="Times New Roman"/>
          <w:color w:val="auto"/>
          <w:sz w:val="32"/>
          <w:szCs w:val="20"/>
          <w:highlight w:val="none"/>
          <w:u w:val="none"/>
        </w:rPr>
        <w:t>关于支持氢能场景建设的若干措施</w:t>
      </w:r>
      <w:r>
        <w:rPr>
          <w:rFonts w:ascii="Times New Roman" w:hAnsi="Times New Roman"/>
          <w:color w:val="auto"/>
          <w:highlight w:val="none"/>
          <w:u w:val="none"/>
        </w:rPr>
        <w:t>》（以下简称《若干措施》）的编制情况作如下说明：</w:t>
      </w:r>
    </w:p>
    <w:p>
      <w:pPr>
        <w:pStyle w:val="16"/>
        <w:numPr>
          <w:ilvl w:val="0"/>
          <w:numId w:val="1"/>
        </w:numPr>
        <w:spacing w:after="0" w:line="560" w:lineRule="exact"/>
        <w:ind w:firstLine="640"/>
        <w:rPr>
          <w:rFonts w:ascii="Times New Roman" w:hAnsi="Times New Roman" w:eastAsia="黑体"/>
          <w:color w:val="auto"/>
          <w:sz w:val="32"/>
          <w:highlight w:val="none"/>
          <w:u w:val="none"/>
        </w:rPr>
      </w:pPr>
      <w:r>
        <w:rPr>
          <w:rFonts w:hint="eastAsia" w:ascii="Times New Roman" w:hAnsi="Times New Roman" w:eastAsia="黑体"/>
          <w:color w:val="auto"/>
          <w:sz w:val="32"/>
          <w:highlight w:val="none"/>
          <w:u w:val="none"/>
        </w:rPr>
        <w:t>编制背景</w:t>
      </w:r>
    </w:p>
    <w:p>
      <w:pPr>
        <w:pStyle w:val="6"/>
        <w:spacing w:after="0" w:line="560" w:lineRule="exact"/>
        <w:ind w:left="0" w:leftChars="0" w:firstLine="800" w:firstLineChars="250"/>
        <w:rPr>
          <w:rFonts w:hint="eastAsia" w:ascii="Times New Roman" w:hAnsi="Times New Roman" w:eastAsia="仿宋_GB2312" w:cs="仿宋_GB2312"/>
          <w:color w:val="auto"/>
          <w:sz w:val="32"/>
          <w:szCs w:val="32"/>
          <w:highlight w:val="none"/>
          <w:u w:val="none"/>
          <w:lang w:val="en"/>
        </w:rPr>
      </w:pPr>
      <w:r>
        <w:rPr>
          <w:rFonts w:hint="eastAsia" w:ascii="Times New Roman" w:hAnsi="Times New Roman" w:eastAsia="仿宋_GB2312" w:cs="仿宋_GB2312"/>
          <w:color w:val="auto"/>
          <w:sz w:val="32"/>
          <w:szCs w:val="32"/>
          <w:highlight w:val="none"/>
          <w:u w:val="none"/>
          <w:lang w:val="en"/>
        </w:rPr>
        <w:t>在实施碳达峰碳中和战略背景下，氢能是未来国家能源体系重要组成部分和终端绿色低碳重要载体，属于未来产业重点发展方向。2025年，《中华人民共和国能源法》施行，将氢能纳入能源范围，明确积极有序推进氢能开发利用。2026年3月，《</w:t>
      </w:r>
      <w:r>
        <w:rPr>
          <w:rFonts w:ascii="Times New Roman" w:hAnsi="Times New Roman" w:eastAsia="仿宋_GB2312" w:cs="仿宋_GB2312"/>
          <w:color w:val="auto"/>
          <w:sz w:val="32"/>
          <w:szCs w:val="32"/>
          <w:highlight w:val="none"/>
          <w:u w:val="none"/>
          <w:lang w:val="en"/>
        </w:rPr>
        <w:t>中华人民共和国国民经济和社会发展第十五个五年规划纲要</w:t>
      </w:r>
      <w:r>
        <w:rPr>
          <w:rFonts w:hint="eastAsia" w:ascii="Times New Roman" w:hAnsi="Times New Roman" w:eastAsia="仿宋_GB2312" w:cs="仿宋_GB2312"/>
          <w:color w:val="auto"/>
          <w:sz w:val="32"/>
          <w:szCs w:val="32"/>
          <w:highlight w:val="none"/>
          <w:u w:val="none"/>
          <w:lang w:val="en"/>
        </w:rPr>
        <w:t>》进一步提出推动氢能和核聚变能等成为新的经济增长点。同期，国务院政府工作报告提出培育发展未来能源等未来产业；在绿色低碳经济部分明确设立国家低碳转型基金，培育氢能、绿色燃料等新增长点。工业和信息化部、财政部、国家发展改革委印发《关于开展氢能综合应用试点工作的通知》，提出到2030年城市群氢能多元领域规模化应用、终端用氢平均价格降至25元/千克以下、部分优势地区力争15元/千克左右，全国燃料电池汽车保有量较2025年翻一番、力争达到10万辆。</w:t>
      </w:r>
    </w:p>
    <w:p>
      <w:pPr>
        <w:pStyle w:val="6"/>
        <w:spacing w:after="0" w:line="560" w:lineRule="exact"/>
        <w:ind w:left="0" w:leftChars="0" w:firstLine="640" w:firstLineChars="200"/>
        <w:rPr>
          <w:rFonts w:hint="eastAsia" w:ascii="Times New Roman" w:hAnsi="Times New Roman" w:eastAsia="仿宋_GB2312" w:cs="仿宋_GB2312"/>
          <w:color w:val="auto"/>
          <w:sz w:val="32"/>
          <w:szCs w:val="32"/>
          <w:highlight w:val="none"/>
          <w:u w:val="none"/>
          <w:lang w:val="en"/>
        </w:rPr>
      </w:pPr>
      <w:r>
        <w:rPr>
          <w:rFonts w:hint="eastAsia" w:ascii="Times New Roman" w:hAnsi="Times New Roman" w:eastAsia="仿宋_GB2312" w:cs="仿宋_GB2312"/>
          <w:color w:val="auto"/>
          <w:sz w:val="32"/>
          <w:szCs w:val="32"/>
          <w:highlight w:val="none"/>
          <w:u w:val="none"/>
          <w:lang w:val="en"/>
        </w:rPr>
        <w:t>2026年4月，《广东省国民经济和社会发展第十五个五年规划纲要》明确在广州重点发展氢能高端装备与核心材料，突破燃料电池、高效水电解槽，发展固体氧化物燃料电池和氢氨融合；支持广州牵头开展氢能综合应用，加快培育“制储运加用”全产业链。自2024年起，广州市实施了《加快推动氢能产业高质量发展若干措施》，重点支持加氢站建设与运营、核心技术攻关、关键零部件产业化以及燃料电池车辆运营等领域。同时，广州市还出台了《支持氢能产业发展资金管理办法》，围绕燃料电池国产关键零部件工程化验证与本地化替代，对通过评审的创新联合体给予2000万元专项资金支持，加快推动核心部件自主可控。印发《推动智能网联新能源汽车产业发展三年行动计划》，对政策期内新购上牌、符合技术先进性并接入示范信息平台的前5000辆燃料电池汽车给予购置补贴。当前广州市氢能产业在搭建产业服务平台、基础设施建设、产业技术创新、产业推广应用等方面取得一定成效，形成良好发展氛围，但是在全产业链协同、织密氢能基础设施网络、氢燃料电池汽车规模化推广等方面还需进一步加强。</w:t>
      </w:r>
    </w:p>
    <w:p>
      <w:pPr>
        <w:pStyle w:val="6"/>
        <w:spacing w:after="0" w:line="560" w:lineRule="exact"/>
        <w:ind w:left="0" w:leftChars="0" w:firstLine="640" w:firstLineChars="200"/>
        <w:rPr>
          <w:rFonts w:hint="eastAsia" w:ascii="Times New Roman" w:hAnsi="Times New Roman" w:eastAsia="仿宋_GB2312" w:cs="仿宋_GB2312"/>
          <w:color w:val="auto"/>
          <w:sz w:val="32"/>
          <w:szCs w:val="32"/>
          <w:highlight w:val="none"/>
          <w:u w:val="none"/>
          <w:lang w:eastAsia="zh-CN"/>
        </w:rPr>
      </w:pPr>
      <w:r>
        <w:rPr>
          <w:rFonts w:hint="eastAsia" w:ascii="Times New Roman" w:hAnsi="Times New Roman" w:eastAsia="仿宋_GB2312" w:cs="仿宋_GB2312"/>
          <w:color w:val="auto"/>
          <w:sz w:val="32"/>
          <w:szCs w:val="32"/>
          <w:highlight w:val="none"/>
          <w:u w:val="none"/>
          <w:lang w:val="en"/>
        </w:rPr>
        <w:t>为全面贯彻落实国家能源安全新战略与“双碳”目标部署，落实国家、省、市关于加快氢能产业高质量发展的工作部署和要求，抢抓全球氢能产业发展机遇，打造氢能产业高地，有力支撑新型能源体系建设，根据《氢能产业发展中长期规划（2021-2035年）》、《关于同意京津冀等5个城市群开展氢能综合应用试点工作的通知》等政策文件，充分衔接国家氢能产业发展中长期规划、燃料电池汽车示范应用、新型能源体系建设及</w:t>
      </w:r>
      <w:r>
        <w:rPr>
          <w:rFonts w:hint="eastAsia" w:ascii="Times New Roman" w:hAnsi="Times New Roman" w:eastAsia="仿宋_GB2312" w:cs="仿宋_GB2312"/>
          <w:color w:val="auto"/>
          <w:sz w:val="32"/>
          <w:szCs w:val="32"/>
          <w:highlight w:val="none"/>
          <w:u w:val="none"/>
          <w:lang w:val="en" w:eastAsia="zh-CN"/>
        </w:rPr>
        <w:t>《</w:t>
      </w:r>
      <w:r>
        <w:rPr>
          <w:rFonts w:hint="eastAsia" w:ascii="Times New Roman" w:hAnsi="Times New Roman" w:eastAsia="仿宋_GB2312" w:cs="仿宋_GB2312"/>
          <w:color w:val="auto"/>
          <w:sz w:val="32"/>
          <w:szCs w:val="32"/>
          <w:highlight w:val="none"/>
          <w:u w:val="none"/>
          <w:lang w:val="en"/>
        </w:rPr>
        <w:t>广州市国民经济和社会发展第十五个五年规划纲要</w:t>
      </w:r>
      <w:r>
        <w:rPr>
          <w:rFonts w:hint="eastAsia" w:ascii="Times New Roman" w:hAnsi="Times New Roman" w:eastAsia="仿宋_GB2312" w:cs="仿宋_GB2312"/>
          <w:color w:val="auto"/>
          <w:sz w:val="32"/>
          <w:szCs w:val="32"/>
          <w:highlight w:val="none"/>
          <w:u w:val="none"/>
          <w:lang w:val="en" w:eastAsia="zh-CN"/>
        </w:rPr>
        <w:t>》</w:t>
      </w:r>
      <w:r>
        <w:rPr>
          <w:rFonts w:hint="eastAsia" w:ascii="Times New Roman" w:hAnsi="Times New Roman" w:eastAsia="仿宋_GB2312" w:cs="仿宋_GB2312"/>
          <w:color w:val="auto"/>
          <w:sz w:val="32"/>
          <w:szCs w:val="32"/>
          <w:highlight w:val="none"/>
          <w:u w:val="none"/>
          <w:lang w:val="en"/>
        </w:rPr>
        <w:t>等文件精神，</w:t>
      </w:r>
      <w:r>
        <w:rPr>
          <w:rFonts w:hint="eastAsia" w:ascii="Times New Roman" w:hAnsi="Times New Roman" w:eastAsia="仿宋_GB2312" w:cs="仿宋_GB2312"/>
          <w:b w:val="0"/>
          <w:bCs w:val="0"/>
          <w:color w:val="auto"/>
          <w:sz w:val="32"/>
          <w:szCs w:val="32"/>
          <w:highlight w:val="none"/>
          <w:u w:val="none"/>
          <w:lang w:val="en"/>
        </w:rPr>
        <w:t>协同衔接《关于加快推动氢能产业高质量发展的若干措施》，形成政策互补联动，</w:t>
      </w:r>
      <w:r>
        <w:rPr>
          <w:rFonts w:hint="eastAsia" w:ascii="Times New Roman" w:hAnsi="Times New Roman" w:eastAsia="仿宋_GB2312" w:cs="仿宋_GB2312"/>
          <w:color w:val="auto"/>
          <w:sz w:val="32"/>
          <w:szCs w:val="32"/>
          <w:highlight w:val="none"/>
          <w:u w:val="none"/>
          <w:lang w:val="en"/>
        </w:rPr>
        <w:t>立足广州作为超大城市、能源需求密集、交通物流场景丰富但氢能产业仍处培育期的实际，特编制此《若干措施》</w:t>
      </w:r>
      <w:r>
        <w:rPr>
          <w:rFonts w:hint="eastAsia" w:ascii="Times New Roman" w:hAnsi="Times New Roman" w:eastAsia="仿宋_GB2312" w:cs="仿宋_GB2312"/>
          <w:color w:val="auto"/>
          <w:sz w:val="32"/>
          <w:szCs w:val="32"/>
          <w:highlight w:val="none"/>
          <w:u w:val="none"/>
          <w:lang w:val="en" w:eastAsia="zh-CN"/>
        </w:rPr>
        <w:t>。</w:t>
      </w:r>
    </w:p>
    <w:p>
      <w:pPr>
        <w:pStyle w:val="16"/>
        <w:numPr>
          <w:ilvl w:val="255"/>
          <w:numId w:val="0"/>
        </w:numPr>
        <w:spacing w:after="0" w:line="560" w:lineRule="exact"/>
        <w:ind w:left="420" w:leftChars="200"/>
        <w:rPr>
          <w:rFonts w:ascii="Times New Roman" w:hAnsi="Times New Roman" w:eastAsia="黑体"/>
          <w:color w:val="auto"/>
          <w:sz w:val="32"/>
          <w:highlight w:val="none"/>
          <w:u w:val="none"/>
        </w:rPr>
      </w:pPr>
      <w:r>
        <w:rPr>
          <w:rFonts w:hint="eastAsia" w:ascii="Times New Roman" w:hAnsi="Times New Roman" w:eastAsia="黑体"/>
          <w:bCs/>
          <w:color w:val="auto"/>
          <w:sz w:val="32"/>
          <w:szCs w:val="32"/>
          <w:highlight w:val="none"/>
          <w:u w:val="none"/>
        </w:rPr>
        <w:t xml:space="preserve"> 二、</w:t>
      </w:r>
      <w:r>
        <w:rPr>
          <w:rFonts w:ascii="Times New Roman" w:hAnsi="Times New Roman" w:eastAsia="黑体"/>
          <w:bCs/>
          <w:color w:val="auto"/>
          <w:sz w:val="32"/>
          <w:szCs w:val="32"/>
          <w:highlight w:val="none"/>
          <w:u w:val="none"/>
        </w:rPr>
        <w:t>主要内容</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rPr>
      </w:pPr>
      <w:r>
        <w:rPr>
          <w:rFonts w:hint="eastAsia" w:ascii="Times New Roman" w:hAnsi="Times New Roman" w:eastAsia="仿宋_GB2312"/>
          <w:b w:val="0"/>
          <w:bCs w:val="0"/>
          <w:color w:val="auto"/>
          <w:sz w:val="32"/>
          <w:szCs w:val="20"/>
          <w:highlight w:val="none"/>
          <w:u w:val="none"/>
        </w:rPr>
        <w:t>为深入贯彻国家关于加快氢能产业高质量发展的战略部署，推动氢能产业规模化、商业化应用，着力破解当前产业发展制氢供氢成本偏高、储运加注体系不健全、应用场景释放不足、关键核心技术自主化水平有待提升等瓶颈制约，统筹推进“制储运加用”全链条协同发展，制定本《若干措施》。《若干措施》共九大条，涵盖支持制氢协同布局、提升氢气供应能力、提升氢气运输能力、支持加氢站建设、支持加氢站运营、扩大氢能车辆应用、实施交通绿色替代、优化车辆通行环境、加大财政资金支持、开展多元化示范应用、强化金融支撑、发挥国企引领作用、推行碳减排激励、推动绿色价值转化等举措，力求以场景建设牵引氢能产业集聚发展，以多元政策工具推动氢能规模化商业化应用。</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在扩大氢能车辆应用方面，通过对氢能冷链、渣土、搅拌等商用车辆给予准入、</w:t>
      </w:r>
      <w:r>
        <w:rPr>
          <w:rFonts w:hint="eastAsia" w:ascii="Times New Roman" w:hAnsi="Times New Roman" w:eastAsia="仿宋_GB2312"/>
          <w:b w:val="0"/>
          <w:bCs w:val="0"/>
          <w:color w:val="auto"/>
          <w:sz w:val="32"/>
          <w:szCs w:val="20"/>
          <w:highlight w:val="none"/>
          <w:u w:val="none"/>
          <w:lang w:val="en-US" w:eastAsia="zh-CN"/>
        </w:rPr>
        <w:t>路权</w:t>
      </w:r>
      <w:r>
        <w:rPr>
          <w:rFonts w:hint="eastAsia" w:ascii="Times New Roman" w:hAnsi="Times New Roman" w:eastAsia="仿宋_GB2312"/>
          <w:b w:val="0"/>
          <w:bCs w:val="0"/>
          <w:color w:val="auto"/>
          <w:sz w:val="32"/>
          <w:szCs w:val="20"/>
          <w:highlight w:val="none"/>
          <w:u w:val="none"/>
          <w:lang w:eastAsia="zh-CN"/>
        </w:rPr>
        <w:t>倾斜，</w:t>
      </w:r>
      <w:r>
        <w:rPr>
          <w:rFonts w:hint="eastAsia" w:ascii="Times New Roman" w:hAnsi="Times New Roman" w:eastAsia="仿宋_GB2312"/>
          <w:b w:val="0"/>
          <w:bCs w:val="0"/>
          <w:color w:val="auto"/>
          <w:sz w:val="32"/>
          <w:szCs w:val="20"/>
          <w:highlight w:val="none"/>
          <w:u w:val="none"/>
          <w:lang w:val="en-US" w:eastAsia="zh-CN"/>
        </w:rPr>
        <w:t>解决</w:t>
      </w:r>
      <w:r>
        <w:rPr>
          <w:rFonts w:hint="eastAsia" w:ascii="Times New Roman" w:hAnsi="Times New Roman" w:eastAsia="仿宋_GB2312"/>
          <w:b w:val="0"/>
          <w:bCs w:val="0"/>
          <w:color w:val="auto"/>
          <w:sz w:val="32"/>
          <w:szCs w:val="20"/>
          <w:highlight w:val="none"/>
          <w:u w:val="none"/>
          <w:lang w:eastAsia="zh-CN"/>
        </w:rPr>
        <w:t>重点场景氢能替代</w:t>
      </w:r>
      <w:r>
        <w:rPr>
          <w:rFonts w:hint="eastAsia" w:ascii="Times New Roman" w:hAnsi="Times New Roman" w:eastAsia="仿宋_GB2312"/>
          <w:b w:val="0"/>
          <w:bCs w:val="0"/>
          <w:color w:val="auto"/>
          <w:sz w:val="32"/>
          <w:szCs w:val="20"/>
          <w:highlight w:val="none"/>
          <w:u w:val="none"/>
          <w:lang w:val="en-US" w:eastAsia="zh-CN"/>
        </w:rPr>
        <w:t>率不高问题</w:t>
      </w:r>
      <w:r>
        <w:rPr>
          <w:rFonts w:hint="eastAsia" w:ascii="Times New Roman" w:hAnsi="Times New Roman" w:eastAsia="仿宋_GB2312"/>
          <w:b w:val="0"/>
          <w:bCs w:val="0"/>
          <w:color w:val="auto"/>
          <w:sz w:val="32"/>
          <w:szCs w:val="20"/>
          <w:highlight w:val="none"/>
          <w:u w:val="none"/>
          <w:lang w:eastAsia="zh-CN"/>
        </w:rPr>
        <w:t>。</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在优化氢能通行管理方面，通过落实放宽城区通行限制、保障氢能船舶优先通航，有效降低运营通行成本、提升通行运营效率，提振市场采购应用意愿，</w:t>
      </w:r>
      <w:r>
        <w:rPr>
          <w:rFonts w:hint="eastAsia" w:ascii="Times New Roman" w:hAnsi="Times New Roman" w:eastAsia="仿宋_GB2312"/>
          <w:b w:val="0"/>
          <w:bCs w:val="0"/>
          <w:color w:val="auto"/>
          <w:sz w:val="32"/>
          <w:szCs w:val="20"/>
          <w:highlight w:val="none"/>
          <w:u w:val="none"/>
          <w:lang w:val="en-US" w:eastAsia="zh-CN"/>
        </w:rPr>
        <w:t>提升氢能应用规模化水平</w:t>
      </w:r>
      <w:r>
        <w:rPr>
          <w:rFonts w:hint="eastAsia" w:ascii="Times New Roman" w:hAnsi="Times New Roman" w:eastAsia="仿宋_GB2312"/>
          <w:b w:val="0"/>
          <w:bCs w:val="0"/>
          <w:color w:val="auto"/>
          <w:sz w:val="32"/>
          <w:szCs w:val="20"/>
          <w:highlight w:val="none"/>
          <w:u w:val="none"/>
          <w:lang w:eastAsia="zh-CN"/>
        </w:rPr>
        <w:t>。</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在拓宽氢能多元应用方面，通过落地交通、船舶、工业技改等多领域氢能专项补贴，有效调动企业投用改造积极性、丰富市场化应用场景，解决氢能应用场景单一、产业规模化降本缓慢的问题。</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在支持制氢协同布局方面，通过简化配套制氢项目审批、放开化工园区外一体站建设限制，有效扩容本地氢</w:t>
      </w:r>
      <w:r>
        <w:rPr>
          <w:rFonts w:hint="eastAsia" w:ascii="Times New Roman" w:hAnsi="Times New Roman" w:eastAsia="仿宋_GB2312"/>
          <w:b w:val="0"/>
          <w:bCs w:val="0"/>
          <w:color w:val="auto"/>
          <w:sz w:val="32"/>
          <w:szCs w:val="20"/>
          <w:highlight w:val="none"/>
          <w:u w:val="none"/>
          <w:lang w:val="en-US" w:eastAsia="zh-CN"/>
        </w:rPr>
        <w:t>气</w:t>
      </w:r>
      <w:r>
        <w:rPr>
          <w:rFonts w:hint="eastAsia" w:ascii="Times New Roman" w:hAnsi="Times New Roman" w:eastAsia="仿宋_GB2312"/>
          <w:b w:val="0"/>
          <w:bCs w:val="0"/>
          <w:color w:val="auto"/>
          <w:sz w:val="32"/>
          <w:szCs w:val="20"/>
          <w:highlight w:val="none"/>
          <w:u w:val="none"/>
          <w:lang w:eastAsia="zh-CN"/>
        </w:rPr>
        <w:t>产能、优化区域供氢布局，解决本地终端用氢成本偏高的问题。</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在提升氢气运输能力方面，通过给予氢能运输装备购置奖励</w:t>
      </w:r>
      <w:bookmarkStart w:id="0" w:name="_GoBack"/>
      <w:bookmarkEnd w:id="0"/>
      <w:r>
        <w:rPr>
          <w:rFonts w:hint="eastAsia" w:ascii="Times New Roman" w:hAnsi="Times New Roman" w:eastAsia="仿宋_GB2312"/>
          <w:b w:val="0"/>
          <w:bCs w:val="0"/>
          <w:color w:val="auto"/>
          <w:sz w:val="32"/>
          <w:szCs w:val="20"/>
          <w:highlight w:val="none"/>
          <w:u w:val="none"/>
          <w:lang w:eastAsia="zh-CN"/>
        </w:rPr>
        <w:t>，有效壮大专业储运运力、压缩流通环节成本，解决储运环节成本偏高的问题。</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在加快氢能设施建设方面，通过放宽建站用地限制、支持设备提档升级、实施阶梯式运营补贴，有效完善加氢站点布局、提升终端服务效能，解决加氢设施配套不足、布局不均、运营效能偏低的问题。</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在强化氢能金融支撑方面，通过创新专项金融产品、落实企业贷款贴息、拓宽基建融资渠道，有效降低企业融资成本、撬动社会资本入局，解决产业融资渠道狭窄、市场参与度不足的问题。</w:t>
      </w:r>
    </w:p>
    <w:p>
      <w:pPr>
        <w:spacing w:after="0" w:line="560" w:lineRule="exact"/>
        <w:ind w:firstLine="640" w:firstLineChars="200"/>
        <w:rPr>
          <w:rFonts w:hint="eastAsia" w:ascii="Times New Roman" w:hAnsi="Times New Roman" w:eastAsia="仿宋_GB2312"/>
          <w:b w:val="0"/>
          <w:bCs w:val="0"/>
          <w:color w:val="auto"/>
          <w:sz w:val="32"/>
          <w:szCs w:val="20"/>
          <w:highlight w:val="none"/>
          <w:u w:val="none"/>
          <w:lang w:eastAsia="zh-CN"/>
        </w:rPr>
      </w:pPr>
      <w:r>
        <w:rPr>
          <w:rFonts w:hint="eastAsia" w:ascii="Times New Roman" w:hAnsi="Times New Roman" w:eastAsia="仿宋_GB2312"/>
          <w:b w:val="0"/>
          <w:bCs w:val="0"/>
          <w:color w:val="auto"/>
          <w:sz w:val="32"/>
          <w:szCs w:val="20"/>
          <w:highlight w:val="none"/>
          <w:u w:val="none"/>
          <w:lang w:eastAsia="zh-CN"/>
        </w:rPr>
        <w:t>在发挥国企引领作用方面，通过压实国企示范应用责任、普及氢能车辆应用、建立考核容错激励机制，有效破除市场观望心态、强化产业示范带动，解决产业动能不足的问题。</w:t>
      </w:r>
    </w:p>
    <w:p>
      <w:pPr>
        <w:spacing w:after="0" w:line="560" w:lineRule="exact"/>
        <w:ind w:firstLine="640" w:firstLineChars="200"/>
        <w:rPr>
          <w:rFonts w:ascii="Times New Roman" w:hAnsi="Times New Roman" w:eastAsia="仿宋_GB2312"/>
          <w:color w:val="auto"/>
          <w:sz w:val="32"/>
          <w:szCs w:val="20"/>
          <w:highlight w:val="none"/>
          <w:u w:val="none"/>
        </w:rPr>
      </w:pPr>
      <w:r>
        <w:rPr>
          <w:rFonts w:hint="eastAsia" w:ascii="Times New Roman" w:hAnsi="Times New Roman" w:eastAsia="仿宋_GB2312"/>
          <w:b w:val="0"/>
          <w:bCs w:val="0"/>
          <w:color w:val="auto"/>
          <w:sz w:val="32"/>
          <w:szCs w:val="20"/>
          <w:highlight w:val="none"/>
          <w:u w:val="none"/>
          <w:lang w:eastAsia="zh-CN"/>
        </w:rPr>
        <w:t>在推动绿色价值转化方面，通过</w:t>
      </w:r>
      <w:r>
        <w:rPr>
          <w:rFonts w:hint="eastAsia" w:ascii="Times New Roman" w:hAnsi="Times New Roman" w:eastAsia="仿宋_GB2312"/>
          <w:b w:val="0"/>
          <w:bCs w:val="0"/>
          <w:color w:val="auto"/>
          <w:sz w:val="32"/>
          <w:szCs w:val="20"/>
          <w:highlight w:val="none"/>
          <w:u w:val="none"/>
          <w:lang w:val="en-US" w:eastAsia="zh-CN"/>
        </w:rPr>
        <w:t>CCER方法</w:t>
      </w:r>
      <w:r>
        <w:rPr>
          <w:rFonts w:hint="eastAsia" w:ascii="Times New Roman" w:hAnsi="Times New Roman" w:eastAsia="仿宋_GB2312"/>
          <w:b w:val="0"/>
          <w:bCs w:val="0"/>
          <w:color w:val="auto"/>
          <w:sz w:val="32"/>
          <w:szCs w:val="20"/>
          <w:highlight w:val="none"/>
          <w:u w:val="none"/>
          <w:lang w:eastAsia="zh-CN"/>
        </w:rPr>
        <w:t>，有效打通氢能绿色价值变现通道，解决氢能低碳效益难以量化</w:t>
      </w:r>
      <w:r>
        <w:rPr>
          <w:rFonts w:hint="eastAsia" w:ascii="Times New Roman" w:hAnsi="Times New Roman" w:eastAsia="仿宋_GB2312"/>
          <w:color w:val="auto"/>
          <w:sz w:val="32"/>
          <w:szCs w:val="20"/>
          <w:highlight w:val="none"/>
          <w:u w:val="none"/>
          <w:lang w:eastAsia="zh-CN"/>
        </w:rPr>
        <w:t>、价值转化不畅的问题。</w:t>
      </w:r>
    </w:p>
    <w:p>
      <w:pPr>
        <w:spacing w:after="0" w:line="560" w:lineRule="exact"/>
        <w:ind w:firstLine="640" w:firstLineChars="200"/>
        <w:rPr>
          <w:rFonts w:ascii="Times New Roman" w:hAnsi="Times New Roman" w:eastAsia="仿宋_GB2312"/>
          <w:color w:val="auto"/>
          <w:sz w:val="32"/>
          <w:szCs w:val="20"/>
          <w:highlight w:val="none"/>
          <w:u w:val="none"/>
        </w:rPr>
      </w:pPr>
    </w:p>
    <w:sectPr>
      <w:footerReference r:id="rId5" w:type="default"/>
      <w:pgSz w:w="11906" w:h="16838"/>
      <w:pgMar w:top="2098" w:right="1531" w:bottom="1984" w:left="1588" w:header="851" w:footer="1304"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华文宋体">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FreeSerif">
    <w:panose1 w:val="02020603050405020304"/>
    <w:charset w:val="00"/>
    <w:family w:val="auto"/>
    <w:pitch w:val="default"/>
    <w:sig w:usb0="E59FAFFF" w:usb1="C200FDFF" w:usb2="43501B29" w:usb3="04000043" w:csb0="600101FF" w:csb1="FFFF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17220" cy="259080"/>
              <wp:effectExtent l="0" t="0" r="0" b="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617220" cy="259080"/>
                      </a:xfrm>
                      <a:prstGeom prst="rect">
                        <a:avLst/>
                      </a:prstGeom>
                      <a:noFill/>
                      <a:ln>
                        <a:noFill/>
                      </a:ln>
                    </wps:spPr>
                    <wps:txbx>
                      <w:txbxContent>
                        <w:p>
                          <w:pPr>
                            <w:pStyle w:val="7"/>
                            <w:rPr>
                              <w:rFonts w:ascii="Times New Roman" w:hAnsi="Times New Roman" w:eastAsia="华文宋体"/>
                              <w:sz w:val="28"/>
                              <w:szCs w:val="28"/>
                            </w:rPr>
                          </w:pPr>
                          <w:r>
                            <w:rPr>
                              <w:rFonts w:ascii="Times New Roman" w:hAnsi="Times New Roman" w:eastAsia="华文宋体"/>
                              <w:sz w:val="28"/>
                              <w:szCs w:val="28"/>
                            </w:rPr>
                            <w:t xml:space="preserve">— </w:t>
                          </w:r>
                          <w:r>
                            <w:rPr>
                              <w:rFonts w:ascii="Times New Roman" w:hAnsi="Times New Roman" w:eastAsia="华文宋体"/>
                              <w:sz w:val="28"/>
                              <w:szCs w:val="28"/>
                            </w:rPr>
                            <w:fldChar w:fldCharType="begin"/>
                          </w:r>
                          <w:r>
                            <w:rPr>
                              <w:rFonts w:ascii="Times New Roman" w:hAnsi="Times New Roman" w:eastAsia="华文宋体"/>
                              <w:sz w:val="28"/>
                              <w:szCs w:val="28"/>
                            </w:rPr>
                            <w:instrText xml:space="preserve"> PAGE  \* MERGEFORMAT </w:instrText>
                          </w:r>
                          <w:r>
                            <w:rPr>
                              <w:rFonts w:ascii="Times New Roman" w:hAnsi="Times New Roman" w:eastAsia="华文宋体"/>
                              <w:sz w:val="28"/>
                              <w:szCs w:val="28"/>
                            </w:rPr>
                            <w:fldChar w:fldCharType="separate"/>
                          </w:r>
                          <w:r>
                            <w:rPr>
                              <w:rFonts w:ascii="Times New Roman" w:hAnsi="Times New Roman" w:eastAsia="华文宋体"/>
                              <w:sz w:val="28"/>
                              <w:szCs w:val="28"/>
                            </w:rPr>
                            <w:t>1</w:t>
                          </w:r>
                          <w:r>
                            <w:rPr>
                              <w:rFonts w:ascii="Times New Roman" w:hAnsi="Times New Roman" w:eastAsia="华文宋体"/>
                              <w:sz w:val="28"/>
                              <w:szCs w:val="28"/>
                            </w:rPr>
                            <w:fldChar w:fldCharType="end"/>
                          </w:r>
                          <w:r>
                            <w:rPr>
                              <w:rFonts w:ascii="Times New Roman" w:hAnsi="Times New Roman" w:eastAsia="华文宋体"/>
                              <w:sz w:val="28"/>
                              <w:szCs w:val="28"/>
                            </w:rPr>
                            <w:t xml:space="preserve"> —</w:t>
                          </w: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20.4pt;width:48.6pt;mso-position-horizontal:center;mso-position-horizontal-relative:margin;mso-wrap-style:none;z-index:251659264;mso-width-relative:page;mso-height-relative:page;" filled="f" stroked="f" coordsize="21600,21600" o:gfxdata="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kYUy6NEAAAADAQAADwAAAAAAAAABACAAAAA4AAAAZHJz&#10;L2Rvd25yZXYueG1sUEsBAhQAFAAAAAgAh07iQN0hgcX1AQAAwQMAAA4AAAAAAAAAAQAgAAAANgEA&#10;AGRycy9lMm9Eb2MueG1sUEsFBgAAAAAGAAYAWQEAAJ0FAAAAAA==&#10;">
              <v:fill on="f" focussize="0,0"/>
              <v:stroke on="f"/>
              <v:imagedata o:title=""/>
              <o:lock v:ext="edit" aspectratio="f"/>
              <v:textbox inset="0mm,0mm,0mm,0mm" style="mso-fit-shape-to-text:t;">
                <w:txbxContent>
                  <w:p>
                    <w:pPr>
                      <w:pStyle w:val="7"/>
                      <w:rPr>
                        <w:rFonts w:ascii="Times New Roman" w:hAnsi="Times New Roman" w:eastAsia="华文宋体"/>
                        <w:sz w:val="28"/>
                        <w:szCs w:val="28"/>
                      </w:rPr>
                    </w:pPr>
                    <w:r>
                      <w:rPr>
                        <w:rFonts w:ascii="Times New Roman" w:hAnsi="Times New Roman" w:eastAsia="华文宋体"/>
                        <w:sz w:val="28"/>
                        <w:szCs w:val="28"/>
                      </w:rPr>
                      <w:t xml:space="preserve">— </w:t>
                    </w:r>
                    <w:r>
                      <w:rPr>
                        <w:rFonts w:ascii="Times New Roman" w:hAnsi="Times New Roman" w:eastAsia="华文宋体"/>
                        <w:sz w:val="28"/>
                        <w:szCs w:val="28"/>
                      </w:rPr>
                      <w:fldChar w:fldCharType="begin"/>
                    </w:r>
                    <w:r>
                      <w:rPr>
                        <w:rFonts w:ascii="Times New Roman" w:hAnsi="Times New Roman" w:eastAsia="华文宋体"/>
                        <w:sz w:val="28"/>
                        <w:szCs w:val="28"/>
                      </w:rPr>
                      <w:instrText xml:space="preserve"> PAGE  \* MERGEFORMAT </w:instrText>
                    </w:r>
                    <w:r>
                      <w:rPr>
                        <w:rFonts w:ascii="Times New Roman" w:hAnsi="Times New Roman" w:eastAsia="华文宋体"/>
                        <w:sz w:val="28"/>
                        <w:szCs w:val="28"/>
                      </w:rPr>
                      <w:fldChar w:fldCharType="separate"/>
                    </w:r>
                    <w:r>
                      <w:rPr>
                        <w:rFonts w:ascii="Times New Roman" w:hAnsi="Times New Roman" w:eastAsia="华文宋体"/>
                        <w:sz w:val="28"/>
                        <w:szCs w:val="28"/>
                      </w:rPr>
                      <w:t>1</w:t>
                    </w:r>
                    <w:r>
                      <w:rPr>
                        <w:rFonts w:ascii="Times New Roman" w:hAnsi="Times New Roman" w:eastAsia="华文宋体"/>
                        <w:sz w:val="28"/>
                        <w:szCs w:val="28"/>
                      </w:rPr>
                      <w:fldChar w:fldCharType="end"/>
                    </w:r>
                    <w:r>
                      <w:rPr>
                        <w:rFonts w:ascii="Times New Roman" w:hAnsi="Times New Roman" w:eastAsia="华文宋体"/>
                        <w:sz w:val="28"/>
                        <w:szCs w:val="28"/>
                      </w:rPr>
                      <w:t xml:space="preserve"> —</w:t>
                    </w:r>
                  </w:p>
                </w:txbxContent>
              </v:textbox>
            </v:shape>
          </w:pict>
        </mc:Fallback>
      </mc:AlternateContent>
    </w:r>
  </w:p>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484829"/>
    <w:multiLevelType w:val="multilevel"/>
    <w:tmpl w:val="0D484829"/>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true"/>
  <w:displayBackgroundShape w:val="true"/>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BA8"/>
    <w:rsid w:val="002C4AAF"/>
    <w:rsid w:val="008D4491"/>
    <w:rsid w:val="00924BA8"/>
    <w:rsid w:val="009640BD"/>
    <w:rsid w:val="009B1BB5"/>
    <w:rsid w:val="01C07996"/>
    <w:rsid w:val="065F0CAF"/>
    <w:rsid w:val="0AC64A06"/>
    <w:rsid w:val="13977B6A"/>
    <w:rsid w:val="3A0466C6"/>
    <w:rsid w:val="62AF0ECD"/>
    <w:rsid w:val="6A287F27"/>
    <w:rsid w:val="6BEFA4D9"/>
    <w:rsid w:val="7AAC4B0F"/>
    <w:rsid w:val="7CF31AC3"/>
    <w:rsid w:val="9FFB47F2"/>
    <w:rsid w:val="B7FF4A11"/>
    <w:rsid w:val="F2FF86AE"/>
    <w:rsid w:val="FBBABD03"/>
    <w:rsid w:val="FFA18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3"/>
    <w:unhideWhenUsed/>
    <w:qFormat/>
    <w:uiPriority w:val="99"/>
    <w:pPr>
      <w:jc w:val="left"/>
    </w:pPr>
    <w:rPr>
      <w:rFonts w:ascii="Times New Roman" w:hAnsi="Times New Roman" w:eastAsia="仿宋_GB2312"/>
      <w:sz w:val="32"/>
      <w:szCs w:val="20"/>
    </w:rPr>
  </w:style>
  <w:style w:type="paragraph" w:styleId="4">
    <w:name w:val="Body Text"/>
    <w:basedOn w:val="1"/>
    <w:next w:val="5"/>
    <w:qFormat/>
    <w:uiPriority w:val="0"/>
    <w:pPr>
      <w:spacing w:after="120"/>
    </w:pPr>
  </w:style>
  <w:style w:type="paragraph" w:styleId="5">
    <w:name w:val="Title"/>
    <w:basedOn w:val="1"/>
    <w:next w:val="6"/>
    <w:qFormat/>
    <w:uiPriority w:val="0"/>
    <w:pPr>
      <w:spacing w:before="240" w:after="60"/>
      <w:jc w:val="center"/>
      <w:outlineLvl w:val="0"/>
    </w:pPr>
    <w:rPr>
      <w:rFonts w:ascii="Cambria" w:hAnsi="Cambria" w:cs="Cambria"/>
      <w:b/>
      <w:bCs/>
    </w:rPr>
  </w:style>
  <w:style w:type="paragraph" w:styleId="6">
    <w:name w:val="Body Text Indent"/>
    <w:basedOn w:val="1"/>
    <w:next w:val="1"/>
    <w:qFormat/>
    <w:uiPriority w:val="0"/>
    <w:pPr>
      <w:spacing w:after="120"/>
      <w:ind w:left="420" w:leftChars="200"/>
    </w:pPr>
    <w:rPr>
      <w:szCs w:val="22"/>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0">
    <w:name w:val="Body Text First Indent"/>
    <w:basedOn w:val="4"/>
    <w:next w:val="4"/>
    <w:qFormat/>
    <w:uiPriority w:val="0"/>
    <w:pPr>
      <w:ind w:firstLine="200" w:firstLineChars="200"/>
    </w:pPr>
    <w:rPr>
      <w:rFonts w:cs="Calibri"/>
    </w:rPr>
  </w:style>
  <w:style w:type="character" w:styleId="13">
    <w:name w:val="Strong"/>
    <w:basedOn w:val="12"/>
    <w:qFormat/>
    <w:uiPriority w:val="22"/>
    <w:rPr>
      <w:b/>
    </w:rPr>
  </w:style>
  <w:style w:type="character" w:styleId="14">
    <w:name w:val="Emphasis"/>
    <w:basedOn w:val="12"/>
    <w:qFormat/>
    <w:uiPriority w:val="20"/>
    <w:rPr>
      <w:i/>
      <w:iCs/>
    </w:rPr>
  </w:style>
  <w:style w:type="character" w:styleId="15">
    <w:name w:val="annotation reference"/>
    <w:basedOn w:val="12"/>
    <w:unhideWhenUsed/>
    <w:qFormat/>
    <w:uiPriority w:val="99"/>
    <w:rPr>
      <w:sz w:val="21"/>
      <w:szCs w:val="21"/>
    </w:rPr>
  </w:style>
  <w:style w:type="paragraph" w:customStyle="1" w:styleId="16">
    <w:name w:val="列表段落1"/>
    <w:basedOn w:val="1"/>
    <w:qFormat/>
    <w:uiPriority w:val="34"/>
    <w:pPr>
      <w:ind w:firstLine="420" w:firstLineChars="200"/>
    </w:pPr>
  </w:style>
  <w:style w:type="character" w:customStyle="1" w:styleId="17">
    <w:name w:val="页眉 字符"/>
    <w:basedOn w:val="12"/>
    <w:link w:val="8"/>
    <w:qFormat/>
    <w:uiPriority w:val="99"/>
    <w:rPr>
      <w:sz w:val="18"/>
      <w:szCs w:val="18"/>
    </w:rPr>
  </w:style>
  <w:style w:type="character" w:customStyle="1" w:styleId="18">
    <w:name w:val="页脚 字符"/>
    <w:basedOn w:val="12"/>
    <w:link w:val="7"/>
    <w:qFormat/>
    <w:uiPriority w:val="99"/>
    <w:rPr>
      <w:sz w:val="18"/>
      <w:szCs w:val="18"/>
    </w:rPr>
  </w:style>
  <w:style w:type="paragraph" w:customStyle="1" w:styleId="19">
    <w:name w:val="【正文】"/>
    <w:basedOn w:val="1"/>
    <w:link w:val="20"/>
    <w:qFormat/>
    <w:uiPriority w:val="0"/>
    <w:pPr>
      <w:adjustRightInd w:val="0"/>
      <w:snapToGrid w:val="0"/>
      <w:spacing w:line="560" w:lineRule="exact"/>
      <w:ind w:firstLine="200" w:firstLineChars="200"/>
    </w:pPr>
    <w:rPr>
      <w:rFonts w:ascii="仿宋_GB2312" w:hAnsi="仿宋_GB2312" w:eastAsia="仿宋_GB2312"/>
      <w:sz w:val="32"/>
      <w:szCs w:val="20"/>
    </w:rPr>
  </w:style>
  <w:style w:type="character" w:customStyle="1" w:styleId="20">
    <w:name w:val="【正文】 Char"/>
    <w:link w:val="19"/>
    <w:qFormat/>
    <w:uiPriority w:val="0"/>
    <w:rPr>
      <w:rFonts w:ascii="仿宋_GB2312" w:hAnsi="仿宋_GB2312" w:eastAsia="仿宋_GB2312" w:cs="Times New Roman"/>
      <w:sz w:val="32"/>
      <w:szCs w:val="20"/>
    </w:rPr>
  </w:style>
  <w:style w:type="paragraph" w:customStyle="1" w:styleId="21">
    <w:name w:val="二级标题"/>
    <w:basedOn w:val="1"/>
    <w:next w:val="19"/>
    <w:link w:val="22"/>
    <w:qFormat/>
    <w:uiPriority w:val="0"/>
    <w:pPr>
      <w:adjustRightInd w:val="0"/>
      <w:snapToGrid w:val="0"/>
      <w:spacing w:line="560" w:lineRule="exact"/>
      <w:ind w:firstLine="200" w:firstLineChars="200"/>
      <w:outlineLvl w:val="2"/>
    </w:pPr>
    <w:rPr>
      <w:rFonts w:ascii="楷体_GB2312" w:hAnsi="楷体_GB2312" w:eastAsia="楷体_GB2312"/>
      <w:b/>
      <w:sz w:val="32"/>
      <w:szCs w:val="32"/>
    </w:rPr>
  </w:style>
  <w:style w:type="character" w:customStyle="1" w:styleId="22">
    <w:name w:val="二级标题 Char"/>
    <w:link w:val="21"/>
    <w:qFormat/>
    <w:uiPriority w:val="0"/>
    <w:rPr>
      <w:rFonts w:ascii="楷体_GB2312" w:hAnsi="楷体_GB2312" w:eastAsia="楷体_GB2312" w:cs="Times New Roman"/>
      <w:b/>
      <w:sz w:val="32"/>
      <w:szCs w:val="32"/>
    </w:rPr>
  </w:style>
  <w:style w:type="character" w:customStyle="1" w:styleId="23">
    <w:name w:val="批注文字 字符"/>
    <w:basedOn w:val="12"/>
    <w:link w:val="3"/>
    <w:qFormat/>
    <w:uiPriority w:val="99"/>
    <w:rPr>
      <w:rFonts w:ascii="Times New Roman" w:hAnsi="Times New Roman" w:eastAsia="仿宋_GB2312" w:cs="Times New Roman"/>
      <w:sz w:val="32"/>
      <w:szCs w:val="20"/>
    </w:rPr>
  </w:style>
  <w:style w:type="paragraph" w:customStyle="1" w:styleId="24">
    <w:name w:val="一级标题"/>
    <w:basedOn w:val="1"/>
    <w:next w:val="19"/>
    <w:link w:val="25"/>
    <w:qFormat/>
    <w:uiPriority w:val="0"/>
    <w:pPr>
      <w:adjustRightInd w:val="0"/>
      <w:snapToGrid w:val="0"/>
      <w:spacing w:line="560" w:lineRule="exact"/>
      <w:ind w:firstLine="200" w:firstLineChars="200"/>
      <w:outlineLvl w:val="1"/>
    </w:pPr>
    <w:rPr>
      <w:rFonts w:ascii="黑体" w:hAnsi="黑体" w:eastAsia="黑体"/>
      <w:sz w:val="32"/>
      <w:szCs w:val="32"/>
    </w:rPr>
  </w:style>
  <w:style w:type="character" w:customStyle="1" w:styleId="25">
    <w:name w:val="一级标题 Char"/>
    <w:link w:val="24"/>
    <w:qFormat/>
    <w:uiPriority w:val="0"/>
    <w:rPr>
      <w:rFonts w:ascii="黑体" w:hAnsi="黑体" w:eastAsia="黑体" w:cs="Times New Roman"/>
      <w:sz w:val="32"/>
      <w:szCs w:val="32"/>
    </w:rPr>
  </w:style>
  <w:style w:type="paragraph" w:customStyle="1" w:styleId="26">
    <w:name w:val="修订1"/>
    <w:hidden/>
    <w:semiHidden/>
    <w:qFormat/>
    <w:uiPriority w:val="99"/>
    <w:pPr>
      <w:spacing w:after="160" w:line="278" w:lineRule="auto"/>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2601</Words>
  <Characters>2637</Characters>
  <Lines>12</Lines>
  <Paragraphs>3</Paragraphs>
  <TotalTime>7</TotalTime>
  <ScaleCrop>false</ScaleCrop>
  <LinksUpToDate>false</LinksUpToDate>
  <CharactersWithSpaces>2643</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2026-09-21T22:11:00Z</dcterms:created>
  <dc:creator>Peng Yushi</dc:creator>
  <cp:lastModifiedBy>renyy</cp:lastModifiedBy>
  <cp:lastPrinted>2026-09-22T00:55:00Z</cp:lastPrinted>
  <dcterms:modified xsi:type="dcterms:W3CDTF">2026-10-10T11:46:20Z</dcterms:modified>
  <dc:title>关于《广州市发展和改革委员会关于支持新型储能产业高质量发展的若干措施》的编制说明</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KSOTemplateDocerSaveRecord">
    <vt:lpwstr>eyJoZGlkIjoiMzEwNTM5NzYwMDRjMzkwZTVkZjY2ODkwMGIxNGU0OTUiLCJ1c2VySWQiOiIxMDc1NTQ1Nzk4In0=</vt:lpwstr>
  </property>
  <property fmtid="{D5CDD505-2E9C-101B-9397-08002B2CF9AE}" pid="4" name="ICV">
    <vt:lpwstr>94CBF4BB10D14847B6608E670C6CE0E5_13</vt:lpwstr>
  </property>
</Properties>
</file>