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附件1</w:t>
      </w:r>
    </w:p>
    <w:p>
      <w:pPr>
        <w:spacing w:line="600" w:lineRule="exact"/>
        <w:jc w:val="center"/>
        <w:outlineLvl w:val="0"/>
        <w:rPr>
          <w:rFonts w:ascii="Times New Roman" w:hAnsi="Times New Roman" w:eastAsia="方正小标宋简体" w:cs="Times New Roman"/>
          <w:sz w:val="40"/>
          <w:szCs w:val="40"/>
        </w:rPr>
      </w:pPr>
      <w:r>
        <w:rPr>
          <w:rFonts w:hint="default" w:ascii="Times New Roman" w:hAnsi="Times New Roman" w:eastAsia="方正小标宋简体" w:cs="Times New Roman"/>
          <w:sz w:val="40"/>
          <w:szCs w:val="40"/>
        </w:rPr>
        <w:t>202</w:t>
      </w:r>
      <w:r>
        <w:rPr>
          <w:rFonts w:hint="default" w:ascii="Times New Roman" w:hAnsi="Times New Roman" w:eastAsia="方正小标宋简体" w:cs="Times New Roman"/>
          <w:sz w:val="40"/>
          <w:szCs w:val="40"/>
          <w:lang w:val="en-US" w:eastAsia="zh-CN"/>
        </w:rPr>
        <w:t>6</w:t>
      </w:r>
      <w:r>
        <w:rPr>
          <w:rFonts w:hint="default" w:ascii="Times New Roman" w:hAnsi="Times New Roman" w:eastAsia="方正小标宋简体" w:cs="Times New Roman"/>
          <w:sz w:val="40"/>
          <w:szCs w:val="40"/>
        </w:rPr>
        <w:t>年度国家绿色</w:t>
      </w:r>
      <w:r>
        <w:rPr>
          <w:rFonts w:hint="default" w:ascii="Times New Roman" w:hAnsi="Times New Roman" w:eastAsia="方正小标宋简体" w:cs="Times New Roman"/>
          <w:sz w:val="40"/>
          <w:szCs w:val="40"/>
          <w:lang w:eastAsia="zh-CN"/>
        </w:rPr>
        <w:t>算力设施</w:t>
      </w:r>
      <w:r>
        <w:rPr>
          <w:rFonts w:hint="default" w:ascii="Times New Roman" w:hAnsi="Times New Roman" w:eastAsia="方正小标宋简体" w:cs="Times New Roman"/>
          <w:sz w:val="40"/>
          <w:szCs w:val="40"/>
        </w:rPr>
        <w:t>评价指标体系</w:t>
      </w:r>
    </w:p>
    <w:p>
      <w:pPr>
        <w:tabs>
          <w:tab w:val="center" w:pos="6663"/>
        </w:tabs>
        <w:spacing w:line="600" w:lineRule="exact"/>
        <w:rPr>
          <w:rFonts w:eastAsia="仿宋_GB2312"/>
          <w:kern w:val="0"/>
          <w:sz w:val="32"/>
          <w:szCs w:val="32"/>
        </w:rPr>
      </w:pPr>
    </w:p>
    <w:p>
      <w:pPr>
        <w:tabs>
          <w:tab w:val="center" w:pos="6663"/>
        </w:tabs>
        <w:snapToGrid w:val="0"/>
        <w:spacing w:line="600" w:lineRule="exact"/>
        <w:ind w:firstLine="640" w:firstLineChars="200"/>
        <w:outlineLvl w:val="0"/>
        <w:rPr>
          <w:rFonts w:eastAsia="黑体"/>
          <w:kern w:val="0"/>
          <w:sz w:val="32"/>
          <w:szCs w:val="32"/>
        </w:rPr>
      </w:pPr>
      <w:r>
        <w:rPr>
          <w:rFonts w:eastAsia="黑体"/>
          <w:kern w:val="0"/>
          <w:sz w:val="32"/>
          <w:szCs w:val="32"/>
        </w:rPr>
        <w:t>一、评价指标体系</w:t>
      </w:r>
    </w:p>
    <w:p>
      <w:pPr>
        <w:snapToGrid w:val="0"/>
        <w:spacing w:line="600" w:lineRule="exact"/>
        <w:ind w:firstLine="640" w:firstLineChars="200"/>
        <w:rPr>
          <w:rFonts w:eastAsia="仿宋_GB2312"/>
          <w:sz w:val="32"/>
          <w:szCs w:val="32"/>
        </w:rPr>
      </w:pPr>
      <w:r>
        <w:rPr>
          <w:rFonts w:eastAsia="仿宋_GB2312"/>
          <w:sz w:val="32"/>
          <w:szCs w:val="32"/>
        </w:rPr>
        <w:t>国家绿色</w:t>
      </w:r>
      <w:r>
        <w:rPr>
          <w:rFonts w:hint="eastAsia" w:eastAsia="仿宋_GB2312"/>
          <w:sz w:val="32"/>
          <w:szCs w:val="32"/>
          <w:lang w:eastAsia="zh-CN"/>
        </w:rPr>
        <w:t>算力设施</w:t>
      </w:r>
      <w:r>
        <w:rPr>
          <w:rFonts w:eastAsia="仿宋_GB2312"/>
          <w:sz w:val="32"/>
          <w:szCs w:val="32"/>
        </w:rPr>
        <w:t>评价指标体系包括</w:t>
      </w:r>
      <w:r>
        <w:rPr>
          <w:rFonts w:hint="eastAsia" w:eastAsia="仿宋_GB2312"/>
          <w:sz w:val="32"/>
          <w:szCs w:val="32"/>
          <w:lang w:eastAsia="zh-CN"/>
        </w:rPr>
        <w:t>能源利用水平</w:t>
      </w:r>
      <w:r>
        <w:rPr>
          <w:rFonts w:eastAsia="仿宋_GB2312"/>
          <w:kern w:val="0"/>
          <w:sz w:val="32"/>
          <w:szCs w:val="32"/>
        </w:rPr>
        <w:t>、</w:t>
      </w:r>
      <w:r>
        <w:rPr>
          <w:rFonts w:hint="eastAsia" w:eastAsia="仿宋_GB2312"/>
          <w:kern w:val="0"/>
          <w:sz w:val="32"/>
          <w:szCs w:val="32"/>
          <w:lang w:eastAsia="zh-CN"/>
        </w:rPr>
        <w:t>碳排放管理水平、水资源利用水平</w:t>
      </w:r>
      <w:r>
        <w:rPr>
          <w:rFonts w:eastAsia="仿宋_GB2312"/>
          <w:sz w:val="32"/>
          <w:szCs w:val="32"/>
        </w:rPr>
        <w:t>、</w:t>
      </w:r>
      <w:r>
        <w:rPr>
          <w:rFonts w:hint="eastAsia" w:eastAsia="仿宋_GB2312"/>
          <w:sz w:val="32"/>
          <w:szCs w:val="32"/>
          <w:lang w:eastAsia="zh-CN"/>
        </w:rPr>
        <w:t>算力</w:t>
      </w:r>
      <w:r>
        <w:rPr>
          <w:rFonts w:hint="eastAsia" w:eastAsia="仿宋_GB2312"/>
          <w:kern w:val="0"/>
          <w:sz w:val="32"/>
          <w:szCs w:val="32"/>
          <w:lang w:eastAsia="zh-CN"/>
        </w:rPr>
        <w:t>资源</w:t>
      </w:r>
      <w:r>
        <w:rPr>
          <w:rFonts w:eastAsia="仿宋_GB2312"/>
          <w:kern w:val="0"/>
          <w:sz w:val="32"/>
          <w:szCs w:val="32"/>
        </w:rPr>
        <w:t>利用</w:t>
      </w:r>
      <w:r>
        <w:rPr>
          <w:rFonts w:hint="eastAsia" w:eastAsia="仿宋_GB2312"/>
          <w:kern w:val="0"/>
          <w:sz w:val="32"/>
          <w:szCs w:val="32"/>
          <w:lang w:eastAsia="zh-CN"/>
        </w:rPr>
        <w:t>水平</w:t>
      </w:r>
      <w:r>
        <w:rPr>
          <w:rFonts w:eastAsia="仿宋_GB2312"/>
          <w:kern w:val="0"/>
          <w:sz w:val="32"/>
          <w:szCs w:val="32"/>
        </w:rPr>
        <w:t>等</w:t>
      </w:r>
      <w:r>
        <w:rPr>
          <w:rFonts w:eastAsia="仿宋_GB2312"/>
          <w:sz w:val="32"/>
          <w:szCs w:val="32"/>
        </w:rPr>
        <w:t>方面</w:t>
      </w:r>
      <w:r>
        <w:rPr>
          <w:rFonts w:hint="default" w:ascii="Times New Roman" w:hAnsi="Times New Roman" w:eastAsia="仿宋_GB2312"/>
          <w:sz w:val="32"/>
          <w:szCs w:val="32"/>
          <w:lang w:val="en-US" w:eastAsia="zh-CN"/>
        </w:rPr>
        <w:t>10</w:t>
      </w:r>
      <w:r>
        <w:rPr>
          <w:rFonts w:eastAsia="仿宋_GB2312"/>
          <w:sz w:val="32"/>
          <w:szCs w:val="32"/>
        </w:rPr>
        <w:t>个指标，具体详见下表。</w:t>
      </w:r>
    </w:p>
    <w:p>
      <w:pPr>
        <w:pStyle w:val="2"/>
        <w:numPr>
          <w:ilvl w:val="0"/>
          <w:numId w:val="0"/>
        </w:numPr>
        <w:snapToGrid w:val="0"/>
        <w:spacing w:before="0" w:after="0" w:line="600" w:lineRule="exact"/>
        <w:jc w:val="center"/>
        <w:rPr>
          <w:rFonts w:ascii="Times New Roman" w:hAnsi="Times New Roman" w:eastAsia="仿宋_GB2312"/>
          <w:b w:val="0"/>
          <w:sz w:val="28"/>
          <w:szCs w:val="28"/>
        </w:rPr>
      </w:pPr>
      <w:r>
        <w:rPr>
          <w:rFonts w:ascii="Times New Roman" w:hAnsi="Times New Roman" w:eastAsia="仿宋_GB2312"/>
          <w:b w:val="0"/>
          <w:bCs w:val="0"/>
          <w:sz w:val="28"/>
          <w:szCs w:val="28"/>
        </w:rPr>
        <w:t>表1 国家绿色</w:t>
      </w:r>
      <w:r>
        <w:rPr>
          <w:rFonts w:hint="eastAsia" w:ascii="Times New Roman" w:hAnsi="Times New Roman" w:eastAsia="仿宋_GB2312"/>
          <w:b w:val="0"/>
          <w:bCs w:val="0"/>
          <w:sz w:val="28"/>
          <w:szCs w:val="28"/>
          <w:lang w:eastAsia="zh-CN"/>
        </w:rPr>
        <w:t>算力设施</w:t>
      </w:r>
      <w:r>
        <w:rPr>
          <w:rFonts w:ascii="Times New Roman" w:hAnsi="Times New Roman" w:eastAsia="仿宋_GB2312"/>
          <w:b w:val="0"/>
          <w:bCs w:val="0"/>
          <w:sz w:val="28"/>
          <w:szCs w:val="28"/>
        </w:rPr>
        <w:t>评价指标表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5"/>
        <w:gridCol w:w="1985"/>
        <w:gridCol w:w="5363"/>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noWrap w:val="0"/>
            <w:tcMar>
              <w:top w:w="12" w:type="dxa"/>
              <w:left w:w="12" w:type="dxa"/>
              <w:right w:w="12" w:type="dxa"/>
            </w:tcMar>
            <w:vAlign w:val="center"/>
          </w:tcPr>
          <w:p>
            <w:pPr>
              <w:widowControl/>
              <w:tabs>
                <w:tab w:val="center" w:pos="6663"/>
              </w:tabs>
              <w:jc w:val="center"/>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lang w:bidi="ar"/>
              </w:rPr>
              <w:t>序号</w:t>
            </w:r>
          </w:p>
        </w:tc>
        <w:tc>
          <w:tcPr>
            <w:tcW w:w="7348" w:type="dxa"/>
            <w:gridSpan w:val="2"/>
            <w:noWrap w:val="0"/>
            <w:tcMar>
              <w:top w:w="12" w:type="dxa"/>
              <w:left w:w="12" w:type="dxa"/>
              <w:right w:w="12" w:type="dxa"/>
            </w:tcMar>
            <w:vAlign w:val="center"/>
          </w:tcPr>
          <w:p>
            <w:pPr>
              <w:widowControl/>
              <w:tabs>
                <w:tab w:val="center" w:pos="6663"/>
              </w:tabs>
              <w:jc w:val="center"/>
              <w:rPr>
                <w:rFonts w:hint="eastAsia" w:ascii="黑体" w:hAnsi="黑体" w:eastAsia="黑体" w:cs="黑体"/>
                <w:b w:val="0"/>
                <w:bCs w:val="0"/>
                <w:kern w:val="0"/>
                <w:sz w:val="24"/>
                <w:szCs w:val="24"/>
                <w:lang w:eastAsia="zh-CN"/>
              </w:rPr>
            </w:pPr>
            <w:r>
              <w:rPr>
                <w:rFonts w:hint="eastAsia" w:ascii="黑体" w:hAnsi="黑体" w:eastAsia="黑体" w:cs="黑体"/>
                <w:b w:val="0"/>
                <w:bCs w:val="0"/>
                <w:kern w:val="0"/>
                <w:sz w:val="24"/>
                <w:szCs w:val="24"/>
                <w:lang w:bidi="ar"/>
              </w:rPr>
              <w:t>指标</w:t>
            </w:r>
          </w:p>
        </w:tc>
        <w:tc>
          <w:tcPr>
            <w:tcW w:w="1050" w:type="dxa"/>
            <w:noWrap w:val="0"/>
            <w:tcMar>
              <w:top w:w="12" w:type="dxa"/>
              <w:left w:w="12" w:type="dxa"/>
              <w:right w:w="12" w:type="dxa"/>
            </w:tcMar>
            <w:vAlign w:val="center"/>
          </w:tcPr>
          <w:p>
            <w:pPr>
              <w:widowControl/>
              <w:tabs>
                <w:tab w:val="center" w:pos="6663"/>
              </w:tabs>
              <w:jc w:val="center"/>
              <w:rPr>
                <w:rFonts w:hint="eastAsia" w:ascii="黑体" w:hAnsi="黑体" w:eastAsia="黑体" w:cs="黑体"/>
                <w:b w:val="0"/>
                <w:bCs w:val="0"/>
                <w:kern w:val="0"/>
                <w:sz w:val="24"/>
                <w:szCs w:val="24"/>
                <w:lang w:bidi="ar"/>
              </w:rPr>
            </w:pPr>
            <w:r>
              <w:rPr>
                <w:rFonts w:hint="eastAsia" w:ascii="黑体" w:hAnsi="黑体" w:eastAsia="黑体" w:cs="黑体"/>
                <w:b w:val="0"/>
                <w:bCs w:val="0"/>
                <w:kern w:val="0"/>
                <w:sz w:val="24"/>
                <w:szCs w:val="24"/>
                <w:lang w:bidi="ar"/>
              </w:rPr>
              <w:t>权重分值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8973" w:type="dxa"/>
            <w:gridSpan w:val="4"/>
            <w:noWrap w:val="0"/>
            <w:tcMar>
              <w:top w:w="12" w:type="dxa"/>
              <w:left w:w="12" w:type="dxa"/>
              <w:right w:w="12" w:type="dxa"/>
            </w:tcMar>
            <w:vAlign w:val="center"/>
          </w:tcPr>
          <w:p>
            <w:pPr>
              <w:widowControl/>
              <w:snapToGrid w:val="0"/>
              <w:jc w:val="left"/>
              <w:textAlignment w:val="center"/>
              <w:rPr>
                <w:rFonts w:hint="default" w:ascii="Times New Roman" w:hAnsi="Times New Roman" w:eastAsia="仿宋_GB2312" w:cs="Times New Roman"/>
                <w:kern w:val="0"/>
                <w:sz w:val="24"/>
                <w:szCs w:val="24"/>
                <w:lang w:val="en-US" w:eastAsia="zh-CN" w:bidi="ar"/>
              </w:rPr>
            </w:pPr>
            <w:r>
              <w:rPr>
                <w:rFonts w:ascii="Times New Roman" w:hAnsi="Times New Roman" w:eastAsia="黑体" w:cs="Times New Roman"/>
                <w:kern w:val="0"/>
                <w:sz w:val="24"/>
                <w:szCs w:val="24"/>
                <w:lang w:bidi="ar"/>
              </w:rPr>
              <w:t>一、</w:t>
            </w:r>
            <w:r>
              <w:rPr>
                <w:rFonts w:hint="eastAsia" w:ascii="Times New Roman" w:hAnsi="Times New Roman" w:eastAsia="黑体" w:cs="Times New Roman"/>
                <w:kern w:val="0"/>
                <w:sz w:val="24"/>
                <w:szCs w:val="24"/>
                <w:lang w:eastAsia="zh-CN" w:bidi="ar"/>
              </w:rPr>
              <w:t>能源利用水平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vMerge w:val="restart"/>
            <w:noWrap w:val="0"/>
            <w:tcMar>
              <w:top w:w="12" w:type="dxa"/>
              <w:left w:w="12" w:type="dxa"/>
              <w:right w:w="12" w:type="dxa"/>
            </w:tcMar>
            <w:vAlign w:val="center"/>
          </w:tcPr>
          <w:p>
            <w:pPr>
              <w:widowControl/>
              <w:snapToGrid w:val="0"/>
              <w:jc w:val="center"/>
              <w:textAlignment w:val="center"/>
              <w:rPr>
                <w:rFonts w:ascii="Times New Roman" w:hAnsi="Times New Roman" w:eastAsia="仿宋_GB2312" w:cs="Times New Roman"/>
                <w:kern w:val="0"/>
                <w:sz w:val="24"/>
                <w:szCs w:val="24"/>
                <w:highlight w:val="none"/>
                <w:lang w:bidi="ar"/>
              </w:rPr>
            </w:pPr>
            <w:r>
              <w:rPr>
                <w:rFonts w:ascii="Times New Roman" w:hAnsi="Times New Roman" w:eastAsia="仿宋_GB2312" w:cs="Times New Roman"/>
                <w:kern w:val="0"/>
                <w:sz w:val="24"/>
                <w:szCs w:val="24"/>
                <w:highlight w:val="none"/>
                <w:lang w:bidi="ar"/>
              </w:rPr>
              <w:t>1</w:t>
            </w:r>
          </w:p>
        </w:tc>
        <w:tc>
          <w:tcPr>
            <w:tcW w:w="1985" w:type="dxa"/>
            <w:vMerge w:val="restart"/>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eastAsia="zh-CN" w:bidi="ar"/>
              </w:rPr>
            </w:pPr>
            <w:r>
              <w:rPr>
                <w:rFonts w:hint="eastAsia" w:ascii="Times New Roman" w:hAnsi="Times New Roman" w:eastAsia="仿宋_GB2312" w:cs="Times New Roman"/>
                <w:kern w:val="0"/>
                <w:sz w:val="24"/>
                <w:szCs w:val="24"/>
                <w:highlight w:val="none"/>
                <w:lang w:eastAsia="zh-CN" w:bidi="ar"/>
              </w:rPr>
              <w:t>能源高效利用</w:t>
            </w:r>
          </w:p>
        </w:tc>
        <w:tc>
          <w:tcPr>
            <w:tcW w:w="5363" w:type="dxa"/>
            <w:noWrap w:val="0"/>
            <w:tcMar>
              <w:top w:w="12" w:type="dxa"/>
              <w:left w:w="12" w:type="dxa"/>
              <w:right w:w="12" w:type="dxa"/>
            </w:tcMar>
            <w:vAlign w:val="center"/>
          </w:tcPr>
          <w:p>
            <w:pPr>
              <w:widowControl/>
              <w:snapToGrid w:val="0"/>
              <w:jc w:val="left"/>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电能利用效率（PUE）</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ascii="Times New Roman" w:hAnsi="Times New Roman" w:eastAsia="仿宋_GB2312" w:cs="Times New Roman"/>
                <w:kern w:val="0"/>
                <w:sz w:val="24"/>
                <w:szCs w:val="24"/>
                <w:highlight w:val="none"/>
                <w:lang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单位算力能效</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ascii="Times New Roman" w:hAnsi="Times New Roman" w:eastAsia="仿宋_GB2312" w:cs="Times New Roman"/>
                <w:kern w:val="0"/>
                <w:sz w:val="24"/>
                <w:szCs w:val="24"/>
                <w:highlight w:val="none"/>
                <w:lang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eastAsia="zh-CN" w:bidi="ar"/>
              </w:rPr>
              <w:t>单位能耗</w:t>
            </w:r>
            <w:r>
              <w:rPr>
                <w:rFonts w:hint="eastAsia" w:ascii="Times New Roman" w:hAnsi="Times New Roman" w:eastAsia="仿宋_GB2312" w:cs="Times New Roman"/>
                <w:kern w:val="0"/>
                <w:sz w:val="24"/>
                <w:szCs w:val="24"/>
                <w:lang w:bidi="ar"/>
              </w:rPr>
              <w:t>产出</w:t>
            </w:r>
            <w:r>
              <w:rPr>
                <w:rFonts w:hint="eastAsia" w:ascii="Times New Roman" w:hAnsi="Times New Roman" w:eastAsia="仿宋_GB2312" w:cs="Times New Roman"/>
                <w:kern w:val="0"/>
                <w:sz w:val="24"/>
                <w:szCs w:val="24"/>
                <w:lang w:eastAsia="zh-CN" w:bidi="ar"/>
              </w:rPr>
              <w:t>效益</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vMerge w:val="restart"/>
            <w:noWrap w:val="0"/>
            <w:tcMar>
              <w:top w:w="12" w:type="dxa"/>
              <w:left w:w="12" w:type="dxa"/>
              <w:right w:w="12" w:type="dxa"/>
            </w:tcMar>
            <w:vAlign w:val="center"/>
          </w:tcPr>
          <w:p>
            <w:pPr>
              <w:widowControl/>
              <w:snapToGrid w:val="0"/>
              <w:jc w:val="center"/>
              <w:textAlignment w:val="center"/>
              <w:rPr>
                <w:rFonts w:ascii="Times New Roman" w:hAnsi="Times New Roman" w:eastAsia="仿宋_GB2312" w:cs="Times New Roman"/>
                <w:kern w:val="0"/>
                <w:sz w:val="24"/>
                <w:szCs w:val="24"/>
                <w:lang w:bidi="ar"/>
              </w:rPr>
            </w:pPr>
            <w:r>
              <w:rPr>
                <w:rFonts w:hint="eastAsia" w:ascii="Times New Roman" w:hAnsi="Times New Roman" w:eastAsia="仿宋_GB2312" w:cs="Times New Roman"/>
                <w:kern w:val="0"/>
                <w:sz w:val="24"/>
                <w:szCs w:val="24"/>
                <w:lang w:val="en-US" w:eastAsia="zh-CN" w:bidi="ar"/>
              </w:rPr>
              <w:t>2</w:t>
            </w:r>
          </w:p>
        </w:tc>
        <w:tc>
          <w:tcPr>
            <w:tcW w:w="1985" w:type="dxa"/>
            <w:vMerge w:val="restart"/>
            <w:noWrap w:val="0"/>
            <w:tcMar>
              <w:top w:w="12" w:type="dxa"/>
              <w:left w:w="12" w:type="dxa"/>
              <w:right w:w="12" w:type="dxa"/>
            </w:tcMar>
            <w:vAlign w:val="center"/>
          </w:tcPr>
          <w:p>
            <w:pPr>
              <w:widowControl/>
              <w:snapToGrid w:val="0"/>
              <w:jc w:val="left"/>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清洁能源利用</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eastAsia="zh-CN" w:bidi="ar"/>
              </w:rPr>
              <w:t>可再生能源电量占比</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vMerge w:val="continue"/>
            <w:tcBorders>
              <w:bottom w:val="nil"/>
            </w:tcBorders>
            <w:noWrap w:val="0"/>
            <w:tcMar>
              <w:top w:w="12" w:type="dxa"/>
              <w:left w:w="12" w:type="dxa"/>
              <w:right w:w="12" w:type="dxa"/>
            </w:tcMar>
            <w:vAlign w:val="center"/>
          </w:tcPr>
          <w:p>
            <w:pPr>
              <w:widowControl/>
              <w:snapToGrid w:val="0"/>
              <w:jc w:val="center"/>
              <w:textAlignment w:val="center"/>
              <w:rPr>
                <w:rFonts w:ascii="Times New Roman" w:hAnsi="Times New Roman" w:eastAsia="仿宋_GB2312" w:cs="Times New Roman"/>
                <w:kern w:val="0"/>
                <w:sz w:val="24"/>
                <w:szCs w:val="24"/>
                <w:lang w:bidi="ar"/>
              </w:rPr>
            </w:pPr>
          </w:p>
        </w:tc>
        <w:tc>
          <w:tcPr>
            <w:tcW w:w="1985" w:type="dxa"/>
            <w:vMerge w:val="continue"/>
            <w:tcBorders>
              <w:bottom w:val="nil"/>
            </w:tcBorders>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eastAsia="zh-CN" w:bidi="ar"/>
              </w:rPr>
            </w:pPr>
          </w:p>
        </w:tc>
        <w:tc>
          <w:tcPr>
            <w:tcW w:w="5363" w:type="dxa"/>
            <w:tcBorders>
              <w:bottom w:val="nil"/>
            </w:tcBorders>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eastAsia="zh-CN" w:bidi="ar"/>
              </w:rPr>
              <w:t>余热余冷利用水平</w:t>
            </w:r>
          </w:p>
        </w:tc>
        <w:tc>
          <w:tcPr>
            <w:tcW w:w="1050" w:type="dxa"/>
            <w:tcBorders>
              <w:bottom w:val="nil"/>
            </w:tcBorders>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8973" w:type="dxa"/>
            <w:gridSpan w:val="4"/>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黑体" w:cs="Times New Roman"/>
                <w:kern w:val="0"/>
                <w:sz w:val="24"/>
                <w:szCs w:val="24"/>
                <w:highlight w:val="none"/>
                <w:lang w:eastAsia="zh-CN" w:bidi="ar"/>
              </w:rPr>
              <w:t>二</w:t>
            </w:r>
            <w:r>
              <w:rPr>
                <w:rFonts w:ascii="Times New Roman" w:hAnsi="Times New Roman" w:eastAsia="黑体" w:cs="Times New Roman"/>
                <w:kern w:val="0"/>
                <w:sz w:val="24"/>
                <w:szCs w:val="24"/>
                <w:highlight w:val="none"/>
                <w:lang w:bidi="ar"/>
              </w:rPr>
              <w:t>、</w:t>
            </w:r>
            <w:r>
              <w:rPr>
                <w:rFonts w:hint="eastAsia" w:ascii="Times New Roman" w:hAnsi="Times New Roman" w:eastAsia="黑体" w:cs="Times New Roman"/>
                <w:kern w:val="0"/>
                <w:sz w:val="24"/>
                <w:szCs w:val="24"/>
                <w:highlight w:val="none"/>
                <w:lang w:eastAsia="zh-CN" w:bidi="ar"/>
              </w:rPr>
              <w:t>碳排放管理水平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3</w:t>
            </w:r>
          </w:p>
        </w:tc>
        <w:tc>
          <w:tcPr>
            <w:tcW w:w="1985"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eastAsia="zh-CN" w:bidi="ar"/>
              </w:rPr>
              <w:t>碳排放</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bidi="ar"/>
              </w:rPr>
              <w:t>碳利用效率（CUE）</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val="en-US" w:eastAsia="zh-CN" w:bidi="ar"/>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4</w:t>
            </w:r>
          </w:p>
        </w:tc>
        <w:tc>
          <w:tcPr>
            <w:tcW w:w="1985"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数字化碳管理</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bidi="ar"/>
              </w:rPr>
              <w:t>数字化能碳管理中心</w:t>
            </w:r>
            <w:r>
              <w:rPr>
                <w:rFonts w:hint="eastAsia" w:ascii="Times New Roman" w:hAnsi="Times New Roman" w:eastAsia="仿宋_GB2312" w:cs="Times New Roman"/>
                <w:kern w:val="0"/>
                <w:sz w:val="24"/>
                <w:szCs w:val="24"/>
                <w:lang w:eastAsia="zh-CN" w:bidi="ar"/>
              </w:rPr>
              <w:t>建设及运行</w:t>
            </w:r>
            <w:r>
              <w:rPr>
                <w:rFonts w:hint="eastAsia" w:ascii="Times New Roman" w:hAnsi="Times New Roman" w:eastAsia="仿宋_GB2312" w:cs="Times New Roman"/>
                <w:kern w:val="0"/>
                <w:sz w:val="24"/>
                <w:szCs w:val="24"/>
                <w:lang w:bidi="ar"/>
              </w:rPr>
              <w:t>情况</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5</w:t>
            </w:r>
          </w:p>
        </w:tc>
        <w:tc>
          <w:tcPr>
            <w:tcW w:w="1985"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eastAsia="zh-CN" w:bidi="ar"/>
              </w:rPr>
              <w:t>产品碳足迹</w:t>
            </w:r>
          </w:p>
        </w:tc>
        <w:tc>
          <w:tcPr>
            <w:tcW w:w="5363" w:type="dxa"/>
            <w:tcBorders>
              <w:bottom w:val="nil"/>
            </w:tcBorders>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u w:val="none"/>
                <w:lang w:val="en-US" w:eastAsia="zh-CN" w:bidi="ar"/>
              </w:rPr>
            </w:pPr>
            <w:r>
              <w:rPr>
                <w:rFonts w:hint="eastAsia" w:ascii="Times New Roman" w:hAnsi="Times New Roman" w:eastAsia="仿宋_GB2312" w:cs="Times New Roman"/>
                <w:kern w:val="0"/>
                <w:sz w:val="24"/>
                <w:szCs w:val="24"/>
                <w:highlight w:val="none"/>
                <w:u w:val="none"/>
                <w:lang w:eastAsia="zh-CN" w:bidi="ar"/>
              </w:rPr>
              <w:t>参与产品碳足迹标准制修订</w:t>
            </w:r>
          </w:p>
        </w:tc>
        <w:tc>
          <w:tcPr>
            <w:tcW w:w="1050" w:type="dxa"/>
            <w:tcBorders>
              <w:bottom w:val="nil"/>
            </w:tcBorders>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u w:val="none"/>
                <w:lang w:val="en-US" w:eastAsia="zh-CN" w:bidi="ar"/>
              </w:rPr>
            </w:pPr>
            <w:r>
              <w:rPr>
                <w:rFonts w:hint="eastAsia" w:ascii="Times New Roman" w:hAnsi="Times New Roman" w:eastAsia="仿宋_GB2312" w:cs="Times New Roman"/>
                <w:kern w:val="0"/>
                <w:sz w:val="24"/>
                <w:szCs w:val="24"/>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8973" w:type="dxa"/>
            <w:gridSpan w:val="4"/>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黑体" w:cs="Times New Roman"/>
                <w:kern w:val="0"/>
                <w:sz w:val="24"/>
                <w:szCs w:val="24"/>
                <w:highlight w:val="none"/>
                <w:lang w:eastAsia="zh-CN" w:bidi="ar"/>
              </w:rPr>
              <w:t>三</w:t>
            </w:r>
            <w:r>
              <w:rPr>
                <w:rFonts w:ascii="Times New Roman" w:hAnsi="Times New Roman" w:eastAsia="黑体" w:cs="Times New Roman"/>
                <w:kern w:val="0"/>
                <w:sz w:val="24"/>
                <w:szCs w:val="24"/>
                <w:highlight w:val="none"/>
                <w:lang w:bidi="ar"/>
              </w:rPr>
              <w:t>、</w:t>
            </w:r>
            <w:r>
              <w:rPr>
                <w:rFonts w:hint="eastAsia" w:ascii="Times New Roman" w:hAnsi="Times New Roman" w:eastAsia="黑体" w:cs="Times New Roman"/>
                <w:kern w:val="0"/>
                <w:sz w:val="24"/>
                <w:szCs w:val="24"/>
                <w:highlight w:val="none"/>
                <w:lang w:eastAsia="zh-CN" w:bidi="ar"/>
              </w:rPr>
              <w:t>水资源利用水平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黑体"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6</w:t>
            </w:r>
          </w:p>
        </w:tc>
        <w:tc>
          <w:tcPr>
            <w:tcW w:w="1985"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eastAsia="zh-CN" w:bidi="ar"/>
              </w:rPr>
            </w:pPr>
            <w:r>
              <w:rPr>
                <w:rFonts w:hint="eastAsia" w:ascii="Times New Roman" w:hAnsi="Times New Roman" w:eastAsia="仿宋_GB2312" w:cs="Times New Roman"/>
                <w:kern w:val="0"/>
                <w:sz w:val="24"/>
                <w:szCs w:val="24"/>
                <w:highlight w:val="none"/>
                <w:lang w:bidi="ar"/>
              </w:rPr>
              <w:t>水资源</w:t>
            </w:r>
            <w:r>
              <w:rPr>
                <w:rFonts w:hint="eastAsia" w:ascii="Times New Roman" w:hAnsi="Times New Roman" w:eastAsia="仿宋_GB2312" w:cs="Times New Roman"/>
                <w:kern w:val="0"/>
                <w:sz w:val="24"/>
                <w:szCs w:val="24"/>
                <w:highlight w:val="none"/>
                <w:lang w:eastAsia="zh-CN" w:bidi="ar"/>
              </w:rPr>
              <w:t>利用</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bidi="ar"/>
              </w:rPr>
            </w:pPr>
            <w:r>
              <w:rPr>
                <w:rFonts w:hint="eastAsia" w:ascii="Times New Roman" w:hAnsi="Times New Roman" w:eastAsia="仿宋_GB2312" w:cs="Times New Roman"/>
                <w:kern w:val="0"/>
                <w:sz w:val="24"/>
                <w:szCs w:val="24"/>
                <w:highlight w:val="none"/>
                <w:lang w:bidi="ar"/>
              </w:rPr>
              <w:t>水资源</w:t>
            </w:r>
            <w:r>
              <w:rPr>
                <w:rFonts w:hint="eastAsia" w:ascii="Times New Roman" w:hAnsi="Times New Roman" w:eastAsia="仿宋_GB2312" w:cs="Times New Roman"/>
                <w:kern w:val="0"/>
                <w:sz w:val="24"/>
                <w:szCs w:val="24"/>
                <w:highlight w:val="none"/>
                <w:lang w:eastAsia="zh-CN" w:bidi="ar"/>
              </w:rPr>
              <w:t>利</w:t>
            </w:r>
            <w:r>
              <w:rPr>
                <w:rFonts w:hint="eastAsia" w:ascii="Times New Roman" w:hAnsi="Times New Roman" w:eastAsia="仿宋_GB2312" w:cs="Times New Roman"/>
                <w:kern w:val="0"/>
                <w:sz w:val="24"/>
                <w:szCs w:val="24"/>
                <w:highlight w:val="none"/>
                <w:lang w:bidi="ar"/>
              </w:rPr>
              <w:t>用效率</w:t>
            </w:r>
            <w:r>
              <w:rPr>
                <w:rFonts w:hint="eastAsia" w:ascii="Times New Roman" w:hAnsi="Times New Roman" w:eastAsia="仿宋_GB2312" w:cs="Times New Roman"/>
                <w:kern w:val="0"/>
                <w:sz w:val="24"/>
                <w:szCs w:val="24"/>
                <w:highlight w:val="none"/>
                <w:lang w:eastAsia="zh-CN" w:bidi="ar"/>
              </w:rPr>
              <w:t>（</w:t>
            </w:r>
            <w:r>
              <w:rPr>
                <w:rFonts w:hint="eastAsia" w:ascii="Times New Roman" w:hAnsi="Times New Roman" w:eastAsia="仿宋_GB2312" w:cs="Times New Roman"/>
                <w:kern w:val="0"/>
                <w:sz w:val="24"/>
                <w:szCs w:val="24"/>
                <w:highlight w:val="none"/>
                <w:lang w:val="en-US" w:eastAsia="zh-CN" w:bidi="ar"/>
              </w:rPr>
              <w:t>WUE</w:t>
            </w:r>
            <w:r>
              <w:rPr>
                <w:rFonts w:hint="eastAsia" w:ascii="Times New Roman" w:hAnsi="Times New Roman" w:eastAsia="仿宋_GB2312" w:cs="Times New Roman"/>
                <w:kern w:val="0"/>
                <w:sz w:val="24"/>
                <w:szCs w:val="24"/>
                <w:highlight w:val="none"/>
                <w:lang w:eastAsia="zh-CN" w:bidi="ar"/>
              </w:rPr>
              <w:t>）</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575" w:type="dxa"/>
            <w:tcBorders>
              <w:bottom w:val="nil"/>
            </w:tcBorders>
            <w:noWrap w:val="0"/>
            <w:tcMar>
              <w:top w:w="12" w:type="dxa"/>
              <w:left w:w="12" w:type="dxa"/>
              <w:right w:w="12" w:type="dxa"/>
            </w:tcMar>
            <w:vAlign w:val="center"/>
          </w:tcPr>
          <w:p>
            <w:pPr>
              <w:widowControl/>
              <w:snapToGrid w:val="0"/>
              <w:jc w:val="center"/>
              <w:textAlignment w:val="center"/>
              <w:rPr>
                <w:rFonts w:hint="eastAsia" w:ascii="Times New Roman" w:hAnsi="Times New Roman" w:eastAsia="黑体"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7</w:t>
            </w:r>
          </w:p>
        </w:tc>
        <w:tc>
          <w:tcPr>
            <w:tcW w:w="1985" w:type="dxa"/>
            <w:tcBorders>
              <w:bottom w:val="nil"/>
            </w:tcBorders>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eastAsia="zh-CN" w:bidi="ar"/>
              </w:rPr>
            </w:pPr>
            <w:r>
              <w:rPr>
                <w:rFonts w:hint="eastAsia" w:ascii="Times New Roman" w:hAnsi="Times New Roman" w:eastAsia="仿宋_GB2312" w:cs="Times New Roman"/>
                <w:kern w:val="0"/>
                <w:sz w:val="24"/>
                <w:szCs w:val="24"/>
                <w:highlight w:val="none"/>
                <w:lang w:eastAsia="zh-CN" w:bidi="ar"/>
              </w:rPr>
              <w:t>非常规水利用</w:t>
            </w:r>
          </w:p>
        </w:tc>
        <w:tc>
          <w:tcPr>
            <w:tcW w:w="5363" w:type="dxa"/>
            <w:tcBorders>
              <w:bottom w:val="nil"/>
            </w:tcBorders>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eastAsia="zh-CN" w:bidi="ar"/>
              </w:rPr>
            </w:pPr>
            <w:r>
              <w:rPr>
                <w:rFonts w:hint="eastAsia" w:ascii="Times New Roman" w:hAnsi="Times New Roman" w:eastAsia="仿宋_GB2312" w:cs="Times New Roman"/>
                <w:kern w:val="0"/>
                <w:sz w:val="24"/>
                <w:szCs w:val="24"/>
                <w:highlight w:val="none"/>
                <w:lang w:eastAsia="zh-CN" w:bidi="ar"/>
              </w:rPr>
              <w:t>再生水、矿井水、海水等非常规水利用情况</w:t>
            </w:r>
          </w:p>
        </w:tc>
        <w:tc>
          <w:tcPr>
            <w:tcW w:w="1050" w:type="dxa"/>
            <w:tcBorders>
              <w:bottom w:val="nil"/>
            </w:tcBorders>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8973" w:type="dxa"/>
            <w:gridSpan w:val="4"/>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黑体" w:cs="Times New Roman"/>
                <w:kern w:val="0"/>
                <w:sz w:val="24"/>
                <w:szCs w:val="24"/>
                <w:lang w:eastAsia="zh-CN" w:bidi="ar"/>
              </w:rPr>
              <w:t>四、算力资源利用水平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restart"/>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8</w:t>
            </w:r>
          </w:p>
        </w:tc>
        <w:tc>
          <w:tcPr>
            <w:tcW w:w="1985" w:type="dxa"/>
            <w:vMerge w:val="restart"/>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eastAsia="zh-CN" w:bidi="ar"/>
              </w:rPr>
            </w:pPr>
            <w:r>
              <w:rPr>
                <w:rFonts w:hint="eastAsia" w:ascii="Times New Roman" w:hAnsi="Times New Roman" w:eastAsia="仿宋_GB2312" w:cs="Times New Roman"/>
                <w:kern w:val="0"/>
                <w:sz w:val="24"/>
                <w:szCs w:val="24"/>
                <w:highlight w:val="none"/>
                <w:lang w:eastAsia="zh-CN" w:bidi="ar"/>
              </w:rPr>
              <w:t>信息设备利用</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ascii="Times New Roman" w:hAnsi="Times New Roman" w:eastAsia="仿宋_GB2312" w:cs="Times New Roman"/>
                <w:kern w:val="0"/>
                <w:sz w:val="24"/>
                <w:szCs w:val="24"/>
                <w:lang w:bidi="ar"/>
              </w:rPr>
              <w:t>机柜资源利用</w:t>
            </w:r>
            <w:r>
              <w:rPr>
                <w:rFonts w:hint="eastAsia" w:ascii="Times New Roman" w:hAnsi="Times New Roman" w:eastAsia="仿宋_GB2312" w:cs="Times New Roman"/>
                <w:kern w:val="0"/>
                <w:sz w:val="24"/>
                <w:szCs w:val="24"/>
                <w:lang w:bidi="ar"/>
              </w:rPr>
              <w:t>（上架率）</w:t>
            </w:r>
            <w:r>
              <w:rPr>
                <w:rFonts w:ascii="Times New Roman" w:hAnsi="Times New Roman" w:eastAsia="仿宋_GB2312" w:cs="Times New Roman"/>
                <w:kern w:val="0"/>
                <w:sz w:val="24"/>
                <w:szCs w:val="24"/>
                <w:lang w:bidi="ar"/>
              </w:rPr>
              <w:t>水平</w:t>
            </w:r>
          </w:p>
        </w:tc>
        <w:tc>
          <w:tcPr>
            <w:tcW w:w="1050"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bidi="ar"/>
              </w:rPr>
              <w:t>信息设备</w:t>
            </w:r>
            <w:r>
              <w:rPr>
                <w:rFonts w:ascii="Times New Roman" w:hAnsi="Times New Roman" w:eastAsia="仿宋_GB2312" w:cs="Times New Roman"/>
                <w:kern w:val="0"/>
                <w:sz w:val="24"/>
                <w:szCs w:val="24"/>
                <w:lang w:bidi="ar"/>
              </w:rPr>
              <w:t>负荷利用水平</w:t>
            </w:r>
          </w:p>
        </w:tc>
        <w:tc>
          <w:tcPr>
            <w:tcW w:w="1050"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ascii="Times New Roman" w:hAnsi="Times New Roman" w:eastAsia="仿宋_GB2312" w:cs="Times New Roman"/>
                <w:kern w:val="0"/>
                <w:sz w:val="24"/>
                <w:szCs w:val="24"/>
                <w:lang w:bidi="ar"/>
              </w:rPr>
              <w:t>网络资源利用水平</w:t>
            </w:r>
          </w:p>
        </w:tc>
        <w:tc>
          <w:tcPr>
            <w:tcW w:w="1050"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restart"/>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9</w:t>
            </w:r>
          </w:p>
        </w:tc>
        <w:tc>
          <w:tcPr>
            <w:tcW w:w="1985" w:type="dxa"/>
            <w:vMerge w:val="restart"/>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eastAsia="zh-CN" w:bidi="ar"/>
              </w:rPr>
              <w:t>算力设施绿色运维</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eastAsia="zh-CN" w:bidi="ar"/>
              </w:rPr>
              <w:t>绿色采购制度建设情况</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eastAsia="zh-CN" w:bidi="ar"/>
              </w:rPr>
            </w:pPr>
            <w:r>
              <w:rPr>
                <w:rFonts w:hint="eastAsia" w:ascii="Times New Roman" w:hAnsi="Times New Roman" w:eastAsia="仿宋_GB2312" w:cs="Times New Roman"/>
                <w:kern w:val="0"/>
                <w:sz w:val="24"/>
                <w:szCs w:val="24"/>
                <w:highlight w:val="none"/>
                <w:lang w:eastAsia="zh-CN" w:bidi="ar"/>
              </w:rPr>
              <w:t>应用先进节能降碳技术装备、节水技术装备情况</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eastAsia="zh-CN" w:bidi="ar"/>
              </w:rPr>
            </w:pPr>
            <w:r>
              <w:rPr>
                <w:rFonts w:hint="eastAsia" w:ascii="Times New Roman" w:hAnsi="Times New Roman" w:eastAsia="仿宋_GB2312" w:cs="Times New Roman"/>
                <w:kern w:val="0"/>
                <w:sz w:val="24"/>
                <w:szCs w:val="24"/>
                <w:highlight w:val="none"/>
                <w:lang w:eastAsia="zh-CN" w:bidi="ar"/>
              </w:rPr>
              <w:t>开展节能降碳诊断情况</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 w:hRule="atLeast"/>
        </w:trPr>
        <w:tc>
          <w:tcPr>
            <w:tcW w:w="575" w:type="dxa"/>
            <w:vMerge w:val="continue"/>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lang w:val="en-US" w:eastAsia="zh-CN" w:bidi="ar"/>
              </w:rPr>
            </w:pPr>
          </w:p>
        </w:tc>
        <w:tc>
          <w:tcPr>
            <w:tcW w:w="1985" w:type="dxa"/>
            <w:vMerge w:val="continue"/>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bidi="ar"/>
              </w:rPr>
            </w:pP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highlight w:val="none"/>
                <w:lang w:eastAsia="zh-CN" w:bidi="ar"/>
              </w:rPr>
            </w:pPr>
            <w:r>
              <w:rPr>
                <w:rFonts w:hint="eastAsia" w:ascii="Times New Roman" w:hAnsi="Times New Roman" w:eastAsia="仿宋_GB2312" w:cs="Times New Roman"/>
                <w:kern w:val="0"/>
                <w:sz w:val="24"/>
                <w:szCs w:val="24"/>
                <w:highlight w:val="none"/>
                <w:lang w:eastAsia="zh-CN" w:bidi="ar"/>
              </w:rPr>
              <w:t>废弃物处理、退役电器电子产品循环利用情况</w:t>
            </w:r>
          </w:p>
        </w:tc>
        <w:tc>
          <w:tcPr>
            <w:tcW w:w="1050" w:type="dxa"/>
            <w:noWrap w:val="0"/>
            <w:tcMar>
              <w:top w:w="12" w:type="dxa"/>
              <w:left w:w="12" w:type="dxa"/>
              <w:right w:w="12" w:type="dxa"/>
            </w:tcMar>
            <w:vAlign w:val="center"/>
          </w:tcPr>
          <w:p>
            <w:pPr>
              <w:widowControl/>
              <w:snapToGrid w:val="0"/>
              <w:jc w:val="center"/>
              <w:textAlignment w:val="center"/>
              <w:rPr>
                <w:rFonts w:hint="default" w:ascii="Times New Roman" w:hAnsi="Times New Roman" w:eastAsia="仿宋_GB2312" w:cs="Times New Roman"/>
                <w:kern w:val="0"/>
                <w:sz w:val="24"/>
                <w:szCs w:val="24"/>
                <w:highlight w:val="none"/>
                <w:lang w:val="en-US" w:eastAsia="zh-CN" w:bidi="ar"/>
              </w:rPr>
            </w:pPr>
            <w:r>
              <w:rPr>
                <w:rFonts w:hint="eastAsia" w:ascii="Times New Roman" w:hAnsi="Times New Roman" w:eastAsia="仿宋_GB2312" w:cs="Times New Roman"/>
                <w:kern w:val="0"/>
                <w:sz w:val="24"/>
                <w:szCs w:val="24"/>
                <w:highlight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575"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10</w:t>
            </w:r>
          </w:p>
        </w:tc>
        <w:tc>
          <w:tcPr>
            <w:tcW w:w="1985"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bidi="ar"/>
              </w:rPr>
            </w:pPr>
            <w:r>
              <w:rPr>
                <w:rFonts w:hint="eastAsia" w:ascii="Times New Roman" w:hAnsi="Times New Roman" w:eastAsia="仿宋_GB2312" w:cs="Times New Roman"/>
                <w:kern w:val="0"/>
                <w:sz w:val="24"/>
                <w:szCs w:val="24"/>
                <w:lang w:eastAsia="zh-CN" w:bidi="ar"/>
              </w:rPr>
              <w:t>算力设施</w:t>
            </w:r>
            <w:r>
              <w:rPr>
                <w:rFonts w:ascii="Times New Roman" w:hAnsi="Times New Roman" w:eastAsia="仿宋_GB2312" w:cs="Times New Roman"/>
                <w:kern w:val="0"/>
                <w:sz w:val="24"/>
                <w:szCs w:val="24"/>
                <w:lang w:bidi="ar"/>
              </w:rPr>
              <w:t>布局</w:t>
            </w:r>
          </w:p>
        </w:tc>
        <w:tc>
          <w:tcPr>
            <w:tcW w:w="5363" w:type="dxa"/>
            <w:noWrap w:val="0"/>
            <w:tcMar>
              <w:top w:w="12" w:type="dxa"/>
              <w:left w:w="12" w:type="dxa"/>
              <w:right w:w="12" w:type="dxa"/>
            </w:tcMar>
            <w:vAlign w:val="center"/>
          </w:tcPr>
          <w:p>
            <w:pPr>
              <w:widowControl/>
              <w:snapToGrid w:val="0"/>
              <w:jc w:val="left"/>
              <w:textAlignment w:val="center"/>
              <w:rPr>
                <w:rFonts w:hint="eastAsia" w:ascii="Times New Roman" w:hAnsi="Times New Roman" w:eastAsia="仿宋_GB2312" w:cs="Times New Roman"/>
                <w:kern w:val="0"/>
                <w:sz w:val="24"/>
                <w:szCs w:val="24"/>
                <w:lang w:val="en-US" w:eastAsia="zh-CN" w:bidi="ar"/>
              </w:rPr>
            </w:pPr>
            <w:r>
              <w:rPr>
                <w:rFonts w:ascii="Times New Roman" w:hAnsi="Times New Roman" w:eastAsia="仿宋_GB2312" w:cs="Times New Roman"/>
                <w:kern w:val="0"/>
                <w:sz w:val="24"/>
                <w:szCs w:val="24"/>
                <w:lang w:bidi="ar"/>
              </w:rPr>
              <w:t>科学布局水平</w:t>
            </w:r>
          </w:p>
        </w:tc>
        <w:tc>
          <w:tcPr>
            <w:tcW w:w="1050" w:type="dxa"/>
            <w:noWrap w:val="0"/>
            <w:tcMar>
              <w:top w:w="12" w:type="dxa"/>
              <w:left w:w="12" w:type="dxa"/>
              <w:right w:w="12" w:type="dxa"/>
            </w:tcMar>
            <w:vAlign w:val="center"/>
          </w:tcPr>
          <w:p>
            <w:pPr>
              <w:widowControl/>
              <w:snapToGrid w:val="0"/>
              <w:jc w:val="center"/>
              <w:textAlignment w:val="center"/>
              <w:rPr>
                <w:rFonts w:hint="eastAsia" w:ascii="Times New Roman" w:hAnsi="Times New Roman" w:eastAsia="仿宋_GB2312" w:cs="Times New Roman"/>
                <w:kern w:val="0"/>
                <w:sz w:val="24"/>
                <w:szCs w:val="24"/>
                <w:lang w:val="en-US" w:eastAsia="zh-CN" w:bidi="ar"/>
              </w:rPr>
            </w:pPr>
            <w:r>
              <w:rPr>
                <w:rFonts w:hint="eastAsia" w:ascii="Times New Roman" w:hAnsi="Times New Roman" w:eastAsia="仿宋_GB2312" w:cs="Times New Roman"/>
                <w:kern w:val="0"/>
                <w:sz w:val="24"/>
                <w:szCs w:val="24"/>
                <w:lang w:val="en-US" w:eastAsia="zh-CN" w:bidi="ar"/>
              </w:rPr>
              <w:t>4</w:t>
            </w:r>
          </w:p>
        </w:tc>
      </w:tr>
    </w:tbl>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Times New Roman" w:hAnsi="Times New Roman" w:eastAsia="仿宋_GB2312" w:cs="Times New Roman"/>
          <w:sz w:val="32"/>
          <w:szCs w:val="32"/>
        </w:rPr>
      </w:pPr>
      <w:r>
        <w:rPr>
          <w:rFonts w:hint="default" w:ascii="Times New Roman" w:hAnsi="Times New Roman" w:eastAsia="仿宋_GB2312"/>
          <w:sz w:val="32"/>
          <w:szCs w:val="32"/>
        </w:rPr>
        <w:t>202</w:t>
      </w:r>
      <w:r>
        <w:rPr>
          <w:rFonts w:hint="default" w:ascii="Times New Roman" w:hAnsi="Times New Roman" w:eastAsia="仿宋_GB2312"/>
          <w:sz w:val="32"/>
          <w:szCs w:val="32"/>
          <w:lang w:val="en-US" w:eastAsia="zh-CN"/>
        </w:rPr>
        <w:t>6</w:t>
      </w:r>
      <w:r>
        <w:rPr>
          <w:rFonts w:hint="default" w:ascii="Times New Roman" w:hAnsi="Times New Roman" w:eastAsia="仿宋_GB2312"/>
          <w:sz w:val="32"/>
          <w:szCs w:val="32"/>
        </w:rPr>
        <w:t>年度</w:t>
      </w:r>
      <w:r>
        <w:rPr>
          <w:rFonts w:hint="eastAsia" w:eastAsia="仿宋_GB2312"/>
          <w:sz w:val="32"/>
          <w:szCs w:val="32"/>
        </w:rPr>
        <w:t>国家绿色</w:t>
      </w:r>
      <w:r>
        <w:rPr>
          <w:rFonts w:hint="eastAsia" w:eastAsia="仿宋_GB2312"/>
          <w:sz w:val="32"/>
          <w:szCs w:val="32"/>
          <w:lang w:eastAsia="zh-CN"/>
        </w:rPr>
        <w:t>算力设施</w:t>
      </w:r>
      <w:r>
        <w:rPr>
          <w:rFonts w:hint="eastAsia" w:eastAsia="仿宋_GB2312"/>
          <w:sz w:val="32"/>
          <w:szCs w:val="32"/>
        </w:rPr>
        <w:t>评价指标中，总耗电量、信息设备耗电量、</w:t>
      </w:r>
      <w:r>
        <w:rPr>
          <w:rFonts w:hint="eastAsia" w:eastAsia="仿宋_GB2312"/>
          <w:sz w:val="32"/>
          <w:szCs w:val="32"/>
          <w:lang w:eastAsia="zh-CN"/>
        </w:rPr>
        <w:t>温室气体排放量、</w:t>
      </w:r>
      <w:r>
        <w:rPr>
          <w:rFonts w:hint="eastAsia" w:eastAsia="仿宋_GB2312"/>
          <w:sz w:val="32"/>
          <w:szCs w:val="32"/>
        </w:rPr>
        <w:t>水资源消耗量</w:t>
      </w:r>
      <w:r>
        <w:rPr>
          <w:rFonts w:hint="eastAsia" w:ascii="Times New Roman" w:hAnsi="Times New Roman" w:eastAsia="仿宋_GB2312" w:cs="Times New Roman"/>
          <w:sz w:val="32"/>
          <w:szCs w:val="32"/>
        </w:rPr>
        <w:t>等均为</w:t>
      </w:r>
      <w:r>
        <w:rPr>
          <w:rFonts w:hint="eastAsia" w:ascii="Times New Roman" w:hAnsi="Times New Roman" w:eastAsia="仿宋_GB2312" w:cs="Times New Roman"/>
          <w:sz w:val="32"/>
          <w:szCs w:val="32"/>
          <w:lang w:eastAsia="zh-CN"/>
        </w:rPr>
        <w:t>截至申报日前连续一年的实际测量数据</w:t>
      </w:r>
      <w:r>
        <w:rPr>
          <w:rFonts w:hint="eastAsia" w:ascii="Times New Roman" w:hAnsi="Times New Roman" w:eastAsia="仿宋_GB2312" w:cs="Times New Roman"/>
          <w:sz w:val="32"/>
          <w:szCs w:val="32"/>
        </w:rPr>
        <w:t>。</w:t>
      </w:r>
    </w:p>
    <w:p>
      <w:pPr>
        <w:tabs>
          <w:tab w:val="center" w:pos="6663"/>
        </w:tabs>
        <w:spacing w:line="594" w:lineRule="exact"/>
        <w:ind w:firstLine="640" w:firstLineChars="200"/>
        <w:outlineLvl w:val="0"/>
        <w:rPr>
          <w:rFonts w:ascii="Times New Roman" w:hAnsi="Times New Roman" w:eastAsia="黑体"/>
          <w:kern w:val="0"/>
          <w:sz w:val="32"/>
          <w:szCs w:val="32"/>
        </w:rPr>
      </w:pPr>
      <w:r>
        <w:rPr>
          <w:rFonts w:ascii="Times New Roman" w:hAnsi="Times New Roman" w:eastAsia="黑体"/>
          <w:kern w:val="0"/>
          <w:sz w:val="32"/>
          <w:szCs w:val="32"/>
        </w:rPr>
        <w:t>二、指标说明及评分规则</w:t>
      </w:r>
    </w:p>
    <w:p>
      <w:pPr>
        <w:pStyle w:val="7"/>
        <w:adjustRightInd w:val="0"/>
        <w:snapToGrid w:val="0"/>
        <w:spacing w:line="594" w:lineRule="exact"/>
        <w:ind w:firstLine="640"/>
        <w:outlineLvl w:val="1"/>
        <w:rPr>
          <w:rFonts w:hint="default" w:ascii="Times New Roman" w:hAnsi="Times New Roman" w:eastAsia="楷体_GB2312"/>
          <w:bCs/>
          <w:sz w:val="32"/>
          <w:szCs w:val="32"/>
          <w:lang w:eastAsia="zh-CN"/>
        </w:rPr>
      </w:pPr>
      <w:r>
        <w:rPr>
          <w:rFonts w:ascii="Times New Roman" w:hAnsi="Times New Roman" w:eastAsia="楷体_GB2312"/>
          <w:bCs/>
          <w:sz w:val="32"/>
          <w:szCs w:val="32"/>
        </w:rPr>
        <w:t>（一）</w:t>
      </w:r>
      <w:r>
        <w:rPr>
          <w:rFonts w:hint="default" w:ascii="Times New Roman" w:hAnsi="Times New Roman" w:eastAsia="楷体_GB2312"/>
          <w:bCs/>
          <w:sz w:val="32"/>
          <w:szCs w:val="32"/>
        </w:rPr>
        <w:t>能源利用</w:t>
      </w:r>
      <w:r>
        <w:rPr>
          <w:rFonts w:hint="default" w:ascii="Times New Roman" w:hAnsi="Times New Roman" w:eastAsia="楷体_GB2312"/>
          <w:bCs/>
          <w:sz w:val="32"/>
          <w:szCs w:val="32"/>
          <w:lang w:eastAsia="zh-CN"/>
        </w:rPr>
        <w:t>水平</w:t>
      </w:r>
    </w:p>
    <w:p>
      <w:pPr>
        <w:tabs>
          <w:tab w:val="left" w:pos="0"/>
        </w:tabs>
        <w:adjustRightInd w:val="0"/>
        <w:snapToGrid w:val="0"/>
        <w:spacing w:line="594" w:lineRule="exact"/>
        <w:ind w:firstLine="640" w:firstLineChars="200"/>
        <w:outlineLvl w:val="2"/>
        <w:rPr>
          <w:rFonts w:hint="default" w:ascii="Times New Roman" w:hAnsi="Times New Roman" w:eastAsia="仿宋_GB2312" w:cs="Times New Roman"/>
          <w:bCs/>
          <w:sz w:val="32"/>
          <w:szCs w:val="32"/>
        </w:rPr>
      </w:pPr>
      <w:r>
        <w:rPr>
          <w:rFonts w:hint="default" w:ascii="Times New Roman" w:hAnsi="Times New Roman" w:eastAsia="仿宋_GB2312" w:cs="Times New Roman"/>
          <w:b w:val="0"/>
          <w:bCs/>
          <w:sz w:val="32"/>
          <w:szCs w:val="32"/>
        </w:rPr>
        <w:t>1.电能利用效率</w:t>
      </w:r>
      <w:r>
        <w:rPr>
          <w:rFonts w:hint="default" w:ascii="Times New Roman" w:hAnsi="Times New Roman" w:eastAsia="仿宋_GB2312" w:cs="Times New Roman"/>
          <w:b w:val="0"/>
          <w:bCs/>
          <w:sz w:val="32"/>
          <w:szCs w:val="32"/>
          <w:lang w:eastAsia="zh-CN"/>
        </w:rPr>
        <w:t>（</w:t>
      </w:r>
      <w:r>
        <w:rPr>
          <w:rFonts w:hint="default" w:ascii="Times New Roman" w:hAnsi="Times New Roman" w:eastAsia="仿宋_GB2312" w:cs="Times New Roman"/>
          <w:b w:val="0"/>
          <w:bCs/>
          <w:sz w:val="32"/>
          <w:szCs w:val="32"/>
          <w:lang w:val="en-US" w:eastAsia="zh-CN"/>
        </w:rPr>
        <w:t>PUE</w:t>
      </w:r>
      <w:r>
        <w:rPr>
          <w:rFonts w:hint="default" w:ascii="Times New Roman" w:hAnsi="Times New Roman" w:eastAsia="仿宋_GB2312" w:cs="Times New Roman"/>
          <w:b w:val="0"/>
          <w:bCs/>
          <w:sz w:val="32"/>
          <w:szCs w:val="32"/>
          <w:lang w:eastAsia="zh-CN"/>
        </w:rPr>
        <w:t>）</w:t>
      </w:r>
      <w:r>
        <w:rPr>
          <w:rFonts w:hint="default" w:ascii="Times New Roman" w:hAnsi="Times New Roman" w:eastAsia="仿宋_GB2312" w:cs="Times New Roman"/>
          <w:b w:val="0"/>
          <w:bCs/>
          <w:sz w:val="32"/>
          <w:szCs w:val="32"/>
        </w:rPr>
        <w:t>（总分</w:t>
      </w:r>
      <w:r>
        <w:rPr>
          <w:rFonts w:hint="eastAsia" w:ascii="Times New Roman" w:hAnsi="Times New Roman" w:eastAsia="仿宋_GB2312" w:cs="Times New Roman"/>
          <w:b w:val="0"/>
          <w:bCs/>
          <w:sz w:val="32"/>
          <w:szCs w:val="32"/>
          <w:lang w:val="en-US" w:eastAsia="zh-CN"/>
        </w:rPr>
        <w:t>24</w:t>
      </w:r>
      <w:r>
        <w:rPr>
          <w:rFonts w:hint="default" w:ascii="Times New Roman" w:hAnsi="Times New Roman" w:eastAsia="仿宋_GB2312" w:cs="Times New Roman"/>
          <w:b w:val="0"/>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eastAsia="仿宋_GB2312"/>
          <w:bCs/>
          <w:sz w:val="32"/>
          <w:szCs w:val="32"/>
        </w:rPr>
      </w:pPr>
      <w:r>
        <w:rPr>
          <w:rFonts w:hint="eastAsia" w:eastAsia="仿宋_GB2312"/>
          <w:bCs/>
          <w:sz w:val="32"/>
          <w:szCs w:val="32"/>
        </w:rPr>
        <w:t>本指标以</w:t>
      </w:r>
      <w:r>
        <w:rPr>
          <w:rFonts w:hint="eastAsia" w:eastAsia="仿宋_GB2312"/>
          <w:bCs/>
          <w:sz w:val="32"/>
          <w:szCs w:val="32"/>
          <w:lang w:eastAsia="zh-CN"/>
        </w:rPr>
        <w:t>算力设施电能利用效率</w:t>
      </w:r>
      <w:r>
        <w:rPr>
          <w:rFonts w:hint="default" w:ascii="Times New Roman" w:hAnsi="Times New Roman" w:eastAsia="仿宋_GB2312"/>
          <w:bCs/>
          <w:sz w:val="32"/>
          <w:szCs w:val="32"/>
          <w:lang w:val="en-US" w:eastAsia="zh-CN"/>
        </w:rPr>
        <w:t>（PUE）</w:t>
      </w:r>
      <w:r>
        <w:rPr>
          <w:rFonts w:hint="default" w:ascii="Times New Roman" w:hAnsi="Times New Roman" w:eastAsia="仿宋_GB2312"/>
          <w:bCs/>
          <w:sz w:val="32"/>
          <w:szCs w:val="32"/>
        </w:rPr>
        <w:t>作为评价依据</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通过计算</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总耗电量与信息设备耗电量的比值得出，其中耗电量按照《数据中心能效限定值及能效等级》（GB 40879）规定的“测试与计算方法”实际测量得出</w:t>
      </w:r>
      <w:r>
        <w:rPr>
          <w:rFonts w:hint="default" w:ascii="Times New Roman" w:hAnsi="Times New Roman" w:eastAsia="仿宋_GB2312"/>
          <w:bCs/>
          <w:sz w:val="32"/>
          <w:szCs w:val="32"/>
          <w:lang w:eastAsia="zh-CN"/>
        </w:rPr>
        <w:t>，单位均为</w:t>
      </w:r>
      <w:r>
        <w:rPr>
          <w:rFonts w:hint="default" w:ascii="Times New Roman" w:hAnsi="Times New Roman" w:eastAsia="仿宋_GB2312"/>
          <w:bCs/>
          <w:sz w:val="32"/>
          <w:szCs w:val="32"/>
        </w:rPr>
        <w:t>kW·h</w:t>
      </w:r>
      <w:r>
        <w:rPr>
          <w:rFonts w:hint="default" w:ascii="Times New Roman" w:hAnsi="Times New Roman" w:eastAsia="仿宋_GB2312"/>
          <w:bCs/>
          <w:sz w:val="32"/>
          <w:szCs w:val="32"/>
          <w:lang w:val="en-US" w:eastAsia="zh-CN"/>
        </w:rPr>
        <w:t>，</w:t>
      </w:r>
      <w:r>
        <w:rPr>
          <w:rFonts w:hint="default" w:ascii="Times New Roman" w:hAnsi="Times New Roman" w:eastAsia="仿宋_GB2312"/>
          <w:bCs/>
          <w:sz w:val="32"/>
          <w:szCs w:val="32"/>
        </w:rPr>
        <w:t>下</w:t>
      </w:r>
      <w:r>
        <w:rPr>
          <w:rFonts w:hint="eastAsia" w:eastAsia="仿宋_GB2312"/>
          <w:bCs/>
          <w:sz w:val="32"/>
          <w:szCs w:val="32"/>
        </w:rPr>
        <w:t>同。</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cs="Times New Roman"/>
          <w:bCs/>
          <w:sz w:val="32"/>
          <w:szCs w:val="32"/>
          <w:lang w:eastAsia="zh-CN"/>
        </w:rPr>
        <w:t>算力设施</w:t>
      </w:r>
      <w:r>
        <w:rPr>
          <w:rFonts w:hint="default" w:ascii="Times New Roman" w:hAnsi="Times New Roman" w:eastAsia="仿宋_GB2312" w:cs="Times New Roman"/>
          <w:bCs/>
          <w:sz w:val="32"/>
          <w:szCs w:val="32"/>
        </w:rPr>
        <w:t>采用的服务器能效应达到《塔式和机架式服务器能效限定值及能效等级》</w:t>
      </w:r>
      <w:r>
        <w:rPr>
          <w:rFonts w:hint="default" w:ascii="Times New Roman" w:hAnsi="Times New Roman" w:eastAsia="仿宋_GB2312" w:cs="Times New Roman"/>
          <w:bCs/>
          <w:sz w:val="32"/>
          <w:szCs w:val="32"/>
          <w:highlight w:val="none"/>
        </w:rPr>
        <w:t>（</w:t>
      </w:r>
      <w:r>
        <w:rPr>
          <w:rFonts w:ascii="Times New Roman" w:hAnsi="Times New Roman" w:eastAsia="仿宋_GB2312"/>
          <w:bCs/>
          <w:sz w:val="32"/>
          <w:szCs w:val="32"/>
          <w:highlight w:val="none"/>
        </w:rPr>
        <w:t>GB</w:t>
      </w:r>
      <w:r>
        <w:rPr>
          <w:rFonts w:hint="default" w:ascii="Times New Roman" w:hAnsi="Times New Roman" w:eastAsia="仿宋_GB2312"/>
          <w:bCs/>
          <w:sz w:val="32"/>
          <w:szCs w:val="32"/>
          <w:highlight w:val="none"/>
        </w:rPr>
        <w:t xml:space="preserve"> </w:t>
      </w:r>
      <w:r>
        <w:rPr>
          <w:rFonts w:ascii="Times New Roman" w:hAnsi="Times New Roman" w:eastAsia="仿宋_GB2312"/>
          <w:bCs/>
          <w:sz w:val="32"/>
          <w:szCs w:val="32"/>
          <w:highlight w:val="none"/>
        </w:rPr>
        <w:t>43630</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bCs/>
          <w:sz w:val="32"/>
          <w:szCs w:val="32"/>
          <w:highlight w:val="none"/>
        </w:rPr>
        <w:t>等服务器能效等级相关标准</w:t>
      </w:r>
      <w:r>
        <w:rPr>
          <w:rFonts w:hint="default" w:ascii="Times New Roman" w:hAnsi="Times New Roman" w:eastAsia="仿宋_GB2312" w:cs="Times New Roman"/>
          <w:bCs/>
          <w:sz w:val="32"/>
          <w:szCs w:val="32"/>
          <w:highlight w:val="none"/>
        </w:rPr>
        <w:t>规定的2级或节能水平及以上，否则不得分。</w:t>
      </w:r>
      <w:r>
        <w:rPr>
          <w:rFonts w:hint="default" w:ascii="Times New Roman" w:hAnsi="Times New Roman" w:eastAsia="仿宋_GB2312"/>
          <w:bCs/>
          <w:sz w:val="32"/>
          <w:szCs w:val="32"/>
          <w:highlight w:val="none"/>
        </w:rPr>
        <w:t>达到上述能效等级要求，评分规则为：按照电能</w:t>
      </w:r>
      <w:r>
        <w:rPr>
          <w:rFonts w:hint="default" w:ascii="Times New Roman" w:hAnsi="Times New Roman" w:eastAsia="仿宋_GB2312"/>
          <w:bCs/>
          <w:sz w:val="32"/>
          <w:szCs w:val="32"/>
          <w:highlight w:val="none"/>
          <w:lang w:val="en-US" w:eastAsia="zh-CN"/>
        </w:rPr>
        <w:t>利用效率（PUE）</w:t>
      </w:r>
      <w:r>
        <w:rPr>
          <w:rFonts w:hint="default" w:ascii="Times New Roman" w:hAnsi="Times New Roman" w:eastAsia="仿宋_GB2312"/>
          <w:bCs/>
          <w:sz w:val="32"/>
          <w:szCs w:val="32"/>
          <w:highlight w:val="none"/>
        </w:rPr>
        <w:t>值从1.30至1.10，对应得</w:t>
      </w:r>
      <w:r>
        <w:rPr>
          <w:rFonts w:hint="default" w:ascii="Times New Roman" w:hAnsi="Times New Roman" w:eastAsia="仿宋_GB2312"/>
          <w:bCs/>
          <w:sz w:val="32"/>
          <w:szCs w:val="32"/>
          <w:highlight w:val="none"/>
          <w:lang w:val="en-US" w:eastAsia="zh-CN"/>
        </w:rPr>
        <w:t>4</w:t>
      </w:r>
      <w:r>
        <w:rPr>
          <w:rFonts w:hint="default" w:ascii="Times New Roman" w:hAnsi="Times New Roman" w:eastAsia="仿宋_GB2312"/>
          <w:bCs/>
          <w:sz w:val="32"/>
          <w:szCs w:val="32"/>
          <w:highlight w:val="none"/>
        </w:rPr>
        <w:t>至</w:t>
      </w:r>
      <w:r>
        <w:rPr>
          <w:rFonts w:hint="default" w:ascii="Times New Roman" w:hAnsi="Times New Roman" w:eastAsia="仿宋_GB2312"/>
          <w:bCs/>
          <w:sz w:val="32"/>
          <w:szCs w:val="32"/>
          <w:highlight w:val="none"/>
          <w:lang w:val="en-US" w:eastAsia="zh-CN"/>
        </w:rPr>
        <w:t>24</w:t>
      </w:r>
      <w:r>
        <w:rPr>
          <w:rFonts w:hint="default" w:ascii="Times New Roman" w:hAnsi="Times New Roman" w:eastAsia="仿宋_GB2312"/>
          <w:bCs/>
          <w:sz w:val="32"/>
          <w:szCs w:val="32"/>
          <w:highlight w:val="none"/>
        </w:rPr>
        <w:t>分。高于1.30不得分；等于1.30得</w:t>
      </w:r>
      <w:r>
        <w:rPr>
          <w:rFonts w:hint="default" w:ascii="Times New Roman" w:hAnsi="Times New Roman" w:eastAsia="仿宋_GB2312"/>
          <w:bCs/>
          <w:sz w:val="32"/>
          <w:szCs w:val="32"/>
          <w:highlight w:val="none"/>
          <w:lang w:val="en-US" w:eastAsia="zh-CN"/>
        </w:rPr>
        <w:t>4</w:t>
      </w:r>
      <w:r>
        <w:rPr>
          <w:rFonts w:hint="default"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eastAsia="zh-CN"/>
        </w:rPr>
        <w:t>在</w:t>
      </w:r>
      <w:r>
        <w:rPr>
          <w:rFonts w:hint="default" w:ascii="Times New Roman" w:hAnsi="Times New Roman" w:eastAsia="仿宋_GB2312"/>
          <w:bCs/>
          <w:sz w:val="32"/>
          <w:szCs w:val="32"/>
          <w:highlight w:val="none"/>
          <w:lang w:val="en-US" w:eastAsia="zh-CN"/>
        </w:rPr>
        <w:t>1.30至1.10之间</w:t>
      </w:r>
      <w:r>
        <w:rPr>
          <w:rFonts w:hint="default" w:ascii="Times New Roman" w:hAnsi="Times New Roman" w:eastAsia="仿宋_GB2312"/>
          <w:bCs/>
          <w:sz w:val="32"/>
          <w:szCs w:val="32"/>
          <w:highlight w:val="none"/>
        </w:rPr>
        <w:t>，每减少0.01得分增加</w:t>
      </w:r>
      <w:r>
        <w:rPr>
          <w:rFonts w:hint="default" w:ascii="Times New Roman" w:hAnsi="Times New Roman" w:eastAsia="仿宋_GB2312"/>
          <w:bCs/>
          <w:sz w:val="32"/>
          <w:szCs w:val="32"/>
          <w:highlight w:val="none"/>
          <w:lang w:val="en-US" w:eastAsia="zh-CN"/>
        </w:rPr>
        <w:t>1</w:t>
      </w:r>
      <w:r>
        <w:rPr>
          <w:rFonts w:hint="default"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eastAsia="zh-CN"/>
        </w:rPr>
        <w:t>；</w:t>
      </w:r>
      <w:r>
        <w:rPr>
          <w:rFonts w:hint="default" w:ascii="Times New Roman" w:hAnsi="Times New Roman" w:eastAsia="仿宋_GB2312"/>
          <w:bCs/>
          <w:sz w:val="32"/>
          <w:szCs w:val="32"/>
          <w:highlight w:val="none"/>
        </w:rPr>
        <w:t>达到或低于1.10直接得</w:t>
      </w:r>
      <w:r>
        <w:rPr>
          <w:rFonts w:hint="default" w:ascii="Times New Roman" w:hAnsi="Times New Roman" w:eastAsia="仿宋_GB2312"/>
          <w:bCs/>
          <w:sz w:val="32"/>
          <w:szCs w:val="32"/>
          <w:highlight w:val="none"/>
          <w:lang w:val="en-US" w:eastAsia="zh-CN"/>
        </w:rPr>
        <w:t>24</w:t>
      </w:r>
      <w:r>
        <w:rPr>
          <w:rFonts w:hint="default" w:ascii="Times New Roman" w:hAnsi="Times New Roman" w:eastAsia="仿宋_GB2312"/>
          <w:bCs/>
          <w:sz w:val="32"/>
          <w:szCs w:val="32"/>
          <w:highlight w:val="none"/>
        </w:rPr>
        <w:t>分（公共机构及金融领域申报的</w:t>
      </w:r>
      <w:r>
        <w:rPr>
          <w:rFonts w:hint="default" w:ascii="Times New Roman" w:hAnsi="Times New Roman" w:eastAsia="仿宋_GB2312"/>
          <w:bCs/>
          <w:sz w:val="32"/>
          <w:szCs w:val="32"/>
          <w:highlight w:val="none"/>
          <w:lang w:eastAsia="zh-CN"/>
        </w:rPr>
        <w:t>算力设施</w:t>
      </w:r>
      <w:r>
        <w:rPr>
          <w:rFonts w:hint="default" w:ascii="Times New Roman" w:hAnsi="Times New Roman" w:eastAsia="仿宋_GB2312"/>
          <w:bCs/>
          <w:sz w:val="32"/>
          <w:szCs w:val="32"/>
          <w:highlight w:val="none"/>
        </w:rPr>
        <w:t>，若规模小于3000个标准机架，其电能利用效率值按1.50至1.30计算得分）。</w:t>
      </w:r>
    </w:p>
    <w:p>
      <w:pPr>
        <w:tabs>
          <w:tab w:val="left" w:pos="0"/>
        </w:tabs>
        <w:adjustRightInd w:val="0"/>
        <w:snapToGrid w:val="0"/>
        <w:spacing w:line="594" w:lineRule="exact"/>
        <w:ind w:firstLine="640" w:firstLineChars="200"/>
        <w:outlineLvl w:val="2"/>
        <w:rPr>
          <w:rFonts w:hint="eastAsia" w:ascii="Times New Roman" w:hAnsi="Times New Roman" w:eastAsia="仿宋_GB2312" w:cs="Times New Roman"/>
          <w:bCs/>
          <w:sz w:val="32"/>
          <w:szCs w:val="32"/>
          <w:highlight w:val="none"/>
          <w:lang w:val="en-US" w:eastAsia="zh-CN"/>
        </w:rPr>
      </w:pPr>
      <w:r>
        <w:rPr>
          <w:rFonts w:hint="eastAsia" w:ascii="Times New Roman" w:hAnsi="Times New Roman" w:eastAsia="仿宋_GB2312" w:cs="Times New Roman"/>
          <w:bCs/>
          <w:sz w:val="32"/>
          <w:szCs w:val="32"/>
          <w:highlight w:val="none"/>
          <w:lang w:val="en-US" w:eastAsia="zh-CN"/>
        </w:rPr>
        <w:t>2.</w:t>
      </w:r>
      <w:r>
        <w:rPr>
          <w:rFonts w:hint="eastAsia" w:eastAsia="仿宋_GB2312"/>
          <w:bCs/>
          <w:sz w:val="32"/>
          <w:szCs w:val="32"/>
          <w:highlight w:val="none"/>
          <w:lang w:eastAsia="zh-CN"/>
        </w:rPr>
        <w:t>单位算力能效</w:t>
      </w:r>
      <w:r>
        <w:rPr>
          <w:rFonts w:hint="eastAsia" w:ascii="Times New Roman" w:hAnsi="Times New Roman" w:eastAsia="仿宋_GB2312" w:cs="Times New Roman"/>
          <w:bCs/>
          <w:sz w:val="32"/>
          <w:szCs w:val="32"/>
          <w:highlight w:val="none"/>
          <w:lang w:val="en-US" w:eastAsia="zh-CN"/>
        </w:rPr>
        <w:t>（总分6分）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本指标</w:t>
      </w: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算力设施单位算力能耗与上一年度的下降幅度</w:t>
      </w:r>
      <w:r>
        <w:rPr>
          <w:rFonts w:hint="default" w:ascii="Times New Roman" w:hAnsi="Times New Roman" w:eastAsia="仿宋_GB2312"/>
          <w:bCs/>
          <w:sz w:val="32"/>
          <w:szCs w:val="32"/>
        </w:rPr>
        <w:t>作为</w:t>
      </w:r>
      <w:r>
        <w:rPr>
          <w:rFonts w:ascii="Times New Roman" w:hAnsi="Times New Roman" w:eastAsia="仿宋_GB2312"/>
          <w:bCs/>
          <w:sz w:val="32"/>
          <w:szCs w:val="32"/>
        </w:rPr>
        <w:t>评价</w:t>
      </w:r>
      <w:r>
        <w:rPr>
          <w:rFonts w:hint="default" w:ascii="Times New Roman" w:hAnsi="Times New Roman" w:eastAsia="仿宋_GB2312"/>
          <w:bCs/>
          <w:sz w:val="32"/>
          <w:szCs w:val="32"/>
        </w:rPr>
        <w:t>依据</w:t>
      </w:r>
      <w:r>
        <w:rPr>
          <w:rFonts w:ascii="Times New Roman" w:hAnsi="Times New Roman" w:eastAsia="仿宋_GB2312"/>
          <w:bCs/>
          <w:sz w:val="32"/>
          <w:szCs w:val="32"/>
        </w:rPr>
        <w:t>。</w:t>
      </w:r>
      <w:r>
        <w:rPr>
          <w:rFonts w:hint="default" w:ascii="Times New Roman" w:hAnsi="Times New Roman" w:eastAsia="仿宋_GB2312"/>
          <w:bCs/>
          <w:sz w:val="32"/>
          <w:szCs w:val="32"/>
          <w:lang w:eastAsia="zh-CN"/>
        </w:rPr>
        <w:t>单位算力能耗为算力设施总耗电量与算力设施计算能力理论峰值的比值。算力设施计算能力理论峰值为算力设施内安装的全部计算设备在指定精度下的</w:t>
      </w:r>
      <w:r>
        <w:rPr>
          <w:rFonts w:hint="default" w:ascii="Times New Roman" w:hAnsi="Times New Roman" w:eastAsia="仿宋_GB2312"/>
          <w:bCs/>
          <w:sz w:val="32"/>
          <w:szCs w:val="32"/>
        </w:rPr>
        <w:t>每秒浮点运算次数（FLOPS）</w:t>
      </w:r>
      <w:r>
        <w:rPr>
          <w:rFonts w:hint="default" w:ascii="Times New Roman" w:hAnsi="Times New Roman" w:eastAsia="仿宋_GB2312"/>
          <w:bCs/>
          <w:sz w:val="32"/>
          <w:szCs w:val="32"/>
          <w:lang w:eastAsia="zh-CN"/>
        </w:rPr>
        <w:t>理论</w:t>
      </w:r>
      <w:r>
        <w:rPr>
          <w:rFonts w:hint="default" w:ascii="Times New Roman" w:hAnsi="Times New Roman" w:eastAsia="仿宋_GB2312"/>
          <w:bCs/>
          <w:sz w:val="32"/>
          <w:szCs w:val="32"/>
        </w:rPr>
        <w:t>峰值</w:t>
      </w:r>
      <w:r>
        <w:rPr>
          <w:rFonts w:hint="default" w:ascii="Times New Roman" w:hAnsi="Times New Roman" w:eastAsia="仿宋_GB2312"/>
          <w:bCs/>
          <w:sz w:val="32"/>
          <w:szCs w:val="32"/>
          <w:lang w:eastAsia="zh-CN"/>
        </w:rPr>
        <w:t>之和。其中，</w:t>
      </w:r>
      <w:r>
        <w:rPr>
          <w:rFonts w:hint="default" w:ascii="Times New Roman" w:hAnsi="Times New Roman" w:eastAsia="仿宋_GB2312"/>
          <w:bCs/>
          <w:sz w:val="32"/>
          <w:szCs w:val="32"/>
        </w:rPr>
        <w:t>通用算力</w:t>
      </w:r>
      <w:r>
        <w:rPr>
          <w:rFonts w:hint="default" w:ascii="Times New Roman" w:hAnsi="Times New Roman" w:eastAsia="仿宋_GB2312"/>
          <w:bCs/>
          <w:sz w:val="32"/>
          <w:szCs w:val="32"/>
          <w:lang w:eastAsia="zh-CN"/>
        </w:rPr>
        <w:t>设备</w:t>
      </w:r>
      <w:r>
        <w:rPr>
          <w:rFonts w:hint="default" w:ascii="Times New Roman" w:hAnsi="Times New Roman" w:eastAsia="仿宋_GB2312"/>
          <w:bCs/>
          <w:sz w:val="32"/>
          <w:szCs w:val="32"/>
        </w:rPr>
        <w:t>（以CPU为主）按单精度浮点运算（FP32）计量；智能算力</w:t>
      </w:r>
      <w:r>
        <w:rPr>
          <w:rFonts w:hint="default" w:ascii="Times New Roman" w:hAnsi="Times New Roman" w:eastAsia="仿宋_GB2312"/>
          <w:bCs/>
          <w:sz w:val="32"/>
          <w:szCs w:val="32"/>
          <w:lang w:eastAsia="zh-CN"/>
        </w:rPr>
        <w:t>设备</w:t>
      </w:r>
      <w:r>
        <w:rPr>
          <w:rFonts w:hint="default" w:ascii="Times New Roman" w:hAnsi="Times New Roman" w:eastAsia="仿宋_GB2312"/>
          <w:bCs/>
          <w:sz w:val="32"/>
          <w:szCs w:val="32"/>
        </w:rPr>
        <w:t>（以GPU/AI加速器为主）按半精度浮点运算（FP16）稠密运算条件计量；超级计算</w:t>
      </w:r>
      <w:r>
        <w:rPr>
          <w:rFonts w:hint="default" w:ascii="Times New Roman" w:hAnsi="Times New Roman" w:eastAsia="仿宋_GB2312"/>
          <w:bCs/>
          <w:sz w:val="32"/>
          <w:szCs w:val="32"/>
          <w:lang w:eastAsia="zh-CN"/>
        </w:rPr>
        <w:t>设备</w:t>
      </w:r>
      <w:r>
        <w:rPr>
          <w:rFonts w:hint="default" w:ascii="Times New Roman" w:hAnsi="Times New Roman" w:eastAsia="仿宋_GB2312"/>
          <w:bCs/>
          <w:sz w:val="32"/>
          <w:szCs w:val="32"/>
        </w:rPr>
        <w:t>（以高性能计算系统为主）按双精度浮点运算（FP64）计量。</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widowControl/>
        <w:adjustRightInd w:val="0"/>
        <w:snapToGrid w:val="0"/>
        <w:spacing w:line="594" w:lineRule="exact"/>
        <w:ind w:firstLine="640" w:firstLineChars="200"/>
        <w:jc w:val="both"/>
        <w:rPr>
          <w:rFonts w:hint="default" w:ascii="Times New Roman" w:hAnsi="Times New Roman" w:eastAsia="仿宋_GB2312"/>
          <w:bCs/>
          <w:sz w:val="32"/>
          <w:szCs w:val="32"/>
          <w:highlight w:val="none"/>
        </w:rPr>
      </w:pPr>
      <w:r>
        <w:rPr>
          <w:rFonts w:hint="default" w:ascii="Times New Roman" w:hAnsi="Times New Roman" w:eastAsia="仿宋_GB2312"/>
          <w:bCs/>
          <w:sz w:val="32"/>
          <w:szCs w:val="32"/>
          <w:highlight w:val="none"/>
          <w:lang w:eastAsia="zh-CN"/>
        </w:rPr>
        <w:t>年度单位算力能耗降幅</w:t>
      </w:r>
      <w:r>
        <w:rPr>
          <w:rFonts w:hint="default" w:ascii="Times New Roman" w:hAnsi="Times New Roman" w:eastAsia="仿宋_GB2312"/>
          <w:bCs/>
          <w:sz w:val="32"/>
          <w:szCs w:val="32"/>
          <w:highlight w:val="none"/>
        </w:rPr>
        <w:t>大于或等于5%，可得</w:t>
      </w:r>
      <w:r>
        <w:rPr>
          <w:rFonts w:hint="default" w:ascii="Times New Roman" w:hAnsi="Times New Roman" w:eastAsia="仿宋_GB2312"/>
          <w:bCs/>
          <w:sz w:val="32"/>
          <w:szCs w:val="32"/>
          <w:highlight w:val="none"/>
          <w:lang w:val="en-US" w:eastAsia="zh-CN"/>
        </w:rPr>
        <w:t>6</w:t>
      </w:r>
      <w:r>
        <w:rPr>
          <w:rFonts w:hint="default" w:ascii="Times New Roman" w:hAnsi="Times New Roman" w:eastAsia="仿宋_GB2312"/>
          <w:bCs/>
          <w:sz w:val="32"/>
          <w:szCs w:val="32"/>
          <w:highlight w:val="none"/>
        </w:rPr>
        <w:t>分；如</w:t>
      </w:r>
      <w:r>
        <w:rPr>
          <w:rFonts w:hint="default" w:ascii="Times New Roman" w:hAnsi="Times New Roman" w:eastAsia="仿宋_GB2312"/>
          <w:bCs/>
          <w:sz w:val="32"/>
          <w:szCs w:val="32"/>
          <w:highlight w:val="none"/>
          <w:lang w:eastAsia="zh-CN"/>
        </w:rPr>
        <w:t>投入使用时间未满两年，</w:t>
      </w:r>
      <w:r>
        <w:rPr>
          <w:rFonts w:hint="default" w:ascii="Times New Roman" w:hAnsi="Times New Roman" w:eastAsia="仿宋_GB2312"/>
          <w:bCs/>
          <w:sz w:val="32"/>
          <w:szCs w:val="32"/>
          <w:highlight w:val="none"/>
        </w:rPr>
        <w:t>无法计算降幅，提出有效佐证材料</w:t>
      </w:r>
      <w:r>
        <w:rPr>
          <w:rFonts w:hint="default" w:ascii="Times New Roman" w:hAnsi="Times New Roman" w:eastAsia="仿宋_GB2312"/>
          <w:bCs/>
          <w:sz w:val="32"/>
          <w:szCs w:val="32"/>
          <w:highlight w:val="none"/>
          <w:lang w:eastAsia="zh-CN"/>
        </w:rPr>
        <w:t>证明年度单位算力能耗处于行业先进水平或降幅可以满足要求</w:t>
      </w:r>
      <w:r>
        <w:rPr>
          <w:rFonts w:hint="default" w:ascii="Times New Roman" w:hAnsi="Times New Roman" w:eastAsia="仿宋_GB2312"/>
          <w:bCs/>
          <w:sz w:val="32"/>
          <w:szCs w:val="32"/>
          <w:highlight w:val="none"/>
        </w:rPr>
        <w:t>，可直接得</w:t>
      </w:r>
      <w:r>
        <w:rPr>
          <w:rFonts w:hint="default" w:ascii="Times New Roman" w:hAnsi="Times New Roman" w:eastAsia="仿宋_GB2312"/>
          <w:bCs/>
          <w:sz w:val="32"/>
          <w:szCs w:val="32"/>
          <w:highlight w:val="none"/>
          <w:lang w:val="en-US" w:eastAsia="zh-CN"/>
        </w:rPr>
        <w:t>6</w:t>
      </w:r>
      <w:r>
        <w:rPr>
          <w:rFonts w:hint="default" w:ascii="Times New Roman" w:hAnsi="Times New Roman" w:eastAsia="仿宋_GB2312"/>
          <w:bCs/>
          <w:sz w:val="32"/>
          <w:szCs w:val="32"/>
          <w:highlight w:val="none"/>
        </w:rPr>
        <w:t>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3</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单位能耗产出效益</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本指标项</w:t>
      </w:r>
      <w:r>
        <w:rPr>
          <w:rFonts w:hint="default" w:ascii="Times New Roman" w:hAnsi="Times New Roman" w:eastAsia="仿宋_GB2312"/>
          <w:bCs/>
          <w:sz w:val="32"/>
          <w:szCs w:val="32"/>
        </w:rPr>
        <w:t>以算力的</w:t>
      </w:r>
      <w:r>
        <w:rPr>
          <w:rFonts w:ascii="Times New Roman" w:hAnsi="Times New Roman" w:eastAsia="仿宋_GB2312"/>
          <w:bCs/>
          <w:sz w:val="32"/>
          <w:szCs w:val="32"/>
        </w:rPr>
        <w:t>单位能消耗产出效益</w:t>
      </w:r>
      <w:r>
        <w:rPr>
          <w:rFonts w:hint="default" w:ascii="Times New Roman" w:hAnsi="Times New Roman" w:eastAsia="仿宋_GB2312"/>
          <w:bCs/>
          <w:sz w:val="32"/>
          <w:szCs w:val="32"/>
        </w:rPr>
        <w:t>水平作为</w:t>
      </w:r>
      <w:r>
        <w:rPr>
          <w:rFonts w:ascii="Times New Roman" w:hAnsi="Times New Roman" w:eastAsia="仿宋_GB2312"/>
          <w:bCs/>
          <w:sz w:val="32"/>
          <w:szCs w:val="32"/>
        </w:rPr>
        <w:t>评价</w:t>
      </w:r>
      <w:r>
        <w:rPr>
          <w:rFonts w:hint="default" w:ascii="Times New Roman" w:hAnsi="Times New Roman" w:eastAsia="仿宋_GB2312"/>
          <w:bCs/>
          <w:sz w:val="32"/>
          <w:szCs w:val="32"/>
        </w:rPr>
        <w:t>依据</w:t>
      </w:r>
      <w:r>
        <w:rPr>
          <w:rFonts w:ascii="Times New Roman" w:hAnsi="Times New Roman" w:eastAsia="仿宋_GB2312"/>
          <w:bCs/>
          <w:sz w:val="32"/>
          <w:szCs w:val="32"/>
        </w:rPr>
        <w:t>。</w:t>
      </w:r>
      <w:r>
        <w:rPr>
          <w:rFonts w:hint="default" w:ascii="Times New Roman" w:hAnsi="Times New Roman" w:eastAsia="仿宋_GB2312"/>
          <w:bCs/>
          <w:sz w:val="32"/>
          <w:szCs w:val="32"/>
        </w:rPr>
        <w:t>单位能消耗产出效益为</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提供数据处理服务创造的年度效益（单位为元）与信息设备耗电量的比值。</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bCs/>
          <w:sz w:val="32"/>
          <w:szCs w:val="32"/>
        </w:rPr>
      </w:pPr>
      <w:r>
        <w:rPr>
          <w:rFonts w:hint="default" w:ascii="Times New Roman" w:hAnsi="Times New Roman" w:eastAsia="仿宋_GB2312"/>
          <w:bCs/>
          <w:sz w:val="32"/>
          <w:szCs w:val="32"/>
          <w:lang w:eastAsia="zh-CN"/>
        </w:rPr>
        <w:t>以算力设施提供</w:t>
      </w:r>
      <w:r>
        <w:rPr>
          <w:rFonts w:ascii="Times New Roman" w:hAnsi="Times New Roman" w:eastAsia="仿宋_GB2312"/>
          <w:bCs/>
          <w:sz w:val="32"/>
          <w:szCs w:val="32"/>
        </w:rPr>
        <w:t>单位能消耗产出效益</w:t>
      </w:r>
      <w:r>
        <w:rPr>
          <w:rFonts w:hint="default" w:ascii="Times New Roman" w:hAnsi="Times New Roman" w:eastAsia="仿宋_GB2312"/>
          <w:bCs/>
          <w:sz w:val="32"/>
          <w:szCs w:val="32"/>
        </w:rPr>
        <w:t>水平的相关工作佐证材料作为评价依据，满足要求可得</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分；</w:t>
      </w:r>
      <w:r>
        <w:rPr>
          <w:rFonts w:ascii="Times New Roman" w:hAnsi="Times New Roman" w:eastAsia="仿宋_GB2312"/>
          <w:bCs/>
          <w:sz w:val="32"/>
          <w:szCs w:val="32"/>
        </w:rPr>
        <w:t>公共机构</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可直接得</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r>
        <w:rPr>
          <w:rFonts w:hint="default" w:ascii="Times New Roman" w:hAnsi="Times New Roman" w:eastAsia="仿宋_GB2312"/>
          <w:bCs/>
          <w:sz w:val="32"/>
          <w:szCs w:val="32"/>
        </w:rPr>
        <w:t>佐证材料应证明，</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算力的单位能消耗产出效益</w:t>
      </w:r>
      <w:r>
        <w:rPr>
          <w:rFonts w:ascii="Times New Roman" w:hAnsi="Times New Roman" w:eastAsia="仿宋_GB2312"/>
          <w:bCs/>
          <w:sz w:val="32"/>
          <w:szCs w:val="32"/>
        </w:rPr>
        <w:t>处于行业先进水平</w:t>
      </w:r>
      <w:r>
        <w:rPr>
          <w:rFonts w:hint="default" w:ascii="Times New Roman" w:hAnsi="Times New Roman" w:eastAsia="仿宋_GB2312"/>
          <w:bCs/>
          <w:sz w:val="32"/>
          <w:szCs w:val="32"/>
        </w:rPr>
        <w:t>。</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4</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可再生能源电量占比</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算力设施可再生能源电量占比</w:t>
      </w:r>
      <w:r>
        <w:rPr>
          <w:rFonts w:hint="default" w:ascii="Times New Roman" w:hAnsi="Times New Roman" w:eastAsia="仿宋_GB2312"/>
          <w:bCs/>
          <w:sz w:val="32"/>
          <w:szCs w:val="32"/>
        </w:rPr>
        <w:t>作为评价依据</w:t>
      </w:r>
      <w:r>
        <w:rPr>
          <w:rFonts w:ascii="Times New Roman" w:hAnsi="Times New Roman" w:eastAsia="仿宋_GB2312"/>
          <w:bCs/>
          <w:sz w:val="32"/>
          <w:szCs w:val="32"/>
        </w:rPr>
        <w:t>。</w:t>
      </w:r>
      <w:r>
        <w:rPr>
          <w:rFonts w:hint="default" w:ascii="Times New Roman" w:hAnsi="Times New Roman" w:eastAsia="仿宋_GB2312"/>
          <w:bCs/>
          <w:sz w:val="32"/>
          <w:szCs w:val="32"/>
        </w:rPr>
        <w:t>其</w:t>
      </w:r>
      <w:r>
        <w:rPr>
          <w:rFonts w:hint="eastAsia" w:eastAsia="仿宋_GB2312"/>
          <w:bCs/>
          <w:sz w:val="32"/>
          <w:szCs w:val="32"/>
        </w:rPr>
        <w:t>中，</w:t>
      </w:r>
      <w:r>
        <w:rPr>
          <w:rFonts w:eastAsia="仿宋_GB2312"/>
          <w:bCs/>
          <w:sz w:val="32"/>
          <w:szCs w:val="32"/>
        </w:rPr>
        <w:t>可再生能源为我国境内生产的风电（含分散式风电和海上风电）、太阳能发电（含分布式光伏发电和光热发电）、常规水电、生物质发电、地热能发电、海洋能</w:t>
      </w:r>
      <w:r>
        <w:rPr>
          <w:rFonts w:ascii="Times New Roman" w:hAnsi="Times New Roman" w:eastAsia="仿宋_GB2312"/>
          <w:bCs/>
          <w:sz w:val="32"/>
          <w:szCs w:val="32"/>
        </w:rPr>
        <w:t>发电等可再生能源发电项目电量。</w:t>
      </w:r>
      <w:r>
        <w:rPr>
          <w:rFonts w:hint="default" w:ascii="Times New Roman" w:hAnsi="Times New Roman" w:eastAsia="仿宋_GB2312"/>
          <w:bCs/>
          <w:sz w:val="32"/>
          <w:szCs w:val="32"/>
        </w:rPr>
        <w:t>可再生能源电力消纳责任权重判定依据《关于2025年可再生能源电力消纳责任权重及有关事项的通知》（发改办能源〔2025〕669号）所规定的</w:t>
      </w:r>
      <w:r>
        <w:rPr>
          <w:rFonts w:hint="default" w:ascii="Times New Roman" w:hAnsi="Times New Roman" w:eastAsia="仿宋_GB2312"/>
          <w:bCs/>
          <w:sz w:val="32"/>
          <w:szCs w:val="32"/>
          <w:lang w:eastAsia="zh-CN"/>
        </w:rPr>
        <w:t>《各省（自治区、直辖市）2025年可再生能源电力消纳责任权重》</w:t>
      </w:r>
      <w:r>
        <w:rPr>
          <w:rFonts w:hint="default" w:ascii="Times New Roman" w:hAnsi="Times New Roman" w:eastAsia="仿宋_GB2312"/>
          <w:bCs/>
          <w:sz w:val="32"/>
          <w:szCs w:val="32"/>
        </w:rPr>
        <w:t>按总量消纳责任权重判定。</w:t>
      </w:r>
      <w:r>
        <w:rPr>
          <w:rFonts w:hint="default" w:ascii="Times New Roman" w:hAnsi="Times New Roman" w:eastAsia="仿宋_GB2312"/>
          <w:bCs/>
          <w:sz w:val="32"/>
          <w:szCs w:val="32"/>
          <w:lang w:eastAsia="zh-CN"/>
        </w:rPr>
        <w:t>可再生能源电量占比通过计算算力设施使用的可再生能源电量与算力设施总耗电量的比值得出。其中，可再生能源电量依据</w:t>
      </w:r>
      <w:r>
        <w:rPr>
          <w:rFonts w:hint="default" w:ascii="Times New Roman" w:hAnsi="Times New Roman" w:eastAsia="仿宋_GB2312"/>
          <w:bCs/>
          <w:sz w:val="32"/>
          <w:szCs w:val="32"/>
        </w:rPr>
        <w:t>《非化石能源电力消费核算指南（试行）》</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发改能源〔2026〕622号</w:t>
      </w:r>
      <w:r>
        <w:rPr>
          <w:rFonts w:hint="default" w:ascii="Times New Roman" w:hAnsi="Times New Roman" w:eastAsia="仿宋_GB2312"/>
          <w:bCs/>
          <w:sz w:val="32"/>
          <w:szCs w:val="32"/>
          <w:lang w:eastAsia="zh-CN"/>
        </w:rPr>
        <w:t>）</w:t>
      </w:r>
      <w:r>
        <w:rPr>
          <w:rFonts w:hint="eastAsia" w:eastAsia="仿宋_GB2312"/>
          <w:bCs/>
          <w:sz w:val="32"/>
          <w:szCs w:val="32"/>
          <w:lang w:eastAsia="zh-CN"/>
        </w:rPr>
        <w:t>所给出的《</w:t>
      </w:r>
      <w:r>
        <w:rPr>
          <w:rFonts w:hint="eastAsia" w:eastAsia="仿宋_GB2312"/>
          <w:bCs/>
          <w:sz w:val="32"/>
          <w:szCs w:val="32"/>
        </w:rPr>
        <w:t>电力用户非化石能源电力消费量核算方法</w:t>
      </w:r>
      <w:r>
        <w:rPr>
          <w:rFonts w:hint="eastAsia" w:eastAsia="仿宋_GB2312"/>
          <w:bCs/>
          <w:sz w:val="32"/>
          <w:szCs w:val="32"/>
          <w:lang w:eastAsia="zh-CN"/>
        </w:rPr>
        <w:t>》核算。如算力设</w:t>
      </w:r>
      <w:r>
        <w:rPr>
          <w:rFonts w:hint="default" w:ascii="Times New Roman" w:hAnsi="Times New Roman" w:eastAsia="仿宋_GB2312"/>
          <w:bCs/>
          <w:sz w:val="32"/>
          <w:szCs w:val="32"/>
          <w:lang w:eastAsia="zh-CN"/>
        </w:rPr>
        <w:t>施总耗电量占其所在电力用户总电力消费量比例低于</w:t>
      </w:r>
      <w:r>
        <w:rPr>
          <w:rFonts w:hint="default" w:ascii="Times New Roman" w:hAnsi="Times New Roman" w:eastAsia="仿宋_GB2312"/>
          <w:bCs/>
          <w:sz w:val="32"/>
          <w:szCs w:val="32"/>
          <w:lang w:val="en-US" w:eastAsia="zh-CN"/>
        </w:rPr>
        <w:t>90%，应按其占比计算算力设施实际分摊使用的</w:t>
      </w:r>
      <w:r>
        <w:rPr>
          <w:rFonts w:hint="default" w:ascii="Times New Roman" w:hAnsi="Times New Roman" w:eastAsia="仿宋_GB2312"/>
          <w:bCs/>
          <w:sz w:val="32"/>
          <w:szCs w:val="32"/>
          <w:lang w:eastAsia="zh-CN"/>
        </w:rPr>
        <w:t>可再生能源电量</w:t>
      </w:r>
      <w:r>
        <w:rPr>
          <w:rFonts w:hint="default" w:ascii="Times New Roman" w:hAnsi="Times New Roman" w:eastAsia="仿宋_GB2312"/>
          <w:bCs/>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94" w:lineRule="exact"/>
        <w:ind w:left="640"/>
        <w:textAlignment w:val="auto"/>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bCs/>
          <w:sz w:val="32"/>
          <w:szCs w:val="32"/>
          <w:lang w:val="en-US" w:eastAsia="zh-CN"/>
        </w:rPr>
      </w:pPr>
      <w:r>
        <w:rPr>
          <w:rFonts w:hint="eastAsia" w:eastAsia="仿宋_GB2312"/>
          <w:bCs/>
          <w:sz w:val="32"/>
          <w:szCs w:val="32"/>
          <w:lang w:eastAsia="zh-CN"/>
        </w:rPr>
        <w:t>算力设施可再生能源电量占比</w:t>
      </w:r>
      <w:r>
        <w:rPr>
          <w:rFonts w:hint="eastAsia" w:eastAsia="仿宋_GB2312"/>
          <w:bCs/>
          <w:sz w:val="32"/>
          <w:szCs w:val="32"/>
          <w:lang w:val="en-US" w:eastAsia="zh-CN"/>
        </w:rPr>
        <w:t>应</w:t>
      </w:r>
      <w:r>
        <w:rPr>
          <w:rFonts w:hint="eastAsia" w:eastAsia="仿宋_GB2312"/>
          <w:bCs/>
          <w:sz w:val="32"/>
          <w:szCs w:val="32"/>
        </w:rPr>
        <w:t>达到或高于所在省（自治区</w:t>
      </w:r>
      <w:r>
        <w:rPr>
          <w:rFonts w:hint="default" w:ascii="Times New Roman" w:hAnsi="Times New Roman" w:eastAsia="仿宋_GB2312"/>
          <w:bCs/>
          <w:sz w:val="32"/>
          <w:szCs w:val="32"/>
        </w:rPr>
        <w:t>、直辖市）的可再生能源电力消纳责任权重，</w:t>
      </w:r>
      <w:r>
        <w:rPr>
          <w:rFonts w:hint="default" w:ascii="Times New Roman" w:hAnsi="Times New Roman" w:eastAsia="仿宋_GB2312"/>
          <w:bCs/>
          <w:sz w:val="32"/>
          <w:szCs w:val="32"/>
          <w:lang w:val="en-US" w:eastAsia="zh-CN"/>
        </w:rPr>
        <w:t>否则不得分。达到或高于消纳责任权重，</w:t>
      </w:r>
      <w:r>
        <w:rPr>
          <w:rFonts w:hint="default" w:ascii="Times New Roman" w:hAnsi="Times New Roman" w:eastAsia="仿宋_GB2312"/>
          <w:bCs/>
          <w:sz w:val="32"/>
          <w:szCs w:val="32"/>
        </w:rPr>
        <w:t>评分规则为</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按</w:t>
      </w:r>
      <w:r>
        <w:rPr>
          <w:rFonts w:hint="default" w:ascii="Times New Roman" w:hAnsi="Times New Roman" w:eastAsia="仿宋_GB2312"/>
          <w:bCs/>
          <w:sz w:val="32"/>
          <w:szCs w:val="32"/>
          <w:lang w:eastAsia="zh-CN"/>
        </w:rPr>
        <w:t>可再生能源电量占比</w:t>
      </w:r>
      <w:r>
        <w:rPr>
          <w:rFonts w:hint="default" w:ascii="Times New Roman" w:hAnsi="Times New Roman" w:eastAsia="仿宋_GB2312"/>
          <w:bCs/>
          <w:sz w:val="32"/>
          <w:szCs w:val="32"/>
        </w:rPr>
        <w:t>从10%至80%，对应得</w:t>
      </w:r>
      <w:r>
        <w:rPr>
          <w:rFonts w:hint="default" w:ascii="Times New Roman" w:hAnsi="Times New Roman" w:eastAsia="仿宋_GB2312"/>
          <w:bCs/>
          <w:sz w:val="32"/>
          <w:szCs w:val="32"/>
          <w:lang w:val="en-US" w:eastAsia="zh-CN"/>
        </w:rPr>
        <w:t>1</w:t>
      </w:r>
      <w:r>
        <w:rPr>
          <w:rFonts w:hint="default" w:ascii="Times New Roman" w:hAnsi="Times New Roman" w:eastAsia="仿宋_GB2312"/>
          <w:bCs/>
          <w:sz w:val="32"/>
          <w:szCs w:val="32"/>
        </w:rPr>
        <w:t>至</w:t>
      </w:r>
      <w:r>
        <w:rPr>
          <w:rFonts w:hint="default" w:ascii="Times New Roman" w:hAnsi="Times New Roman" w:eastAsia="仿宋_GB2312"/>
          <w:bCs/>
          <w:sz w:val="32"/>
          <w:szCs w:val="32"/>
          <w:lang w:val="en-US" w:eastAsia="zh-CN"/>
        </w:rPr>
        <w:t>8</w:t>
      </w:r>
      <w:r>
        <w:rPr>
          <w:rFonts w:hint="default" w:ascii="Times New Roman" w:hAnsi="Times New Roman" w:eastAsia="仿宋_GB2312"/>
          <w:bCs/>
          <w:sz w:val="32"/>
          <w:szCs w:val="32"/>
        </w:rPr>
        <w:t>分。低于10%不得分；等于10%得1分；</w:t>
      </w:r>
      <w:r>
        <w:rPr>
          <w:rFonts w:hint="default" w:ascii="Times New Roman" w:hAnsi="Times New Roman" w:eastAsia="仿宋_GB2312"/>
          <w:bCs/>
          <w:sz w:val="32"/>
          <w:szCs w:val="32"/>
          <w:lang w:eastAsia="zh-CN"/>
        </w:rPr>
        <w:t>在</w:t>
      </w:r>
      <w:r>
        <w:rPr>
          <w:rFonts w:hint="default" w:ascii="Times New Roman" w:hAnsi="Times New Roman" w:eastAsia="仿宋_GB2312"/>
          <w:bCs/>
          <w:sz w:val="32"/>
          <w:szCs w:val="32"/>
          <w:lang w:val="en-US" w:eastAsia="zh-CN"/>
        </w:rPr>
        <w:t>10%至80%之间，</w:t>
      </w:r>
      <w:r>
        <w:rPr>
          <w:rFonts w:hint="default" w:ascii="Times New Roman" w:hAnsi="Times New Roman" w:eastAsia="仿宋_GB2312"/>
          <w:bCs/>
          <w:sz w:val="32"/>
          <w:szCs w:val="32"/>
        </w:rPr>
        <w:t>每增加1%得分增加0.1分</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达到或高于80%直接得</w:t>
      </w:r>
      <w:r>
        <w:rPr>
          <w:rFonts w:hint="default" w:ascii="Times New Roman" w:hAnsi="Times New Roman" w:eastAsia="仿宋_GB2312"/>
          <w:bCs/>
          <w:sz w:val="32"/>
          <w:szCs w:val="32"/>
          <w:lang w:val="en-US" w:eastAsia="zh-CN"/>
        </w:rPr>
        <w:t>8</w:t>
      </w:r>
      <w:r>
        <w:rPr>
          <w:rFonts w:hint="default" w:ascii="Times New Roman" w:hAnsi="Times New Roman" w:eastAsia="仿宋_GB2312"/>
          <w:bCs/>
          <w:sz w:val="32"/>
          <w:szCs w:val="32"/>
        </w:rPr>
        <w:t>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5</w:t>
      </w:r>
      <w:r>
        <w:rPr>
          <w:rFonts w:hint="default" w:ascii="Times New Roman" w:hAnsi="Times New Roman" w:eastAsia="仿宋_GB2312"/>
          <w:bCs/>
          <w:sz w:val="32"/>
          <w:szCs w:val="32"/>
        </w:rPr>
        <w:t>.</w:t>
      </w:r>
      <w:r>
        <w:rPr>
          <w:rFonts w:ascii="Times New Roman" w:hAnsi="Times New Roman" w:eastAsia="仿宋_GB2312"/>
          <w:bCs/>
          <w:sz w:val="32"/>
          <w:szCs w:val="32"/>
        </w:rPr>
        <w:t>余热余冷利用水平（总分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hint="eastAsia" w:ascii="Times New Roman" w:hAnsi="Times New Roman" w:eastAsia="仿宋_GB2312" w:cs="Times New Roman"/>
          <w:bCs/>
          <w:sz w:val="32"/>
          <w:szCs w:val="32"/>
        </w:rPr>
      </w:pPr>
      <w:r>
        <w:rPr>
          <w:rFonts w:hint="eastAsia" w:ascii="Times New Roman" w:hAnsi="Times New Roman" w:eastAsia="仿宋_GB2312" w:cs="Times New Roman"/>
          <w:bCs/>
          <w:sz w:val="32"/>
          <w:szCs w:val="32"/>
        </w:rPr>
        <w:t>（1）指标说明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回收利用自身余热余能、利用外部余热余冷资源</w:t>
      </w:r>
      <w:r>
        <w:rPr>
          <w:rFonts w:hint="default" w:ascii="Times New Roman" w:hAnsi="Times New Roman" w:eastAsia="仿宋_GB2312"/>
          <w:bCs/>
          <w:sz w:val="32"/>
          <w:szCs w:val="32"/>
        </w:rPr>
        <w:t>等方面开展的工作情况作为评价依据。</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bCs/>
          <w:sz w:val="32"/>
          <w:szCs w:val="32"/>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在自有场所建设有余热余能回收利用系统且回收余热获得良好应用，或实现对工业余热余冷、液化天然气（LNG）气化站余冷等规模应用等。</w:t>
      </w:r>
    </w:p>
    <w:p>
      <w:pPr>
        <w:pStyle w:val="7"/>
        <w:adjustRightInd w:val="0"/>
        <w:snapToGrid w:val="0"/>
        <w:spacing w:line="594" w:lineRule="exact"/>
        <w:ind w:firstLine="640"/>
        <w:outlineLvl w:val="1"/>
        <w:rPr>
          <w:rFonts w:hint="default" w:ascii="Times New Roman" w:hAnsi="Times New Roman" w:eastAsia="楷体_GB2312"/>
          <w:bCs/>
          <w:sz w:val="32"/>
          <w:szCs w:val="32"/>
          <w:lang w:eastAsia="zh-CN"/>
        </w:rPr>
      </w:pPr>
      <w:r>
        <w:rPr>
          <w:rFonts w:ascii="Times New Roman" w:hAnsi="Times New Roman" w:eastAsia="楷体_GB2312"/>
          <w:bCs/>
          <w:sz w:val="32"/>
          <w:szCs w:val="32"/>
        </w:rPr>
        <w:t>（</w:t>
      </w:r>
      <w:r>
        <w:rPr>
          <w:rFonts w:hint="default" w:ascii="Times New Roman" w:hAnsi="Times New Roman" w:eastAsia="楷体_GB2312"/>
          <w:bCs/>
          <w:sz w:val="32"/>
          <w:szCs w:val="32"/>
          <w:lang w:eastAsia="zh-CN"/>
        </w:rPr>
        <w:t>二</w:t>
      </w:r>
      <w:r>
        <w:rPr>
          <w:rFonts w:ascii="Times New Roman" w:hAnsi="Times New Roman" w:eastAsia="楷体_GB2312"/>
          <w:bCs/>
          <w:sz w:val="32"/>
          <w:szCs w:val="32"/>
        </w:rPr>
        <w:t>）</w:t>
      </w:r>
      <w:r>
        <w:rPr>
          <w:rFonts w:hint="default" w:ascii="Times New Roman" w:hAnsi="Times New Roman" w:eastAsia="楷体_GB2312"/>
          <w:bCs/>
          <w:sz w:val="32"/>
          <w:szCs w:val="32"/>
          <w:lang w:eastAsia="zh-CN"/>
        </w:rPr>
        <w:t>碳排放管理水平</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highlight w:val="none"/>
        </w:rPr>
      </w:pPr>
      <w:r>
        <w:rPr>
          <w:rFonts w:hint="default" w:ascii="Times New Roman" w:hAnsi="Times New Roman" w:eastAsia="仿宋_GB2312"/>
          <w:bCs/>
          <w:sz w:val="32"/>
          <w:szCs w:val="32"/>
          <w:highlight w:val="none"/>
          <w:lang w:val="en-US" w:eastAsia="zh-CN"/>
        </w:rPr>
        <w:t>6</w:t>
      </w:r>
      <w:r>
        <w:rPr>
          <w:rFonts w:hint="default" w:ascii="Times New Roman" w:hAnsi="Times New Roman" w:eastAsia="仿宋_GB2312"/>
          <w:bCs/>
          <w:sz w:val="32"/>
          <w:szCs w:val="32"/>
          <w:highlight w:val="none"/>
        </w:rPr>
        <w:t>.</w:t>
      </w:r>
      <w:r>
        <w:rPr>
          <w:rFonts w:hint="default" w:ascii="Times New Roman" w:hAnsi="Times New Roman" w:eastAsia="仿宋_GB2312"/>
          <w:bCs/>
          <w:sz w:val="32"/>
          <w:szCs w:val="32"/>
          <w:highlight w:val="none"/>
          <w:lang w:eastAsia="zh-CN"/>
        </w:rPr>
        <w:t>碳利用效率</w:t>
      </w:r>
      <w:r>
        <w:rPr>
          <w:rFonts w:hint="default" w:ascii="Times New Roman" w:hAnsi="Times New Roman" w:eastAsia="仿宋_GB2312" w:cs="Times New Roman"/>
          <w:bCs/>
          <w:sz w:val="32"/>
          <w:szCs w:val="32"/>
          <w:highlight w:val="none"/>
          <w:lang w:eastAsia="zh-CN"/>
        </w:rPr>
        <w:t>（</w:t>
      </w:r>
      <w:r>
        <w:rPr>
          <w:rFonts w:hint="default" w:ascii="Times New Roman" w:hAnsi="Times New Roman" w:eastAsia="仿宋_GB2312" w:cs="Times New Roman"/>
          <w:bCs/>
          <w:sz w:val="32"/>
          <w:szCs w:val="32"/>
          <w:highlight w:val="none"/>
          <w:lang w:val="en-US" w:eastAsia="zh-CN"/>
        </w:rPr>
        <w:t>CUE</w:t>
      </w:r>
      <w:r>
        <w:rPr>
          <w:rFonts w:hint="default" w:ascii="Times New Roman" w:hAnsi="Times New Roman" w:eastAsia="仿宋_GB2312" w:cs="Times New Roman"/>
          <w:bCs/>
          <w:sz w:val="32"/>
          <w:szCs w:val="32"/>
          <w:highlight w:val="none"/>
          <w:lang w:eastAsia="zh-CN"/>
        </w:rPr>
        <w:t>）</w:t>
      </w:r>
      <w:r>
        <w:rPr>
          <w:rFonts w:hint="default" w:ascii="Times New Roman" w:hAnsi="Times New Roman" w:eastAsia="仿宋_GB2312" w:cs="Times New Roman"/>
          <w:bCs/>
          <w:sz w:val="32"/>
          <w:szCs w:val="32"/>
          <w:highlight w:val="none"/>
        </w:rPr>
        <w:t>（总</w:t>
      </w:r>
      <w:r>
        <w:rPr>
          <w:rFonts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val="en-US" w:eastAsia="zh-CN"/>
        </w:rPr>
        <w:t>12</w:t>
      </w:r>
      <w:r>
        <w:rPr>
          <w:rFonts w:ascii="Times New Roman" w:hAnsi="Times New Roman" w:eastAsia="仿宋_GB2312"/>
          <w:bCs/>
          <w:sz w:val="32"/>
          <w:szCs w:val="32"/>
          <w:highlight w:val="none"/>
        </w:rPr>
        <w:t>分）</w:t>
      </w:r>
    </w:p>
    <w:p>
      <w:pPr>
        <w:tabs>
          <w:tab w:val="left" w:pos="420"/>
        </w:tabs>
        <w:adjustRightInd w:val="0"/>
        <w:snapToGrid w:val="0"/>
        <w:spacing w:line="594" w:lineRule="exact"/>
        <w:ind w:left="640"/>
        <w:outlineLvl w:val="3"/>
        <w:rPr>
          <w:rFonts w:ascii="Times New Roman" w:hAnsi="Times New Roman" w:eastAsia="仿宋_GB2312"/>
          <w:bCs/>
          <w:sz w:val="32"/>
          <w:szCs w:val="32"/>
          <w:highlight w:val="none"/>
        </w:rPr>
      </w:pPr>
      <w:r>
        <w:rPr>
          <w:rFonts w:hint="default" w:ascii="Times New Roman" w:hAnsi="Times New Roman" w:eastAsia="仿宋_GB2312"/>
          <w:bCs/>
          <w:sz w:val="32"/>
          <w:szCs w:val="32"/>
          <w:highlight w:val="none"/>
        </w:rPr>
        <w:t>（1）</w:t>
      </w:r>
      <w:r>
        <w:rPr>
          <w:rFonts w:ascii="Times New Roman" w:hAnsi="Times New Roman" w:eastAsia="仿宋_GB2312"/>
          <w:bCs/>
          <w:sz w:val="32"/>
          <w:szCs w:val="32"/>
          <w:highlight w:val="none"/>
        </w:rPr>
        <w:t>指标说明</w:t>
      </w:r>
    </w:p>
    <w:p>
      <w:pPr>
        <w:adjustRightInd w:val="0"/>
        <w:snapToGrid w:val="0"/>
        <w:spacing w:line="594" w:lineRule="exact"/>
        <w:ind w:firstLine="640" w:firstLineChars="200"/>
        <w:rPr>
          <w:rFonts w:hint="default" w:ascii="Times New Roman" w:hAnsi="Times New Roman" w:eastAsia="仿宋_GB2312"/>
          <w:bCs/>
          <w:sz w:val="32"/>
          <w:szCs w:val="32"/>
          <w:highlight w:val="none"/>
        </w:rPr>
      </w:pPr>
      <w:r>
        <w:rPr>
          <w:rFonts w:hint="default" w:ascii="Times New Roman" w:hAnsi="Times New Roman" w:eastAsia="仿宋_GB2312"/>
          <w:bCs/>
          <w:sz w:val="32"/>
          <w:szCs w:val="32"/>
          <w:highlight w:val="none"/>
        </w:rPr>
        <w:t>本指标以算力设施碳利用效率</w:t>
      </w:r>
      <w:r>
        <w:rPr>
          <w:rFonts w:hint="default" w:ascii="Times New Roman" w:hAnsi="Times New Roman" w:eastAsia="仿宋_GB2312" w:cs="Times New Roman"/>
          <w:bCs/>
          <w:sz w:val="32"/>
          <w:szCs w:val="32"/>
          <w:highlight w:val="none"/>
          <w:lang w:eastAsia="zh-CN"/>
        </w:rPr>
        <w:t>（</w:t>
      </w:r>
      <w:r>
        <w:rPr>
          <w:rFonts w:hint="default" w:ascii="Times New Roman" w:hAnsi="Times New Roman" w:eastAsia="仿宋_GB2312" w:cs="Times New Roman"/>
          <w:bCs/>
          <w:sz w:val="32"/>
          <w:szCs w:val="32"/>
          <w:highlight w:val="none"/>
          <w:lang w:val="en-US" w:eastAsia="zh-CN"/>
        </w:rPr>
        <w:t>CUE</w:t>
      </w:r>
      <w:r>
        <w:rPr>
          <w:rFonts w:hint="default" w:ascii="Times New Roman" w:hAnsi="Times New Roman" w:eastAsia="仿宋_GB2312" w:cs="Times New Roman"/>
          <w:bCs/>
          <w:sz w:val="32"/>
          <w:szCs w:val="32"/>
          <w:highlight w:val="none"/>
          <w:lang w:eastAsia="zh-CN"/>
        </w:rPr>
        <w:t>）</w:t>
      </w:r>
      <w:r>
        <w:rPr>
          <w:rFonts w:hint="default" w:ascii="Times New Roman" w:hAnsi="Times New Roman" w:eastAsia="仿宋_GB2312"/>
          <w:bCs/>
          <w:sz w:val="32"/>
          <w:szCs w:val="32"/>
          <w:highlight w:val="none"/>
        </w:rPr>
        <w:t>作为评价依据</w:t>
      </w:r>
      <w:r>
        <w:rPr>
          <w:rFonts w:hint="default" w:ascii="Times New Roman" w:hAnsi="Times New Roman" w:eastAsia="仿宋_GB2312"/>
          <w:bCs/>
          <w:sz w:val="32"/>
          <w:szCs w:val="32"/>
          <w:highlight w:val="none"/>
          <w:lang w:eastAsia="zh-CN"/>
        </w:rPr>
        <w:t>，通过计算算力设施温室气体全年排放总量与信息设备耗电量的比值得出。其中，算力设施温室气体全年排放总量按照《工业企业温室气体排放核算和报告通则》（</w:t>
      </w:r>
      <w:r>
        <w:rPr>
          <w:rFonts w:hint="default" w:ascii="Times New Roman" w:hAnsi="Times New Roman" w:eastAsia="仿宋_GB2312"/>
          <w:bCs/>
          <w:sz w:val="32"/>
          <w:szCs w:val="32"/>
          <w:highlight w:val="none"/>
          <w:lang w:val="en-US" w:eastAsia="zh-CN"/>
        </w:rPr>
        <w:t>GB/T 32150</w:t>
      </w:r>
      <w:r>
        <w:rPr>
          <w:rFonts w:hint="default" w:ascii="Times New Roman" w:hAnsi="Times New Roman" w:eastAsia="仿宋_GB2312"/>
          <w:bCs/>
          <w:sz w:val="32"/>
          <w:szCs w:val="32"/>
          <w:highlight w:val="none"/>
          <w:lang w:eastAsia="zh-CN"/>
        </w:rPr>
        <w:t>）给出公式计算</w:t>
      </w:r>
      <w:r>
        <w:rPr>
          <w:rFonts w:hint="default" w:ascii="Times New Roman" w:hAnsi="Times New Roman" w:eastAsia="仿宋_GB2312"/>
          <w:bCs/>
          <w:sz w:val="32"/>
          <w:szCs w:val="32"/>
          <w:highlight w:val="none"/>
        </w:rPr>
        <w:t>。核算边界</w:t>
      </w:r>
      <w:r>
        <w:rPr>
          <w:rFonts w:hint="default" w:ascii="Times New Roman" w:hAnsi="Times New Roman" w:eastAsia="仿宋_GB2312"/>
          <w:bCs/>
          <w:sz w:val="32"/>
          <w:szCs w:val="32"/>
          <w:highlight w:val="none"/>
          <w:lang w:eastAsia="zh-CN"/>
        </w:rPr>
        <w:t>即</w:t>
      </w:r>
      <w:r>
        <w:rPr>
          <w:rFonts w:hint="default" w:ascii="Times New Roman" w:hAnsi="Times New Roman" w:eastAsia="仿宋_GB2312"/>
          <w:bCs/>
          <w:sz w:val="32"/>
          <w:szCs w:val="32"/>
          <w:highlight w:val="none"/>
        </w:rPr>
        <w:t>为算力设施的物理边界</w:t>
      </w:r>
      <w:r>
        <w:rPr>
          <w:rFonts w:hint="default" w:ascii="Times New Roman" w:hAnsi="Times New Roman" w:eastAsia="仿宋_GB2312"/>
          <w:bCs/>
          <w:sz w:val="32"/>
          <w:szCs w:val="32"/>
          <w:highlight w:val="none"/>
          <w:lang w:eastAsia="zh-CN"/>
        </w:rPr>
        <w:t>，核算周期同总耗电量计量周期。</w:t>
      </w:r>
      <w:r>
        <w:rPr>
          <w:rFonts w:hint="default" w:ascii="Times New Roman" w:hAnsi="Times New Roman" w:eastAsia="仿宋_GB2312"/>
          <w:bCs/>
          <w:sz w:val="32"/>
          <w:szCs w:val="32"/>
          <w:highlight w:val="none"/>
        </w:rPr>
        <w:t>如算力设施存在转供电或电费代收代缴情况，在计算算力设施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购入的电力所产生的二氧化碳排放</w:t>
      </w:r>
      <w:r>
        <w:rPr>
          <w:rFonts w:hint="eastAsia" w:ascii="仿宋_GB2312" w:hAnsi="仿宋_GB2312" w:eastAsia="仿宋_GB2312" w:cs="仿宋_GB2312"/>
          <w:bCs/>
          <w:sz w:val="32"/>
          <w:szCs w:val="32"/>
          <w:highlight w:val="none"/>
          <w:lang w:eastAsia="zh-CN"/>
        </w:rPr>
        <w:t>”时，对此部分</w:t>
      </w:r>
      <w:r>
        <w:rPr>
          <w:rFonts w:hint="eastAsia" w:ascii="仿宋_GB2312" w:hAnsi="仿宋_GB2312" w:eastAsia="仿宋_GB2312" w:cs="仿宋_GB2312"/>
          <w:bCs/>
          <w:sz w:val="32"/>
          <w:szCs w:val="32"/>
          <w:highlight w:val="none"/>
        </w:rPr>
        <w:t>电量不予扣减。</w:t>
      </w:r>
      <w:r>
        <w:rPr>
          <w:rFonts w:hint="default" w:ascii="Times New Roman" w:hAnsi="Times New Roman" w:eastAsia="仿宋_GB2312"/>
          <w:bCs/>
          <w:sz w:val="32"/>
          <w:szCs w:val="32"/>
          <w:highlight w:val="none"/>
          <w:lang w:eastAsia="zh-CN"/>
        </w:rPr>
        <w:t>对于</w:t>
      </w:r>
      <w:r>
        <w:rPr>
          <w:rFonts w:hint="default" w:ascii="Times New Roman" w:hAnsi="Times New Roman" w:eastAsia="仿宋_GB2312"/>
          <w:bCs/>
          <w:sz w:val="32"/>
          <w:szCs w:val="32"/>
          <w:highlight w:val="none"/>
        </w:rPr>
        <w:t>核算边界内回收并自用余热，在</w:t>
      </w:r>
      <w:r>
        <w:rPr>
          <w:rFonts w:hint="eastAsia" w:ascii="仿宋_GB2312" w:hAnsi="仿宋_GB2312" w:eastAsia="仿宋_GB2312" w:cs="仿宋_GB2312"/>
          <w:bCs/>
          <w:sz w:val="32"/>
          <w:szCs w:val="32"/>
          <w:highlight w:val="none"/>
        </w:rPr>
        <w:t>核算</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输出的热力所产生的二氧化碳排放</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时不予扣减。算</w:t>
      </w:r>
      <w:r>
        <w:rPr>
          <w:rFonts w:hint="default" w:ascii="Times New Roman" w:hAnsi="Times New Roman" w:eastAsia="仿宋_GB2312"/>
          <w:bCs/>
          <w:sz w:val="32"/>
          <w:szCs w:val="32"/>
          <w:highlight w:val="none"/>
        </w:rPr>
        <w:t>力设施使用的可再生能源</w:t>
      </w:r>
      <w:r>
        <w:rPr>
          <w:rFonts w:hint="default" w:ascii="Times New Roman" w:hAnsi="Times New Roman" w:eastAsia="仿宋_GB2312"/>
          <w:bCs/>
          <w:sz w:val="32"/>
          <w:szCs w:val="32"/>
          <w:highlight w:val="none"/>
          <w:lang w:eastAsia="zh-CN"/>
        </w:rPr>
        <w:t>电量对应二氧化碳排放量计为零，总耗电量中其余部分的二氧化碳排放量按0.</w:t>
      </w:r>
      <w:r>
        <w:rPr>
          <w:rFonts w:hint="default" w:ascii="Times New Roman" w:hAnsi="Times New Roman" w:eastAsia="仿宋_GB2312"/>
          <w:bCs/>
          <w:sz w:val="32"/>
          <w:szCs w:val="32"/>
          <w:highlight w:val="none"/>
          <w:lang w:val="en-US" w:eastAsia="zh-CN"/>
        </w:rPr>
        <w:t>8273kgCO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hint="default" w:ascii="Times New Roman" w:hAnsi="Times New Roman" w:eastAsia="仿宋_GB2312"/>
          <w:bCs/>
          <w:sz w:val="32"/>
          <w:szCs w:val="32"/>
          <w:highlight w:val="none"/>
        </w:rPr>
        <w:t>kW·h</w:t>
      </w:r>
      <w:r>
        <w:rPr>
          <w:rFonts w:hint="default" w:ascii="Times New Roman" w:hAnsi="Times New Roman" w:eastAsia="仿宋_GB2312"/>
          <w:bCs/>
          <w:sz w:val="32"/>
          <w:szCs w:val="32"/>
          <w:highlight w:val="none"/>
          <w:lang w:eastAsia="zh-CN"/>
        </w:rPr>
        <w:t>计算。</w:t>
      </w:r>
    </w:p>
    <w:p>
      <w:pPr>
        <w:tabs>
          <w:tab w:val="left" w:pos="420"/>
        </w:tabs>
        <w:adjustRightInd w:val="0"/>
        <w:snapToGrid w:val="0"/>
        <w:spacing w:line="594" w:lineRule="exact"/>
        <w:ind w:left="640"/>
        <w:outlineLvl w:val="3"/>
        <w:rPr>
          <w:rFonts w:ascii="Times New Roman" w:hAnsi="Times New Roman" w:eastAsia="仿宋_GB2312"/>
          <w:bCs/>
          <w:sz w:val="32"/>
          <w:szCs w:val="32"/>
          <w:highlight w:val="none"/>
        </w:rPr>
      </w:pPr>
      <w:r>
        <w:rPr>
          <w:rFonts w:hint="default" w:ascii="Times New Roman" w:hAnsi="Times New Roman" w:eastAsia="仿宋_GB2312"/>
          <w:bCs/>
          <w:sz w:val="32"/>
          <w:szCs w:val="32"/>
          <w:highlight w:val="none"/>
        </w:rPr>
        <w:t>（2）</w:t>
      </w:r>
      <w:r>
        <w:rPr>
          <w:rFonts w:ascii="Times New Roman" w:hAnsi="Times New Roman" w:eastAsia="仿宋_GB2312"/>
          <w:bCs/>
          <w:sz w:val="32"/>
          <w:szCs w:val="32"/>
          <w:highlight w:val="none"/>
        </w:rPr>
        <w:t>评分规则</w:t>
      </w:r>
    </w:p>
    <w:p>
      <w:pPr>
        <w:adjustRightInd w:val="0"/>
        <w:snapToGrid w:val="0"/>
        <w:spacing w:line="594" w:lineRule="exact"/>
        <w:ind w:firstLine="640" w:firstLineChars="200"/>
        <w:rPr>
          <w:rFonts w:hint="default" w:ascii="Times New Roman" w:hAnsi="Times New Roman" w:eastAsia="仿宋_GB2312"/>
          <w:bCs/>
          <w:sz w:val="32"/>
          <w:szCs w:val="32"/>
          <w:lang w:eastAsia="zh-CN"/>
        </w:rPr>
      </w:pPr>
      <w:r>
        <w:rPr>
          <w:rFonts w:hint="default" w:ascii="Times New Roman" w:hAnsi="Times New Roman" w:eastAsia="仿宋_GB2312"/>
          <w:bCs/>
          <w:sz w:val="32"/>
          <w:szCs w:val="32"/>
          <w:highlight w:val="none"/>
        </w:rPr>
        <w:t>按照</w:t>
      </w:r>
      <w:r>
        <w:rPr>
          <w:rFonts w:hint="default" w:ascii="Times New Roman" w:hAnsi="Times New Roman" w:eastAsia="仿宋_GB2312"/>
          <w:bCs/>
          <w:sz w:val="32"/>
          <w:szCs w:val="32"/>
          <w:highlight w:val="none"/>
          <w:lang w:eastAsia="zh-CN"/>
        </w:rPr>
        <w:t>碳</w:t>
      </w:r>
      <w:r>
        <w:rPr>
          <w:rFonts w:hint="default" w:ascii="Times New Roman" w:hAnsi="Times New Roman" w:eastAsia="仿宋_GB2312"/>
          <w:bCs/>
          <w:sz w:val="32"/>
          <w:szCs w:val="32"/>
          <w:highlight w:val="none"/>
          <w:lang w:val="en-US" w:eastAsia="zh-CN"/>
        </w:rPr>
        <w:t>利用效率（CUE）</w:t>
      </w:r>
      <w:r>
        <w:rPr>
          <w:rFonts w:hint="default" w:ascii="Times New Roman" w:hAnsi="Times New Roman" w:eastAsia="仿宋_GB2312"/>
          <w:bCs/>
          <w:sz w:val="32"/>
          <w:szCs w:val="32"/>
          <w:highlight w:val="none"/>
        </w:rPr>
        <w:t>值从</w:t>
      </w:r>
      <w:r>
        <w:rPr>
          <w:rFonts w:hint="default" w:ascii="Times New Roman" w:hAnsi="Times New Roman" w:eastAsia="仿宋_GB2312"/>
          <w:bCs/>
          <w:sz w:val="32"/>
          <w:szCs w:val="32"/>
          <w:highlight w:val="none"/>
          <w:lang w:val="en-US" w:eastAsia="zh-CN"/>
        </w:rPr>
        <w:t>0.5kgCO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rPr>
        <w:t>至</w:t>
      </w:r>
      <w:r>
        <w:rPr>
          <w:rFonts w:hint="default" w:ascii="Times New Roman" w:hAnsi="Times New Roman" w:eastAsia="仿宋_GB2312"/>
          <w:bCs/>
          <w:sz w:val="32"/>
          <w:szCs w:val="32"/>
          <w:highlight w:val="none"/>
          <w:lang w:val="en-US" w:eastAsia="zh-CN"/>
        </w:rPr>
        <w:t>0.2kgCO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rPr>
        <w:t>，对应得</w:t>
      </w:r>
      <w:r>
        <w:rPr>
          <w:rFonts w:hint="default" w:ascii="Times New Roman" w:hAnsi="Times New Roman" w:eastAsia="仿宋_GB2312"/>
          <w:bCs/>
          <w:sz w:val="32"/>
          <w:szCs w:val="32"/>
          <w:highlight w:val="none"/>
          <w:lang w:val="en-US" w:eastAsia="zh-CN"/>
        </w:rPr>
        <w:t>6</w:t>
      </w:r>
      <w:r>
        <w:rPr>
          <w:rFonts w:hint="default" w:ascii="Times New Roman" w:hAnsi="Times New Roman" w:eastAsia="仿宋_GB2312"/>
          <w:bCs/>
          <w:sz w:val="32"/>
          <w:szCs w:val="32"/>
          <w:highlight w:val="none"/>
        </w:rPr>
        <w:t>至</w:t>
      </w:r>
      <w:r>
        <w:rPr>
          <w:rFonts w:hint="default" w:ascii="Times New Roman" w:hAnsi="Times New Roman" w:eastAsia="仿宋_GB2312"/>
          <w:bCs/>
          <w:sz w:val="32"/>
          <w:szCs w:val="32"/>
          <w:highlight w:val="none"/>
          <w:lang w:val="en-US" w:eastAsia="zh-CN"/>
        </w:rPr>
        <w:t>12</w:t>
      </w:r>
      <w:r>
        <w:rPr>
          <w:rFonts w:hint="default" w:ascii="Times New Roman" w:hAnsi="Times New Roman" w:eastAsia="仿宋_GB2312"/>
          <w:bCs/>
          <w:sz w:val="32"/>
          <w:szCs w:val="32"/>
          <w:highlight w:val="none"/>
        </w:rPr>
        <w:t>分。高于</w:t>
      </w:r>
      <w:r>
        <w:rPr>
          <w:rFonts w:hint="default" w:ascii="Times New Roman" w:hAnsi="Times New Roman" w:eastAsia="仿宋_GB2312"/>
          <w:bCs/>
          <w:sz w:val="32"/>
          <w:szCs w:val="32"/>
          <w:highlight w:val="none"/>
          <w:lang w:val="en-US" w:eastAsia="zh-CN"/>
        </w:rPr>
        <w:t>0.5kgCO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rPr>
        <w:t>不得分；等于</w:t>
      </w:r>
      <w:r>
        <w:rPr>
          <w:rFonts w:hint="default" w:ascii="Times New Roman" w:hAnsi="Times New Roman" w:eastAsia="仿宋_GB2312"/>
          <w:bCs/>
          <w:sz w:val="32"/>
          <w:szCs w:val="32"/>
          <w:highlight w:val="none"/>
          <w:lang w:val="en-US" w:eastAsia="zh-CN"/>
        </w:rPr>
        <w:t>0.5kgCO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rPr>
        <w:t>得</w:t>
      </w:r>
      <w:r>
        <w:rPr>
          <w:rFonts w:hint="default" w:ascii="Times New Roman" w:hAnsi="Times New Roman" w:eastAsia="仿宋_GB2312"/>
          <w:bCs/>
          <w:sz w:val="32"/>
          <w:szCs w:val="32"/>
          <w:highlight w:val="none"/>
          <w:lang w:val="en-US" w:eastAsia="zh-CN"/>
        </w:rPr>
        <w:t>6</w:t>
      </w:r>
      <w:r>
        <w:rPr>
          <w:rFonts w:hint="default"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eastAsia="zh-CN"/>
        </w:rPr>
        <w:t>在</w:t>
      </w:r>
      <w:r>
        <w:rPr>
          <w:rFonts w:hint="default" w:ascii="Times New Roman" w:hAnsi="Times New Roman" w:eastAsia="仿宋_GB2312"/>
          <w:bCs/>
          <w:sz w:val="32"/>
          <w:szCs w:val="32"/>
          <w:highlight w:val="none"/>
          <w:lang w:val="en-US" w:eastAsia="zh-CN"/>
        </w:rPr>
        <w:t>0.5kgCO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lang w:val="en-US" w:eastAsia="zh-CN"/>
        </w:rPr>
        <w:t>至0.2kgCO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lang w:val="en-US" w:eastAsia="zh-CN"/>
        </w:rPr>
        <w:t>之间</w:t>
      </w:r>
      <w:r>
        <w:rPr>
          <w:rFonts w:hint="default" w:ascii="Times New Roman" w:hAnsi="Times New Roman" w:eastAsia="仿宋_GB2312"/>
          <w:bCs/>
          <w:sz w:val="32"/>
          <w:szCs w:val="32"/>
          <w:highlight w:val="none"/>
        </w:rPr>
        <w:t>，每减少0.1</w:t>
      </w:r>
      <w:r>
        <w:rPr>
          <w:rFonts w:hint="default" w:ascii="Times New Roman" w:hAnsi="Times New Roman" w:eastAsia="仿宋_GB2312"/>
          <w:bCs/>
          <w:sz w:val="32"/>
          <w:szCs w:val="32"/>
          <w:highlight w:val="none"/>
          <w:lang w:val="en-US" w:eastAsia="zh-CN"/>
        </w:rPr>
        <w:t>kgCO</w:t>
      </w:r>
      <w:r>
        <w:rPr>
          <w:rFonts w:hint="default" w:ascii="Times New Roman" w:hAnsi="Times New Roman" w:eastAsia="仿宋_GB2312"/>
          <w:bCs/>
          <w:sz w:val="32"/>
          <w:szCs w:val="32"/>
          <w:highlight w:val="none"/>
          <w:vertAlign w:val="subscript"/>
          <w:lang w:val="en-US" w:eastAsia="zh-CN"/>
        </w:rPr>
        <w:t>2</w:t>
      </w:r>
      <w:r>
        <w:rPr>
          <w:rFonts w:hint="default" w:ascii="Times New Roman" w:hAnsi="Times New Roman" w:eastAsia="仿宋_GB2312"/>
          <w:bCs/>
          <w:sz w:val="32"/>
          <w:szCs w:val="32"/>
          <w:highlight w:val="none"/>
          <w:lang w:val="en-US" w:eastAsia="zh-CN"/>
        </w:rPr>
        <w:t>e/</w:t>
      </w:r>
      <w:r>
        <w:rPr>
          <w:rFonts w:ascii="Times New Roman" w:hAnsi="Times New Roman" w:eastAsia="仿宋_GB2312"/>
          <w:bCs/>
          <w:sz w:val="32"/>
          <w:szCs w:val="32"/>
        </w:rPr>
        <w:t>kW·h</w:t>
      </w:r>
      <w:r>
        <w:rPr>
          <w:rFonts w:hint="default" w:ascii="Times New Roman" w:hAnsi="Times New Roman" w:eastAsia="仿宋_GB2312"/>
          <w:bCs/>
          <w:sz w:val="32"/>
          <w:szCs w:val="32"/>
          <w:highlight w:val="none"/>
        </w:rPr>
        <w:t>得分增加</w:t>
      </w:r>
      <w:r>
        <w:rPr>
          <w:rFonts w:hint="default" w:ascii="Times New Roman" w:hAnsi="Times New Roman" w:eastAsia="仿宋_GB2312"/>
          <w:bCs/>
          <w:sz w:val="32"/>
          <w:szCs w:val="32"/>
          <w:highlight w:val="none"/>
          <w:lang w:val="en-US" w:eastAsia="zh-CN"/>
        </w:rPr>
        <w:t>2</w:t>
      </w:r>
      <w:r>
        <w:rPr>
          <w:rFonts w:hint="default"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eastAsia="zh-CN"/>
        </w:rPr>
        <w:t>。</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highlight w:val="none"/>
        </w:rPr>
      </w:pPr>
      <w:r>
        <w:rPr>
          <w:rFonts w:hint="default" w:ascii="Times New Roman" w:hAnsi="Times New Roman" w:eastAsia="仿宋_GB2312"/>
          <w:bCs/>
          <w:sz w:val="32"/>
          <w:szCs w:val="32"/>
          <w:highlight w:val="none"/>
          <w:lang w:val="en-US" w:eastAsia="zh-CN"/>
        </w:rPr>
        <w:t>7</w:t>
      </w:r>
      <w:r>
        <w:rPr>
          <w:rFonts w:hint="default" w:ascii="Times New Roman" w:hAnsi="Times New Roman" w:eastAsia="仿宋_GB2312"/>
          <w:bCs/>
          <w:sz w:val="32"/>
          <w:szCs w:val="32"/>
          <w:highlight w:val="none"/>
        </w:rPr>
        <w:t>.</w:t>
      </w:r>
      <w:r>
        <w:rPr>
          <w:rFonts w:hint="default" w:ascii="Times New Roman" w:hAnsi="Times New Roman" w:eastAsia="仿宋_GB2312"/>
          <w:bCs/>
          <w:sz w:val="32"/>
          <w:szCs w:val="32"/>
          <w:highlight w:val="none"/>
          <w:lang w:eastAsia="zh-CN"/>
        </w:rPr>
        <w:t>数字化能碳管理中心建设及运行</w:t>
      </w:r>
      <w:r>
        <w:rPr>
          <w:rFonts w:hint="default" w:ascii="Times New Roman" w:hAnsi="Times New Roman" w:eastAsia="仿宋_GB2312" w:cs="Times New Roman"/>
          <w:bCs/>
          <w:sz w:val="32"/>
          <w:szCs w:val="32"/>
          <w:highlight w:val="none"/>
        </w:rPr>
        <w:t>（总</w:t>
      </w:r>
      <w:r>
        <w:rPr>
          <w:rFonts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val="en-US" w:eastAsia="zh-CN"/>
        </w:rPr>
        <w:t>6</w:t>
      </w:r>
      <w:r>
        <w:rPr>
          <w:rFonts w:ascii="Times New Roman" w:hAnsi="Times New Roman" w:eastAsia="仿宋_GB2312"/>
          <w:bCs/>
          <w:sz w:val="32"/>
          <w:szCs w:val="32"/>
          <w:highlight w:val="none"/>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数字化能碳管理中心</w:t>
      </w:r>
      <w:r>
        <w:rPr>
          <w:rFonts w:hint="default" w:ascii="Times New Roman" w:hAnsi="Times New Roman" w:eastAsia="仿宋_GB2312"/>
          <w:bCs/>
          <w:sz w:val="32"/>
          <w:szCs w:val="32"/>
        </w:rPr>
        <w:t>建设及运行情况作为评价依据。</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建设及运行数字化能碳管理中心</w:t>
      </w:r>
      <w:r>
        <w:rPr>
          <w:rFonts w:hint="default" w:ascii="Times New Roman" w:hAnsi="Times New Roman" w:eastAsia="仿宋_GB2312"/>
          <w:bCs/>
          <w:sz w:val="32"/>
          <w:szCs w:val="32"/>
        </w:rPr>
        <w:t>相关的工作佐证材料作为评价依据</w:t>
      </w:r>
      <w:r>
        <w:rPr>
          <w:rFonts w:ascii="Times New Roman" w:hAnsi="Times New Roman" w:eastAsia="仿宋_GB2312"/>
          <w:bCs/>
          <w:sz w:val="32"/>
          <w:szCs w:val="32"/>
        </w:rPr>
        <w:t>，</w:t>
      </w:r>
      <w:r>
        <w:rPr>
          <w:rFonts w:hint="default" w:ascii="Times New Roman" w:hAnsi="Times New Roman" w:eastAsia="仿宋_GB2312"/>
          <w:bCs/>
          <w:sz w:val="32"/>
          <w:szCs w:val="32"/>
        </w:rPr>
        <w:t>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6</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能源计量</w:t>
      </w:r>
      <w:r>
        <w:rPr>
          <w:rFonts w:ascii="Times New Roman" w:hAnsi="Times New Roman" w:eastAsia="仿宋_GB2312"/>
          <w:bCs/>
          <w:sz w:val="32"/>
          <w:szCs w:val="32"/>
        </w:rPr>
        <w:t>符合</w:t>
      </w:r>
      <w:r>
        <w:rPr>
          <w:rFonts w:hint="default" w:ascii="Times New Roman" w:hAnsi="Times New Roman" w:eastAsia="仿宋_GB2312"/>
          <w:bCs/>
          <w:sz w:val="32"/>
          <w:szCs w:val="32"/>
        </w:rPr>
        <w:t>《用能单位能源计量器具配备和管理通则》（GB 17167）</w:t>
      </w:r>
      <w:r>
        <w:rPr>
          <w:rFonts w:ascii="Times New Roman" w:hAnsi="Times New Roman" w:eastAsia="仿宋_GB2312"/>
          <w:bCs/>
          <w:sz w:val="32"/>
          <w:szCs w:val="32"/>
        </w:rPr>
        <w:t>要求</w:t>
      </w:r>
      <w:r>
        <w:rPr>
          <w:rFonts w:hint="default" w:ascii="Times New Roman" w:hAnsi="Times New Roman" w:eastAsia="仿宋_GB2312"/>
          <w:bCs/>
          <w:sz w:val="32"/>
          <w:szCs w:val="32"/>
        </w:rPr>
        <w:t>。在此基础上，按照《工业企业和园区数字化能碳管理中心建设指南》（工信厅节〔2025〕13号），建设数字化能碳管理中心并稳定运行，实现</w:t>
      </w:r>
      <w:r>
        <w:rPr>
          <w:rFonts w:hint="default" w:ascii="Times New Roman" w:hAnsi="Times New Roman" w:eastAsia="仿宋_GB2312"/>
          <w:bCs/>
          <w:sz w:val="32"/>
          <w:szCs w:val="32"/>
          <w:lang w:eastAsia="zh-CN"/>
        </w:rPr>
        <w:t>能耗查询、能源消费量和强</w:t>
      </w:r>
      <w:r>
        <w:rPr>
          <w:rFonts w:hint="eastAsia" w:eastAsia="仿宋_GB2312"/>
          <w:bCs/>
          <w:sz w:val="32"/>
          <w:szCs w:val="32"/>
          <w:lang w:eastAsia="zh-CN"/>
        </w:rPr>
        <w:t>度计算</w:t>
      </w:r>
      <w:r>
        <w:rPr>
          <w:rFonts w:hint="default" w:ascii="Times New Roman" w:hAnsi="Times New Roman" w:eastAsia="仿宋_GB2312"/>
          <w:bCs/>
          <w:sz w:val="32"/>
          <w:szCs w:val="32"/>
          <w:lang w:eastAsia="zh-CN"/>
        </w:rPr>
        <w:t>、能源消费分析与用能策略推荐、能效对标、能流分析、能效平衡与优化、用能与碳排放预算管理、碳排放、碳足迹核算、供应链碳管理、碳核查支撑、碳资产管理等</w:t>
      </w:r>
      <w:r>
        <w:rPr>
          <w:rFonts w:hint="default" w:ascii="Times New Roman" w:hAnsi="Times New Roman" w:eastAsia="仿宋_GB2312"/>
          <w:bCs/>
          <w:sz w:val="32"/>
          <w:szCs w:val="32"/>
          <w:lang w:val="en-US" w:eastAsia="zh-CN"/>
        </w:rPr>
        <w:t>12项功能，每实现一项功能增加0.5分，算力设施数字化能碳管理中心对功能模块做整合的，以实际实现的具体功能作为佐证依据。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firstLine="640" w:firstLineChars="200"/>
        <w:textAlignment w:val="auto"/>
        <w:rPr>
          <w:rFonts w:ascii="Times New Roman" w:hAnsi="Times New Roman" w:eastAsia="仿宋_GB2312"/>
          <w:bCs/>
          <w:sz w:val="32"/>
          <w:szCs w:val="32"/>
          <w:highlight w:val="none"/>
        </w:rPr>
      </w:pPr>
      <w:r>
        <w:rPr>
          <w:rFonts w:hint="eastAsia" w:ascii="Times New Roman" w:hAnsi="Times New Roman" w:eastAsia="仿宋_GB2312" w:cs="Times New Roman"/>
          <w:bCs/>
          <w:sz w:val="32"/>
          <w:szCs w:val="32"/>
          <w:highlight w:val="none"/>
          <w:lang w:val="en-US" w:eastAsia="zh-CN"/>
        </w:rPr>
        <w:t>8.</w:t>
      </w:r>
      <w:r>
        <w:rPr>
          <w:rFonts w:hint="eastAsia" w:ascii="Times New Roman" w:hAnsi="Times New Roman" w:eastAsia="仿宋_GB2312" w:cs="Times New Roman"/>
          <w:bCs/>
          <w:sz w:val="32"/>
          <w:szCs w:val="32"/>
          <w:highlight w:val="none"/>
          <w:lang w:eastAsia="zh-CN"/>
        </w:rPr>
        <w:t>参与产品碳足迹标准制修订</w:t>
      </w:r>
      <w:r>
        <w:rPr>
          <w:rFonts w:hint="default" w:ascii="Times New Roman" w:hAnsi="Times New Roman" w:eastAsia="仿宋_GB2312" w:cs="Times New Roman"/>
          <w:bCs/>
          <w:sz w:val="32"/>
          <w:szCs w:val="32"/>
          <w:highlight w:val="none"/>
        </w:rPr>
        <w:t>（总</w:t>
      </w:r>
      <w:r>
        <w:rPr>
          <w:rFonts w:ascii="Times New Roman" w:hAnsi="Times New Roman" w:eastAsia="仿宋_GB2312"/>
          <w:bCs/>
          <w:sz w:val="32"/>
          <w:szCs w:val="32"/>
          <w:highlight w:val="none"/>
        </w:rPr>
        <w:t>分</w:t>
      </w:r>
      <w:r>
        <w:rPr>
          <w:rFonts w:hint="default" w:ascii="Times New Roman" w:hAnsi="Times New Roman" w:eastAsia="仿宋_GB2312"/>
          <w:bCs/>
          <w:sz w:val="32"/>
          <w:szCs w:val="32"/>
          <w:highlight w:val="none"/>
          <w:lang w:val="en-US" w:eastAsia="zh-CN"/>
        </w:rPr>
        <w:t>2</w:t>
      </w:r>
      <w:r>
        <w:rPr>
          <w:rFonts w:ascii="Times New Roman" w:hAnsi="Times New Roman" w:eastAsia="仿宋_GB2312"/>
          <w:bCs/>
          <w:sz w:val="32"/>
          <w:szCs w:val="32"/>
          <w:highlight w:val="none"/>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hint="eastAsia" w:ascii="Times New Roman" w:hAnsi="Times New Roman" w:eastAsia="仿宋_GB2312" w:cs="Times New Roman"/>
          <w:bCs/>
          <w:sz w:val="32"/>
          <w:szCs w:val="32"/>
          <w:highlight w:val="none"/>
          <w:lang w:eastAsia="zh-CN"/>
        </w:rPr>
        <w:t>参与产品碳足迹标准制修订</w:t>
      </w:r>
      <w:r>
        <w:rPr>
          <w:rFonts w:hint="default" w:ascii="Times New Roman" w:hAnsi="Times New Roman" w:eastAsia="仿宋_GB2312"/>
          <w:bCs/>
          <w:sz w:val="32"/>
          <w:szCs w:val="32"/>
          <w:lang w:eastAsia="zh-CN"/>
        </w:rPr>
        <w:t>情况</w:t>
      </w:r>
      <w:r>
        <w:rPr>
          <w:rFonts w:hint="default" w:ascii="Times New Roman" w:hAnsi="Times New Roman" w:eastAsia="仿宋_GB2312"/>
          <w:bCs/>
          <w:sz w:val="32"/>
          <w:szCs w:val="32"/>
        </w:rPr>
        <w:t>作为评价依据。</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算力设施参与</w:t>
      </w:r>
      <w:r>
        <w:rPr>
          <w:rFonts w:hint="default" w:ascii="Times New Roman" w:hAnsi="Times New Roman" w:eastAsia="仿宋_GB2312"/>
          <w:bCs/>
          <w:sz w:val="32"/>
          <w:szCs w:val="32"/>
        </w:rPr>
        <w:t>产品碳足迹标准制修订相关的工作佐证材料作为评价依据</w:t>
      </w:r>
      <w:r>
        <w:rPr>
          <w:rFonts w:ascii="Times New Roman" w:hAnsi="Times New Roman" w:eastAsia="仿宋_GB2312"/>
          <w:bCs/>
          <w:sz w:val="32"/>
          <w:szCs w:val="32"/>
        </w:rPr>
        <w:t>，</w:t>
      </w:r>
      <w:r>
        <w:rPr>
          <w:rFonts w:hint="default" w:ascii="Times New Roman" w:hAnsi="Times New Roman" w:eastAsia="仿宋_GB2312"/>
          <w:bCs/>
          <w:sz w:val="32"/>
          <w:szCs w:val="32"/>
        </w:rPr>
        <w:t>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分。</w:t>
      </w:r>
    </w:p>
    <w:p>
      <w:pPr>
        <w:pStyle w:val="7"/>
        <w:adjustRightInd w:val="0"/>
        <w:snapToGrid w:val="0"/>
        <w:spacing w:line="594" w:lineRule="exact"/>
        <w:ind w:firstLine="640"/>
        <w:outlineLvl w:val="1"/>
        <w:rPr>
          <w:rFonts w:hint="default" w:ascii="Times New Roman" w:hAnsi="Times New Roman" w:eastAsia="楷体_GB2312"/>
          <w:bCs/>
          <w:sz w:val="32"/>
          <w:szCs w:val="32"/>
          <w:lang w:eastAsia="zh-CN"/>
        </w:rPr>
      </w:pPr>
      <w:r>
        <w:rPr>
          <w:rFonts w:ascii="Times New Roman" w:hAnsi="Times New Roman" w:eastAsia="楷体_GB2312"/>
          <w:bCs/>
          <w:sz w:val="32"/>
          <w:szCs w:val="32"/>
        </w:rPr>
        <w:t>（</w:t>
      </w:r>
      <w:r>
        <w:rPr>
          <w:rFonts w:hint="default" w:ascii="Times New Roman" w:hAnsi="Times New Roman" w:eastAsia="楷体_GB2312"/>
          <w:bCs/>
          <w:sz w:val="32"/>
          <w:szCs w:val="32"/>
          <w:lang w:eastAsia="zh-CN"/>
        </w:rPr>
        <w:t>三</w:t>
      </w:r>
      <w:r>
        <w:rPr>
          <w:rFonts w:ascii="Times New Roman" w:hAnsi="Times New Roman" w:eastAsia="楷体_GB2312"/>
          <w:bCs/>
          <w:sz w:val="32"/>
          <w:szCs w:val="32"/>
        </w:rPr>
        <w:t>）</w:t>
      </w:r>
      <w:r>
        <w:rPr>
          <w:rFonts w:hint="default" w:ascii="Times New Roman" w:hAnsi="Times New Roman" w:eastAsia="楷体_GB2312"/>
          <w:bCs/>
          <w:sz w:val="32"/>
          <w:szCs w:val="32"/>
          <w:lang w:eastAsia="zh-CN"/>
        </w:rPr>
        <w:t>水资源利用水平</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9</w:t>
      </w:r>
      <w:r>
        <w:rPr>
          <w:rFonts w:hint="default" w:ascii="Times New Roman" w:hAnsi="Times New Roman" w:eastAsia="仿宋_GB2312"/>
          <w:bCs/>
          <w:sz w:val="32"/>
          <w:szCs w:val="32"/>
        </w:rPr>
        <w:t>.</w:t>
      </w:r>
      <w:r>
        <w:rPr>
          <w:rFonts w:ascii="Times New Roman" w:hAnsi="Times New Roman" w:eastAsia="仿宋_GB2312"/>
          <w:bCs/>
          <w:sz w:val="32"/>
          <w:szCs w:val="32"/>
        </w:rPr>
        <w:t>水资源利用</w:t>
      </w:r>
      <w:r>
        <w:rPr>
          <w:rFonts w:hint="default" w:ascii="Times New Roman" w:hAnsi="Times New Roman" w:eastAsia="仿宋_GB2312"/>
          <w:bCs/>
          <w:sz w:val="32"/>
          <w:szCs w:val="32"/>
          <w:lang w:eastAsia="zh-CN"/>
        </w:rPr>
        <w:t>效率（</w:t>
      </w:r>
      <w:r>
        <w:rPr>
          <w:rFonts w:hint="default" w:ascii="Times New Roman" w:hAnsi="Times New Roman" w:eastAsia="仿宋_GB2312" w:cs="Times New Roman"/>
          <w:bCs/>
          <w:sz w:val="32"/>
          <w:szCs w:val="32"/>
          <w:lang w:val="en-US" w:eastAsia="zh-CN"/>
        </w:rPr>
        <w:t>WUE</w:t>
      </w:r>
      <w:r>
        <w:rPr>
          <w:rFonts w:hint="default" w:ascii="Times New Roman" w:hAnsi="Times New Roman" w:eastAsia="仿宋_GB2312" w:cs="Times New Roman"/>
          <w:bCs/>
          <w:sz w:val="32"/>
          <w:szCs w:val="32"/>
          <w:lang w:eastAsia="zh-CN"/>
        </w:rPr>
        <w:t>）</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单位信息设备能耗用水量（水资源使用</w:t>
      </w:r>
      <w:r>
        <w:rPr>
          <w:rFonts w:hint="default" w:ascii="Times New Roman" w:hAnsi="Times New Roman" w:eastAsia="仿宋_GB2312"/>
          <w:bCs/>
          <w:sz w:val="32"/>
          <w:szCs w:val="32"/>
        </w:rPr>
        <w:t>效</w:t>
      </w:r>
      <w:r>
        <w:rPr>
          <w:rFonts w:ascii="Times New Roman" w:hAnsi="Times New Roman" w:eastAsia="仿宋_GB2312"/>
          <w:bCs/>
          <w:sz w:val="32"/>
          <w:szCs w:val="32"/>
        </w:rPr>
        <w:t>率）</w:t>
      </w:r>
      <w:r>
        <w:rPr>
          <w:rFonts w:hint="default" w:ascii="Times New Roman" w:hAnsi="Times New Roman" w:eastAsia="仿宋_GB2312"/>
          <w:bCs/>
          <w:sz w:val="32"/>
          <w:szCs w:val="32"/>
        </w:rPr>
        <w:t>作为评价依据</w:t>
      </w:r>
      <w:r>
        <w:rPr>
          <w:rFonts w:hint="default" w:ascii="Times New Roman" w:hAnsi="Times New Roman" w:eastAsia="仿宋_GB2312"/>
          <w:bCs/>
          <w:sz w:val="32"/>
          <w:szCs w:val="32"/>
          <w:lang w:eastAsia="zh-CN"/>
        </w:rPr>
        <w:t>，按照《绿色数据中心评价》（GB/T 44989—2024）中的水资源使用效率计算方法，通过计算算力设施全年水资源消耗量与信息设备耗电量的比值得出。水资源消耗量是指算力设施使用城市市政供水量与在符合国家相关管理规定前提下所采用地下水、江河湖水等自然水体量的总和。</w:t>
      </w:r>
    </w:p>
    <w:p>
      <w:pPr>
        <w:tabs>
          <w:tab w:val="left" w:pos="420"/>
        </w:tabs>
        <w:adjustRightInd w:val="0"/>
        <w:snapToGrid w:val="0"/>
        <w:spacing w:line="594" w:lineRule="exact"/>
        <w:ind w:firstLine="640" w:firstLineChars="20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按</w:t>
      </w:r>
      <w:r>
        <w:rPr>
          <w:rFonts w:hint="default" w:ascii="Times New Roman" w:hAnsi="Times New Roman" w:eastAsia="仿宋_GB2312"/>
          <w:bCs/>
          <w:sz w:val="32"/>
          <w:szCs w:val="32"/>
        </w:rPr>
        <w:t>照</w:t>
      </w:r>
      <w:r>
        <w:rPr>
          <w:rFonts w:ascii="Times New Roman" w:hAnsi="Times New Roman" w:eastAsia="仿宋_GB2312"/>
          <w:bCs/>
          <w:sz w:val="32"/>
          <w:szCs w:val="32"/>
        </w:rPr>
        <w:t>单位信息设备能耗用水量</w:t>
      </w:r>
      <w:r>
        <w:rPr>
          <w:rFonts w:hint="default" w:ascii="Times New Roman" w:hAnsi="Times New Roman" w:eastAsia="仿宋_GB2312"/>
          <w:bCs/>
          <w:sz w:val="32"/>
          <w:szCs w:val="32"/>
        </w:rPr>
        <w:t>从</w:t>
      </w:r>
      <w:r>
        <w:rPr>
          <w:rFonts w:ascii="Times New Roman" w:hAnsi="Times New Roman" w:eastAsia="仿宋_GB2312"/>
          <w:bCs/>
          <w:sz w:val="32"/>
          <w:szCs w:val="32"/>
        </w:rPr>
        <w:t>1.5L/(kW·h)至0.7L/(kW·h)，对应得</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至</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r>
        <w:rPr>
          <w:rFonts w:hint="default" w:ascii="Times New Roman" w:hAnsi="Times New Roman" w:eastAsia="仿宋_GB2312"/>
          <w:bCs/>
          <w:sz w:val="32"/>
          <w:szCs w:val="32"/>
        </w:rPr>
        <w:t>高于</w:t>
      </w:r>
      <w:r>
        <w:rPr>
          <w:rFonts w:ascii="Times New Roman" w:hAnsi="Times New Roman" w:eastAsia="仿宋_GB2312"/>
          <w:bCs/>
          <w:sz w:val="32"/>
          <w:szCs w:val="32"/>
        </w:rPr>
        <w:t>1.5L/(kW·h)</w:t>
      </w:r>
      <w:r>
        <w:rPr>
          <w:rFonts w:hint="default" w:ascii="Times New Roman" w:hAnsi="Times New Roman" w:eastAsia="仿宋_GB2312"/>
          <w:bCs/>
          <w:sz w:val="32"/>
          <w:szCs w:val="32"/>
        </w:rPr>
        <w:t>不得分；等于</w:t>
      </w:r>
      <w:r>
        <w:rPr>
          <w:rFonts w:ascii="Times New Roman" w:hAnsi="Times New Roman" w:eastAsia="仿宋_GB2312"/>
          <w:bCs/>
          <w:sz w:val="32"/>
          <w:szCs w:val="32"/>
        </w:rPr>
        <w:t>1.5L/(kW·h)得</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在</w:t>
      </w:r>
      <w:r>
        <w:rPr>
          <w:rFonts w:hint="default" w:ascii="Times New Roman" w:hAnsi="Times New Roman" w:eastAsia="仿宋_GB2312"/>
          <w:bCs/>
          <w:sz w:val="32"/>
          <w:szCs w:val="32"/>
          <w:lang w:val="en-US" w:eastAsia="zh-CN"/>
        </w:rPr>
        <w:t>1.5L/(kW</w:t>
      </w:r>
      <w:r>
        <w:rPr>
          <w:rFonts w:hint="default" w:ascii="Times New Roman" w:hAnsi="Times New Roman" w:eastAsia="仿宋_GB2312" w:cs="Times New Roman"/>
          <w:bCs/>
          <w:sz w:val="32"/>
          <w:szCs w:val="32"/>
          <w:lang w:val="en-US" w:eastAsia="zh-CN"/>
        </w:rPr>
        <w:t>·h)至0.7L/(kW·h</w:t>
      </w:r>
      <w:r>
        <w:rPr>
          <w:rFonts w:hint="default" w:ascii="Times New Roman" w:hAnsi="Times New Roman" w:eastAsia="仿宋_GB2312"/>
          <w:bCs/>
          <w:sz w:val="32"/>
          <w:szCs w:val="32"/>
          <w:lang w:val="en-US" w:eastAsia="zh-CN"/>
        </w:rPr>
        <w:t>)之间，</w:t>
      </w:r>
      <w:r>
        <w:rPr>
          <w:rFonts w:ascii="Times New Roman" w:hAnsi="Times New Roman" w:eastAsia="仿宋_GB2312"/>
          <w:bCs/>
          <w:sz w:val="32"/>
          <w:szCs w:val="32"/>
        </w:rPr>
        <w:t>每降低0.1L/(kW·h)得分增加</w:t>
      </w:r>
      <w:r>
        <w:rPr>
          <w:rFonts w:hint="default" w:ascii="Times New Roman" w:hAnsi="Times New Roman" w:eastAsia="仿宋_GB2312"/>
          <w:bCs/>
          <w:sz w:val="32"/>
          <w:szCs w:val="32"/>
          <w:lang w:val="en-US" w:eastAsia="zh-CN"/>
        </w:rPr>
        <w:t>0.5</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达到或低</w:t>
      </w:r>
      <w:r>
        <w:rPr>
          <w:rFonts w:ascii="Times New Roman" w:hAnsi="Times New Roman" w:eastAsia="仿宋_GB2312"/>
          <w:bCs/>
          <w:sz w:val="32"/>
          <w:szCs w:val="32"/>
        </w:rPr>
        <w:t>于0.7L/(kW·h)直接得</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10</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非常规水利用情况</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算力设施非常规水使用情况</w:t>
      </w:r>
      <w:r>
        <w:rPr>
          <w:rFonts w:hint="default" w:ascii="Times New Roman" w:hAnsi="Times New Roman" w:eastAsia="仿宋_GB2312"/>
          <w:bCs/>
          <w:sz w:val="32"/>
          <w:szCs w:val="32"/>
        </w:rPr>
        <w:t>作为评价依据</w:t>
      </w:r>
      <w:r>
        <w:rPr>
          <w:rFonts w:ascii="Times New Roman" w:hAnsi="Times New Roman" w:eastAsia="仿宋_GB2312"/>
          <w:bCs/>
          <w:sz w:val="32"/>
          <w:szCs w:val="32"/>
        </w:rPr>
        <w:t>。</w:t>
      </w:r>
    </w:p>
    <w:p>
      <w:pPr>
        <w:tabs>
          <w:tab w:val="left" w:pos="420"/>
        </w:tabs>
        <w:adjustRightInd w:val="0"/>
        <w:snapToGrid w:val="0"/>
        <w:spacing w:line="594" w:lineRule="exact"/>
        <w:ind w:firstLine="640" w:firstLineChars="20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highlight w:val="none"/>
          <w:lang w:val="en-US" w:eastAsia="zh-CN"/>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4</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算力设施对</w:t>
      </w:r>
      <w:r>
        <w:rPr>
          <w:rFonts w:hint="default" w:ascii="Times New Roman" w:hAnsi="Times New Roman" w:eastAsia="仿宋_GB2312"/>
          <w:bCs/>
          <w:sz w:val="32"/>
          <w:szCs w:val="32"/>
        </w:rPr>
        <w:t>再生水、矿井水、海水</w:t>
      </w:r>
      <w:r>
        <w:rPr>
          <w:rFonts w:hint="default" w:ascii="Times New Roman" w:hAnsi="Times New Roman" w:eastAsia="仿宋_GB2312"/>
          <w:bCs/>
          <w:sz w:val="32"/>
          <w:szCs w:val="32"/>
          <w:lang w:eastAsia="zh-CN"/>
        </w:rPr>
        <w:t>等</w:t>
      </w:r>
      <w:r>
        <w:rPr>
          <w:rFonts w:hint="default" w:ascii="Times New Roman" w:hAnsi="Times New Roman" w:eastAsia="仿宋_GB2312"/>
          <w:bCs/>
          <w:sz w:val="32"/>
          <w:szCs w:val="32"/>
        </w:rPr>
        <w:t>非常规水</w:t>
      </w:r>
      <w:r>
        <w:rPr>
          <w:rFonts w:hint="default" w:ascii="Times New Roman" w:hAnsi="Times New Roman" w:eastAsia="仿宋_GB2312"/>
          <w:bCs/>
          <w:sz w:val="32"/>
          <w:szCs w:val="32"/>
          <w:lang w:eastAsia="zh-CN"/>
        </w:rPr>
        <w:t>进行良好</w:t>
      </w:r>
      <w:r>
        <w:rPr>
          <w:rFonts w:hint="default" w:ascii="Times New Roman" w:hAnsi="Times New Roman" w:eastAsia="仿宋_GB2312"/>
          <w:bCs/>
          <w:sz w:val="32"/>
          <w:szCs w:val="32"/>
        </w:rPr>
        <w:t>利用</w:t>
      </w:r>
      <w:r>
        <w:rPr>
          <w:rFonts w:ascii="Times New Roman" w:hAnsi="Times New Roman" w:eastAsia="仿宋_GB2312"/>
          <w:bCs/>
          <w:sz w:val="32"/>
          <w:szCs w:val="32"/>
        </w:rPr>
        <w:t>。</w:t>
      </w:r>
    </w:p>
    <w:p>
      <w:pPr>
        <w:pStyle w:val="7"/>
        <w:adjustRightInd w:val="0"/>
        <w:snapToGrid w:val="0"/>
        <w:spacing w:line="594" w:lineRule="exact"/>
        <w:ind w:firstLine="640" w:firstLineChars="0"/>
        <w:outlineLvl w:val="1"/>
        <w:rPr>
          <w:rFonts w:hint="default" w:ascii="Times New Roman" w:hAnsi="Times New Roman" w:eastAsia="楷体_GB2312"/>
          <w:bCs/>
          <w:sz w:val="32"/>
          <w:szCs w:val="32"/>
          <w:lang w:eastAsia="zh-CN"/>
        </w:rPr>
      </w:pPr>
      <w:r>
        <w:rPr>
          <w:rFonts w:ascii="Times New Roman" w:hAnsi="Times New Roman" w:eastAsia="楷体_GB2312"/>
          <w:bCs/>
          <w:sz w:val="32"/>
          <w:szCs w:val="32"/>
        </w:rPr>
        <w:t>（</w:t>
      </w:r>
      <w:r>
        <w:rPr>
          <w:rFonts w:hint="default" w:ascii="Times New Roman" w:hAnsi="Times New Roman" w:eastAsia="楷体_GB2312"/>
          <w:bCs/>
          <w:sz w:val="32"/>
          <w:szCs w:val="32"/>
          <w:lang w:eastAsia="zh-CN"/>
        </w:rPr>
        <w:t>四</w:t>
      </w:r>
      <w:r>
        <w:rPr>
          <w:rFonts w:ascii="Times New Roman" w:hAnsi="Times New Roman" w:eastAsia="楷体_GB2312"/>
          <w:bCs/>
          <w:sz w:val="32"/>
          <w:szCs w:val="32"/>
        </w:rPr>
        <w:t>）</w:t>
      </w:r>
      <w:r>
        <w:rPr>
          <w:rFonts w:hint="default" w:ascii="Times New Roman" w:hAnsi="Times New Roman" w:eastAsia="楷体_GB2312"/>
          <w:bCs/>
          <w:sz w:val="32"/>
          <w:szCs w:val="32"/>
          <w:lang w:eastAsia="zh-CN"/>
        </w:rPr>
        <w:t>算力资源利用水平</w:t>
      </w:r>
    </w:p>
    <w:p>
      <w:pPr>
        <w:tabs>
          <w:tab w:val="left" w:pos="0"/>
        </w:tabs>
        <w:adjustRightInd w:val="0"/>
        <w:snapToGrid w:val="0"/>
        <w:spacing w:line="594" w:lineRule="exact"/>
        <w:ind w:left="840"/>
        <w:outlineLvl w:val="2"/>
        <w:rPr>
          <w:rFonts w:ascii="Times New Roman" w:hAnsi="Times New Roman" w:eastAsia="仿宋_GB2312"/>
          <w:bCs/>
          <w:sz w:val="32"/>
          <w:szCs w:val="32"/>
        </w:rPr>
      </w:pPr>
      <w:r>
        <w:rPr>
          <w:rFonts w:hint="default" w:ascii="Times New Roman" w:hAnsi="Times New Roman" w:eastAsia="仿宋_GB2312"/>
          <w:bCs/>
          <w:sz w:val="32"/>
          <w:szCs w:val="32"/>
        </w:rPr>
        <w:t>1</w:t>
      </w:r>
      <w:r>
        <w:rPr>
          <w:rFonts w:hint="default" w:ascii="Times New Roman" w:hAnsi="Times New Roman" w:eastAsia="仿宋_GB2312"/>
          <w:bCs/>
          <w:sz w:val="32"/>
          <w:szCs w:val="32"/>
          <w:lang w:val="en-US" w:eastAsia="zh-CN"/>
        </w:rPr>
        <w:t>1</w:t>
      </w:r>
      <w:r>
        <w:rPr>
          <w:rFonts w:hint="default" w:ascii="Times New Roman" w:hAnsi="Times New Roman" w:eastAsia="仿宋_GB2312"/>
          <w:bCs/>
          <w:sz w:val="32"/>
          <w:szCs w:val="32"/>
        </w:rPr>
        <w:t>.</w:t>
      </w:r>
      <w:r>
        <w:rPr>
          <w:rFonts w:ascii="Times New Roman" w:hAnsi="Times New Roman" w:eastAsia="仿宋_GB2312"/>
          <w:bCs/>
          <w:sz w:val="32"/>
          <w:szCs w:val="32"/>
        </w:rPr>
        <w:t>机柜资源利用（上架率）水平（总分</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hint="default" w:ascii="Times New Roman" w:hAnsi="Times New Roman" w:eastAsia="仿宋_GB2312"/>
          <w:bCs/>
          <w:sz w:val="32"/>
          <w:szCs w:val="32"/>
          <w:lang w:eastAsia="zh-CN"/>
        </w:rPr>
      </w:pPr>
      <w:r>
        <w:rPr>
          <w:rFonts w:ascii="Times New Roman" w:hAnsi="Times New Roman" w:eastAsia="仿宋_GB2312"/>
          <w:bCs/>
          <w:sz w:val="32"/>
          <w:szCs w:val="32"/>
        </w:rPr>
        <w:t>本指标项以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机柜资源利用</w:t>
      </w:r>
      <w:r>
        <w:rPr>
          <w:rFonts w:hint="default" w:ascii="Times New Roman" w:hAnsi="Times New Roman" w:eastAsia="仿宋_GB2312"/>
          <w:bCs/>
          <w:sz w:val="32"/>
          <w:szCs w:val="32"/>
        </w:rPr>
        <w:t>率</w:t>
      </w:r>
      <w:r>
        <w:rPr>
          <w:rFonts w:ascii="Times New Roman" w:hAnsi="Times New Roman" w:eastAsia="仿宋_GB2312"/>
          <w:bCs/>
          <w:sz w:val="32"/>
          <w:szCs w:val="32"/>
        </w:rPr>
        <w:t>（上架率）作为评价依据</w:t>
      </w:r>
      <w:r>
        <w:rPr>
          <w:rFonts w:hint="default" w:ascii="Times New Roman" w:hAnsi="Times New Roman" w:eastAsia="仿宋_GB2312"/>
          <w:bCs/>
          <w:sz w:val="32"/>
          <w:szCs w:val="32"/>
          <w:lang w:eastAsia="zh-CN"/>
        </w:rPr>
        <w:t>，指的是有效应用机柜数量占全部已安装机柜数量的比例。其中，</w:t>
      </w:r>
      <w:r>
        <w:rPr>
          <w:rFonts w:hint="eastAsia" w:ascii="仿宋_GB2312" w:hAnsi="仿宋_GB2312" w:eastAsia="仿宋_GB2312" w:cs="仿宋_GB2312"/>
          <w:bCs/>
          <w:sz w:val="32"/>
          <w:szCs w:val="32"/>
          <w:lang w:eastAsia="zh-CN"/>
        </w:rPr>
        <w:t>“有效应用机柜”认定需</w:t>
      </w:r>
      <w:r>
        <w:rPr>
          <w:rFonts w:hint="default" w:ascii="Times New Roman" w:hAnsi="Times New Roman" w:eastAsia="仿宋_GB2312"/>
          <w:bCs/>
          <w:sz w:val="32"/>
          <w:szCs w:val="32"/>
          <w:lang w:eastAsia="zh-CN"/>
        </w:rPr>
        <w:t>同时满足两个核心条件：空间已获充分利用，且所安装信息设备已通电并处于有效运行状态。文件中机柜与机架含义相同。</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lang w:val="en-US" w:eastAsia="zh-CN"/>
        </w:rPr>
        <w:t>应</w:t>
      </w:r>
      <w:r>
        <w:rPr>
          <w:rFonts w:hint="default" w:ascii="Times New Roman" w:hAnsi="Times New Roman" w:eastAsia="仿宋_GB2312"/>
          <w:bCs/>
          <w:sz w:val="32"/>
          <w:szCs w:val="32"/>
        </w:rPr>
        <w:t>至少</w:t>
      </w:r>
      <w:r>
        <w:rPr>
          <w:rFonts w:hint="default" w:ascii="Times New Roman" w:hAnsi="Times New Roman" w:eastAsia="仿宋_GB2312"/>
          <w:bCs/>
          <w:sz w:val="32"/>
          <w:szCs w:val="32"/>
          <w:lang w:val="en-US" w:eastAsia="zh-CN"/>
        </w:rPr>
        <w:t>已</w:t>
      </w:r>
      <w:r>
        <w:rPr>
          <w:rFonts w:ascii="Times New Roman" w:hAnsi="Times New Roman" w:eastAsia="仿宋_GB2312"/>
          <w:bCs/>
          <w:sz w:val="32"/>
          <w:szCs w:val="32"/>
        </w:rPr>
        <w:t>完成50%设计机柜</w:t>
      </w:r>
      <w:r>
        <w:rPr>
          <w:rFonts w:hint="default" w:ascii="Times New Roman" w:hAnsi="Times New Roman" w:eastAsia="仿宋_GB2312"/>
          <w:bCs/>
          <w:sz w:val="32"/>
          <w:szCs w:val="32"/>
        </w:rPr>
        <w:t>数的</w:t>
      </w:r>
      <w:r>
        <w:rPr>
          <w:rFonts w:ascii="Times New Roman" w:hAnsi="Times New Roman" w:eastAsia="仿宋_GB2312"/>
          <w:bCs/>
          <w:sz w:val="32"/>
          <w:szCs w:val="32"/>
        </w:rPr>
        <w:t>安装，</w:t>
      </w:r>
      <w:r>
        <w:rPr>
          <w:rFonts w:hint="default" w:ascii="Times New Roman" w:hAnsi="Times New Roman" w:eastAsia="仿宋_GB2312"/>
          <w:bCs/>
          <w:sz w:val="32"/>
          <w:szCs w:val="32"/>
        </w:rPr>
        <w:t>否则</w:t>
      </w:r>
      <w:r>
        <w:rPr>
          <w:rFonts w:hint="default" w:ascii="Times New Roman" w:hAnsi="Times New Roman" w:eastAsia="仿宋_GB2312"/>
          <w:bCs/>
          <w:sz w:val="32"/>
          <w:szCs w:val="32"/>
          <w:lang w:val="en-US" w:eastAsia="zh-CN"/>
        </w:rPr>
        <w:t>不得分</w:t>
      </w:r>
      <w:r>
        <w:rPr>
          <w:rFonts w:ascii="Times New Roman" w:hAnsi="Times New Roman" w:eastAsia="仿宋_GB2312"/>
          <w:bCs/>
          <w:sz w:val="32"/>
          <w:szCs w:val="32"/>
        </w:rPr>
        <w:t>。</w:t>
      </w:r>
      <w:r>
        <w:rPr>
          <w:rFonts w:hint="default" w:ascii="Times New Roman" w:hAnsi="Times New Roman" w:eastAsia="仿宋_GB2312"/>
          <w:bCs/>
          <w:sz w:val="32"/>
          <w:szCs w:val="32"/>
          <w:lang w:val="en-US" w:eastAsia="zh-CN"/>
        </w:rPr>
        <w:t>如已完成</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按照</w:t>
      </w:r>
      <w:r>
        <w:rPr>
          <w:rFonts w:ascii="Times New Roman" w:hAnsi="Times New Roman" w:eastAsia="仿宋_GB2312"/>
          <w:bCs/>
          <w:sz w:val="32"/>
          <w:szCs w:val="32"/>
        </w:rPr>
        <w:t>上架率</w:t>
      </w:r>
      <w:r>
        <w:rPr>
          <w:rFonts w:hint="default" w:ascii="Times New Roman" w:hAnsi="Times New Roman" w:eastAsia="仿宋_GB2312"/>
          <w:bCs/>
          <w:sz w:val="32"/>
          <w:szCs w:val="32"/>
        </w:rPr>
        <w:t>从</w:t>
      </w:r>
      <w:r>
        <w:rPr>
          <w:rFonts w:ascii="Times New Roman" w:hAnsi="Times New Roman" w:eastAsia="仿宋_GB2312"/>
          <w:bCs/>
          <w:sz w:val="32"/>
          <w:szCs w:val="32"/>
        </w:rPr>
        <w:t>60%</w:t>
      </w:r>
      <w:r>
        <w:rPr>
          <w:rFonts w:hint="default" w:ascii="Times New Roman" w:hAnsi="Times New Roman" w:eastAsia="仿宋_GB2312"/>
          <w:bCs/>
          <w:sz w:val="32"/>
          <w:szCs w:val="32"/>
        </w:rPr>
        <w:t>至</w:t>
      </w:r>
      <w:r>
        <w:rPr>
          <w:rFonts w:ascii="Times New Roman" w:hAnsi="Times New Roman" w:eastAsia="仿宋_GB2312"/>
          <w:bCs/>
          <w:sz w:val="32"/>
          <w:szCs w:val="32"/>
        </w:rPr>
        <w:t>80%，对应得2至</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r>
        <w:rPr>
          <w:rFonts w:hint="default" w:ascii="Times New Roman" w:hAnsi="Times New Roman" w:eastAsia="仿宋_GB2312"/>
          <w:bCs/>
          <w:sz w:val="32"/>
          <w:szCs w:val="32"/>
        </w:rPr>
        <w:t>低于</w:t>
      </w:r>
      <w:r>
        <w:rPr>
          <w:rFonts w:ascii="Times New Roman" w:hAnsi="Times New Roman" w:eastAsia="仿宋_GB2312"/>
          <w:bCs/>
          <w:sz w:val="32"/>
          <w:szCs w:val="32"/>
        </w:rPr>
        <w:t>60%</w:t>
      </w:r>
      <w:r>
        <w:rPr>
          <w:rFonts w:hint="default" w:ascii="Times New Roman" w:hAnsi="Times New Roman" w:eastAsia="仿宋_GB2312"/>
          <w:bCs/>
          <w:sz w:val="32"/>
          <w:szCs w:val="32"/>
        </w:rPr>
        <w:t>不得分；等于60%</w:t>
      </w:r>
      <w:r>
        <w:rPr>
          <w:rFonts w:ascii="Times New Roman" w:hAnsi="Times New Roman" w:eastAsia="仿宋_GB2312"/>
          <w:bCs/>
          <w:sz w:val="32"/>
          <w:szCs w:val="32"/>
        </w:rPr>
        <w:t>得2分</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在</w:t>
      </w:r>
      <w:r>
        <w:rPr>
          <w:rFonts w:hint="default" w:ascii="Times New Roman" w:hAnsi="Times New Roman" w:eastAsia="仿宋_GB2312"/>
          <w:bCs/>
          <w:sz w:val="32"/>
          <w:szCs w:val="32"/>
          <w:lang w:val="en-US" w:eastAsia="zh-CN"/>
        </w:rPr>
        <w:t>60%至80%之间，</w:t>
      </w:r>
      <w:r>
        <w:rPr>
          <w:rFonts w:ascii="Times New Roman" w:hAnsi="Times New Roman" w:eastAsia="仿宋_GB2312"/>
          <w:bCs/>
          <w:sz w:val="32"/>
          <w:szCs w:val="32"/>
        </w:rPr>
        <w:t>每增加1%得分增加0.</w:t>
      </w:r>
      <w:r>
        <w:rPr>
          <w:rFonts w:hint="default" w:ascii="Times New Roman" w:hAnsi="Times New Roman" w:eastAsia="仿宋_GB2312"/>
          <w:bCs/>
          <w:sz w:val="32"/>
          <w:szCs w:val="32"/>
          <w:lang w:val="en-US" w:eastAsia="zh-CN"/>
        </w:rPr>
        <w:t>3</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达到或</w:t>
      </w:r>
      <w:r>
        <w:rPr>
          <w:rFonts w:ascii="Times New Roman" w:hAnsi="Times New Roman" w:eastAsia="仿宋_GB2312"/>
          <w:bCs/>
          <w:sz w:val="32"/>
          <w:szCs w:val="32"/>
        </w:rPr>
        <w:t>超过80%直接得</w:t>
      </w:r>
      <w:r>
        <w:rPr>
          <w:rFonts w:hint="default" w:ascii="Times New Roman" w:hAnsi="Times New Roman" w:eastAsia="仿宋_GB2312"/>
          <w:bCs/>
          <w:sz w:val="32"/>
          <w:szCs w:val="32"/>
          <w:lang w:val="en-US" w:eastAsia="zh-CN"/>
        </w:rPr>
        <w:t>8</w:t>
      </w:r>
      <w:r>
        <w:rPr>
          <w:rFonts w:ascii="Times New Roman" w:hAnsi="Times New Roman" w:eastAsia="仿宋_GB2312"/>
          <w:bCs/>
          <w:sz w:val="32"/>
          <w:szCs w:val="32"/>
        </w:rPr>
        <w:t>分。</w:t>
      </w:r>
    </w:p>
    <w:p>
      <w:pPr>
        <w:tabs>
          <w:tab w:val="left" w:pos="0"/>
        </w:tabs>
        <w:adjustRightInd w:val="0"/>
        <w:snapToGrid w:val="0"/>
        <w:spacing w:line="594" w:lineRule="exact"/>
        <w:ind w:left="840"/>
        <w:outlineLvl w:val="2"/>
        <w:rPr>
          <w:rFonts w:hint="default" w:ascii="Times New Roman" w:hAnsi="Times New Roman" w:eastAsia="仿宋_GB2312"/>
          <w:bCs/>
          <w:sz w:val="32"/>
          <w:szCs w:val="32"/>
        </w:rPr>
      </w:pPr>
      <w:r>
        <w:rPr>
          <w:rFonts w:hint="default" w:ascii="Times New Roman" w:hAnsi="Times New Roman" w:eastAsia="仿宋_GB2312"/>
          <w:bCs/>
          <w:sz w:val="32"/>
          <w:szCs w:val="32"/>
        </w:rPr>
        <w:t>1</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.信息设备负荷利用水平（总分</w:t>
      </w:r>
      <w:r>
        <w:rPr>
          <w:rFonts w:hint="default" w:ascii="Times New Roman" w:hAnsi="Times New Roman" w:eastAsia="仿宋_GB2312"/>
          <w:bCs/>
          <w:sz w:val="32"/>
          <w:szCs w:val="32"/>
          <w:lang w:val="en-US" w:eastAsia="zh-CN"/>
        </w:rPr>
        <w:t>4</w:t>
      </w:r>
      <w:r>
        <w:rPr>
          <w:rFonts w:hint="default"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本指标项以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信息设备</w:t>
      </w:r>
      <w:r>
        <w:rPr>
          <w:rFonts w:ascii="Times New Roman" w:hAnsi="Times New Roman" w:eastAsia="仿宋_GB2312"/>
          <w:bCs/>
          <w:sz w:val="32"/>
          <w:szCs w:val="32"/>
        </w:rPr>
        <w:t>负荷使用率作为评价依据。</w:t>
      </w:r>
      <w:r>
        <w:rPr>
          <w:rFonts w:hint="default" w:ascii="Times New Roman" w:hAnsi="Times New Roman" w:eastAsia="仿宋_GB2312"/>
          <w:bCs/>
          <w:sz w:val="32"/>
          <w:szCs w:val="32"/>
        </w:rPr>
        <w:t>按照《绿色数据中心评价》（GB/T 44989）所给出</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信息设备负荷使用率计算方法，通过计算</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机柜年均用电功率平均值与</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标称功率平均值的比值得出。</w:t>
      </w:r>
      <w:r>
        <w:rPr>
          <w:rFonts w:hint="default" w:ascii="Times New Roman" w:hAnsi="Times New Roman" w:eastAsia="仿宋_GB2312"/>
          <w:bCs/>
          <w:sz w:val="32"/>
          <w:szCs w:val="32"/>
          <w:lang w:eastAsia="zh-CN"/>
        </w:rPr>
        <w:t>本文件中设计功率与</w:t>
      </w:r>
      <w:r>
        <w:rPr>
          <w:rFonts w:hint="default" w:ascii="Times New Roman" w:hAnsi="Times New Roman" w:eastAsia="仿宋_GB2312"/>
          <w:bCs/>
          <w:sz w:val="32"/>
          <w:szCs w:val="32"/>
        </w:rPr>
        <w:t>标称功率</w:t>
      </w:r>
      <w:r>
        <w:rPr>
          <w:rFonts w:hint="default" w:ascii="Times New Roman" w:hAnsi="Times New Roman" w:eastAsia="仿宋_GB2312"/>
          <w:bCs/>
          <w:sz w:val="32"/>
          <w:szCs w:val="32"/>
          <w:lang w:eastAsia="zh-CN"/>
        </w:rPr>
        <w:t>含义</w:t>
      </w:r>
      <w:r>
        <w:rPr>
          <w:rFonts w:hint="default" w:ascii="Times New Roman" w:hAnsi="Times New Roman" w:eastAsia="仿宋_GB2312"/>
          <w:bCs/>
          <w:sz w:val="32"/>
          <w:szCs w:val="32"/>
        </w:rPr>
        <w:t>相同</w:t>
      </w:r>
      <w:r>
        <w:rPr>
          <w:rFonts w:hint="default" w:ascii="Times New Roman" w:hAnsi="Times New Roman" w:eastAsia="仿宋_GB2312"/>
          <w:bCs/>
          <w:sz w:val="32"/>
          <w:szCs w:val="32"/>
          <w:lang w:eastAsia="zh-CN"/>
        </w:rPr>
        <w:t>。</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按照信息设备</w:t>
      </w:r>
      <w:r>
        <w:rPr>
          <w:rFonts w:ascii="Times New Roman" w:hAnsi="Times New Roman" w:eastAsia="仿宋_GB2312"/>
          <w:bCs/>
          <w:sz w:val="32"/>
          <w:szCs w:val="32"/>
        </w:rPr>
        <w:t>负荷使用率</w:t>
      </w:r>
      <w:r>
        <w:rPr>
          <w:rFonts w:hint="default" w:ascii="Times New Roman" w:hAnsi="Times New Roman" w:eastAsia="仿宋_GB2312"/>
          <w:bCs/>
          <w:sz w:val="32"/>
          <w:szCs w:val="32"/>
        </w:rPr>
        <w:t>从</w:t>
      </w:r>
      <w:r>
        <w:rPr>
          <w:rFonts w:ascii="Times New Roman" w:hAnsi="Times New Roman" w:eastAsia="仿宋_GB2312"/>
          <w:bCs/>
          <w:sz w:val="32"/>
          <w:szCs w:val="32"/>
        </w:rPr>
        <w:t>30%</w:t>
      </w:r>
      <w:r>
        <w:rPr>
          <w:rFonts w:hint="default" w:ascii="Times New Roman" w:hAnsi="Times New Roman" w:eastAsia="仿宋_GB2312"/>
          <w:bCs/>
          <w:sz w:val="32"/>
          <w:szCs w:val="32"/>
        </w:rPr>
        <w:t>至</w:t>
      </w:r>
      <w:r>
        <w:rPr>
          <w:rFonts w:ascii="Times New Roman" w:hAnsi="Times New Roman" w:eastAsia="仿宋_GB2312"/>
          <w:bCs/>
          <w:sz w:val="32"/>
          <w:szCs w:val="32"/>
        </w:rPr>
        <w:t>60%，对应得1至</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r>
        <w:rPr>
          <w:rFonts w:hint="default" w:ascii="Times New Roman" w:hAnsi="Times New Roman" w:eastAsia="仿宋_GB2312"/>
          <w:bCs/>
          <w:sz w:val="32"/>
          <w:szCs w:val="32"/>
        </w:rPr>
        <w:t>。低于30%不得分；等于</w:t>
      </w:r>
      <w:r>
        <w:rPr>
          <w:rFonts w:ascii="Times New Roman" w:hAnsi="Times New Roman" w:eastAsia="仿宋_GB2312"/>
          <w:bCs/>
          <w:sz w:val="32"/>
          <w:szCs w:val="32"/>
        </w:rPr>
        <w:t>30%得1分</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在</w:t>
      </w:r>
      <w:r>
        <w:rPr>
          <w:rFonts w:hint="default" w:ascii="Times New Roman" w:hAnsi="Times New Roman" w:eastAsia="仿宋_GB2312"/>
          <w:bCs/>
          <w:sz w:val="32"/>
          <w:szCs w:val="32"/>
          <w:lang w:val="en-US" w:eastAsia="zh-CN"/>
        </w:rPr>
        <w:t>30%至60%之间</w:t>
      </w:r>
      <w:r>
        <w:rPr>
          <w:rFonts w:hint="default" w:ascii="Times New Roman" w:hAnsi="Times New Roman" w:eastAsia="仿宋_GB2312"/>
          <w:bCs/>
          <w:sz w:val="32"/>
          <w:szCs w:val="32"/>
        </w:rPr>
        <w:t>，</w:t>
      </w:r>
      <w:r>
        <w:rPr>
          <w:rFonts w:ascii="Times New Roman" w:hAnsi="Times New Roman" w:eastAsia="仿宋_GB2312"/>
          <w:bCs/>
          <w:sz w:val="32"/>
          <w:szCs w:val="32"/>
        </w:rPr>
        <w:t>每增加</w:t>
      </w:r>
      <w:r>
        <w:rPr>
          <w:rFonts w:hint="default" w:ascii="Times New Roman" w:hAnsi="Times New Roman" w:eastAsia="仿宋_GB2312"/>
          <w:bCs/>
          <w:sz w:val="32"/>
          <w:szCs w:val="32"/>
          <w:lang w:val="en-US" w:eastAsia="zh-CN"/>
        </w:rPr>
        <w:t>1</w:t>
      </w:r>
      <w:r>
        <w:rPr>
          <w:rFonts w:ascii="Times New Roman" w:hAnsi="Times New Roman" w:eastAsia="仿宋_GB2312"/>
          <w:bCs/>
          <w:sz w:val="32"/>
          <w:szCs w:val="32"/>
        </w:rPr>
        <w:t>%得分增加0.</w:t>
      </w:r>
      <w:r>
        <w:rPr>
          <w:rFonts w:hint="default" w:ascii="Times New Roman" w:hAnsi="Times New Roman" w:eastAsia="仿宋_GB2312"/>
          <w:bCs/>
          <w:sz w:val="32"/>
          <w:szCs w:val="32"/>
          <w:lang w:val="en-US" w:eastAsia="zh-CN"/>
        </w:rPr>
        <w:t>1</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达到或</w:t>
      </w:r>
      <w:r>
        <w:rPr>
          <w:rFonts w:ascii="Times New Roman" w:hAnsi="Times New Roman" w:eastAsia="仿宋_GB2312"/>
          <w:bCs/>
          <w:sz w:val="32"/>
          <w:szCs w:val="32"/>
        </w:rPr>
        <w:t>超过60%直接得</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rPr>
        <w:t>1</w:t>
      </w:r>
      <w:r>
        <w:rPr>
          <w:rFonts w:hint="default" w:ascii="Times New Roman" w:hAnsi="Times New Roman" w:eastAsia="仿宋_GB2312"/>
          <w:bCs/>
          <w:sz w:val="32"/>
          <w:szCs w:val="32"/>
          <w:lang w:val="en-US" w:eastAsia="zh-CN"/>
        </w:rPr>
        <w:t>3</w:t>
      </w:r>
      <w:r>
        <w:rPr>
          <w:rFonts w:hint="default" w:ascii="Times New Roman" w:hAnsi="Times New Roman" w:eastAsia="仿宋_GB2312"/>
          <w:bCs/>
          <w:sz w:val="32"/>
          <w:szCs w:val="32"/>
        </w:rPr>
        <w:t>.</w:t>
      </w:r>
      <w:r>
        <w:rPr>
          <w:rFonts w:ascii="Times New Roman" w:hAnsi="Times New Roman" w:eastAsia="仿宋_GB2312"/>
          <w:bCs/>
          <w:sz w:val="32"/>
          <w:szCs w:val="32"/>
        </w:rPr>
        <w:t>网络资源利用水平（总分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本指标项以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网络资源年平均利用率作为评价依据</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通过计算</w:t>
      </w:r>
      <w:r>
        <w:rPr>
          <w:rFonts w:ascii="Times New Roman" w:hAnsi="Times New Roman" w:eastAsia="仿宋_GB2312"/>
          <w:bCs/>
          <w:sz w:val="32"/>
          <w:szCs w:val="32"/>
        </w:rPr>
        <w:t>年度网络每秒平均流量数值</w:t>
      </w:r>
      <w:r>
        <w:rPr>
          <w:rFonts w:hint="default" w:ascii="Times New Roman" w:hAnsi="Times New Roman" w:eastAsia="仿宋_GB2312"/>
          <w:bCs/>
          <w:sz w:val="32"/>
          <w:szCs w:val="32"/>
        </w:rPr>
        <w:t>与</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所安装网络带宽总和数值的</w:t>
      </w:r>
      <w:r>
        <w:rPr>
          <w:rFonts w:hint="default" w:ascii="Times New Roman" w:hAnsi="Times New Roman" w:eastAsia="仿宋_GB2312"/>
          <w:bCs/>
          <w:sz w:val="32"/>
          <w:szCs w:val="32"/>
        </w:rPr>
        <w:t>比值得出。其中</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通过网络接收及发送数据量均计入流量。</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rPr>
      </w:pPr>
      <w:r>
        <w:rPr>
          <w:rFonts w:hint="default" w:ascii="Times New Roman" w:hAnsi="Times New Roman" w:eastAsia="仿宋_GB2312"/>
          <w:bCs/>
          <w:sz w:val="32"/>
          <w:szCs w:val="32"/>
        </w:rPr>
        <w:t>按照</w:t>
      </w:r>
      <w:r>
        <w:rPr>
          <w:rFonts w:ascii="Times New Roman" w:hAnsi="Times New Roman" w:eastAsia="仿宋_GB2312"/>
          <w:bCs/>
          <w:sz w:val="32"/>
          <w:szCs w:val="32"/>
        </w:rPr>
        <w:t>网络资源年平均利用率</w:t>
      </w:r>
      <w:r>
        <w:rPr>
          <w:rFonts w:hint="default" w:ascii="Times New Roman" w:hAnsi="Times New Roman" w:eastAsia="仿宋_GB2312"/>
          <w:bCs/>
          <w:sz w:val="32"/>
          <w:szCs w:val="32"/>
        </w:rPr>
        <w:t>从</w:t>
      </w:r>
      <w:r>
        <w:rPr>
          <w:rFonts w:ascii="Times New Roman" w:hAnsi="Times New Roman" w:eastAsia="仿宋_GB2312"/>
          <w:bCs/>
          <w:sz w:val="32"/>
          <w:szCs w:val="32"/>
        </w:rPr>
        <w:t>30%</w:t>
      </w:r>
      <w:r>
        <w:rPr>
          <w:rFonts w:hint="default" w:ascii="Times New Roman" w:hAnsi="Times New Roman" w:eastAsia="仿宋_GB2312"/>
          <w:bCs/>
          <w:sz w:val="32"/>
          <w:szCs w:val="32"/>
        </w:rPr>
        <w:t>至</w:t>
      </w:r>
      <w:r>
        <w:rPr>
          <w:rFonts w:ascii="Times New Roman" w:hAnsi="Times New Roman" w:eastAsia="仿宋_GB2312"/>
          <w:bCs/>
          <w:sz w:val="32"/>
          <w:szCs w:val="32"/>
        </w:rPr>
        <w:t>50%，对应得1至</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r>
        <w:rPr>
          <w:rFonts w:hint="default" w:ascii="Times New Roman" w:hAnsi="Times New Roman" w:eastAsia="仿宋_GB2312"/>
          <w:bCs/>
          <w:sz w:val="32"/>
          <w:szCs w:val="32"/>
        </w:rPr>
        <w:t>。低于30%不得分；等于</w:t>
      </w:r>
      <w:r>
        <w:rPr>
          <w:rFonts w:ascii="Times New Roman" w:hAnsi="Times New Roman" w:eastAsia="仿宋_GB2312"/>
          <w:bCs/>
          <w:sz w:val="32"/>
          <w:szCs w:val="32"/>
        </w:rPr>
        <w:t>30%得1分</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在</w:t>
      </w:r>
      <w:r>
        <w:rPr>
          <w:rFonts w:hint="default" w:ascii="Times New Roman" w:hAnsi="Times New Roman" w:eastAsia="仿宋_GB2312"/>
          <w:bCs/>
          <w:sz w:val="32"/>
          <w:szCs w:val="32"/>
          <w:lang w:val="en-US" w:eastAsia="zh-CN"/>
        </w:rPr>
        <w:t>30%至50%之间，</w:t>
      </w:r>
      <w:r>
        <w:rPr>
          <w:rFonts w:ascii="Times New Roman" w:hAnsi="Times New Roman" w:eastAsia="仿宋_GB2312"/>
          <w:bCs/>
          <w:sz w:val="32"/>
          <w:szCs w:val="32"/>
        </w:rPr>
        <w:t>每增加1%得分增加0.</w:t>
      </w:r>
      <w:r>
        <w:rPr>
          <w:rFonts w:hint="default" w:ascii="Times New Roman" w:hAnsi="Times New Roman" w:eastAsia="仿宋_GB2312"/>
          <w:bCs/>
          <w:sz w:val="32"/>
          <w:szCs w:val="32"/>
          <w:lang w:val="en-US" w:eastAsia="zh-CN"/>
        </w:rPr>
        <w:t>05</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w:t>
      </w:r>
      <w:r>
        <w:rPr>
          <w:rFonts w:hint="default" w:ascii="Times New Roman" w:hAnsi="Times New Roman" w:eastAsia="仿宋_GB2312"/>
          <w:bCs/>
          <w:sz w:val="32"/>
          <w:szCs w:val="32"/>
        </w:rPr>
        <w:t>达到或</w:t>
      </w:r>
      <w:r>
        <w:rPr>
          <w:rFonts w:ascii="Times New Roman" w:hAnsi="Times New Roman" w:eastAsia="仿宋_GB2312"/>
          <w:bCs/>
          <w:sz w:val="32"/>
          <w:szCs w:val="32"/>
        </w:rPr>
        <w:t>超过50%直接得</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14.</w:t>
      </w:r>
      <w:r>
        <w:rPr>
          <w:rFonts w:ascii="Times New Roman" w:hAnsi="Times New Roman" w:eastAsia="仿宋_GB2312"/>
          <w:bCs/>
          <w:sz w:val="32"/>
          <w:szCs w:val="32"/>
        </w:rPr>
        <w:t>绿色采购</w:t>
      </w:r>
      <w:r>
        <w:rPr>
          <w:rFonts w:hint="default" w:ascii="Times New Roman" w:hAnsi="Times New Roman" w:eastAsia="仿宋_GB2312"/>
          <w:bCs/>
          <w:sz w:val="32"/>
          <w:szCs w:val="32"/>
          <w:lang w:eastAsia="zh-CN"/>
        </w:rPr>
        <w:t>制度建设情况</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在</w:t>
      </w:r>
      <w:r>
        <w:rPr>
          <w:rFonts w:ascii="Times New Roman" w:hAnsi="Times New Roman" w:eastAsia="仿宋_GB2312"/>
          <w:bCs/>
          <w:sz w:val="32"/>
          <w:szCs w:val="32"/>
        </w:rPr>
        <w:t>绿色采购制度</w:t>
      </w:r>
      <w:r>
        <w:rPr>
          <w:rFonts w:hint="default" w:ascii="Times New Roman" w:hAnsi="Times New Roman" w:eastAsia="仿宋_GB2312"/>
          <w:bCs/>
          <w:sz w:val="32"/>
          <w:szCs w:val="32"/>
        </w:rPr>
        <w:t>建设</w:t>
      </w:r>
      <w:r>
        <w:rPr>
          <w:rFonts w:ascii="Times New Roman" w:hAnsi="Times New Roman" w:eastAsia="仿宋_GB2312"/>
          <w:bCs/>
          <w:sz w:val="32"/>
          <w:szCs w:val="32"/>
        </w:rPr>
        <w:t>方面</w:t>
      </w:r>
      <w:r>
        <w:rPr>
          <w:rFonts w:hint="default" w:ascii="Times New Roman" w:hAnsi="Times New Roman" w:eastAsia="仿宋_GB2312"/>
          <w:bCs/>
          <w:sz w:val="32"/>
          <w:szCs w:val="32"/>
        </w:rPr>
        <w:t>开展的工作情况作为评价依据</w:t>
      </w:r>
      <w:r>
        <w:rPr>
          <w:rFonts w:ascii="Times New Roman" w:hAnsi="Times New Roman" w:eastAsia="仿宋_GB2312"/>
          <w:bCs/>
          <w:sz w:val="32"/>
          <w:szCs w:val="32"/>
        </w:rPr>
        <w:t>。</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hint="default" w:ascii="Times New Roman" w:hAnsi="Times New Roman" w:eastAsia="仿宋_GB2312"/>
          <w:bCs/>
          <w:sz w:val="32"/>
          <w:szCs w:val="32"/>
          <w:lang w:val="en-US" w:eastAsia="zh-CN"/>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建立</w:t>
      </w:r>
      <w:r>
        <w:rPr>
          <w:rFonts w:ascii="Times New Roman" w:hAnsi="Times New Roman" w:eastAsia="仿宋_GB2312"/>
          <w:bCs/>
          <w:sz w:val="32"/>
          <w:szCs w:val="32"/>
        </w:rPr>
        <w:t>绿色采购制度，优先采购节能、节水、低碳、资源综合利用</w:t>
      </w:r>
      <w:r>
        <w:rPr>
          <w:rFonts w:ascii="Times New Roman" w:hAnsi="Times New Roman" w:eastAsia="仿宋_GB2312" w:cs="Times New Roman"/>
          <w:bCs/>
          <w:sz w:val="32"/>
          <w:szCs w:val="32"/>
        </w:rPr>
        <w:t>等绿色产品。</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lang w:val="en-US" w:eastAsia="zh-CN"/>
        </w:rPr>
        <w:t>15</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应用先进节能降碳技术装备、节水技术装备情况</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算力设施应用应用先进节能降碳技术装备、节水技术装备情况</w:t>
      </w:r>
      <w:r>
        <w:rPr>
          <w:rFonts w:hint="default" w:ascii="Times New Roman" w:hAnsi="Times New Roman" w:eastAsia="仿宋_GB2312"/>
          <w:bCs/>
          <w:sz w:val="32"/>
          <w:szCs w:val="32"/>
        </w:rPr>
        <w:t>作为评价依据</w:t>
      </w:r>
      <w:r>
        <w:rPr>
          <w:rFonts w:ascii="Times New Roman" w:hAnsi="Times New Roman" w:eastAsia="仿宋_GB2312"/>
          <w:bCs/>
          <w:sz w:val="32"/>
          <w:szCs w:val="32"/>
        </w:rPr>
        <w:t>。</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使用的</w:t>
      </w:r>
      <w:r>
        <w:rPr>
          <w:rFonts w:hint="default" w:ascii="Times New Roman" w:hAnsi="Times New Roman" w:eastAsia="仿宋_GB2312"/>
          <w:bCs/>
          <w:sz w:val="32"/>
          <w:szCs w:val="32"/>
        </w:rPr>
        <w:t>各类</w:t>
      </w:r>
      <w:r>
        <w:rPr>
          <w:rFonts w:ascii="Times New Roman" w:hAnsi="Times New Roman" w:eastAsia="仿宋_GB2312"/>
          <w:bCs/>
          <w:sz w:val="32"/>
          <w:szCs w:val="32"/>
        </w:rPr>
        <w:t>电</w:t>
      </w:r>
      <w:r>
        <w:rPr>
          <w:rFonts w:hint="default" w:ascii="Times New Roman" w:hAnsi="Times New Roman" w:eastAsia="仿宋_GB2312"/>
          <w:bCs/>
          <w:sz w:val="32"/>
          <w:szCs w:val="32"/>
        </w:rPr>
        <w:t>动</w:t>
      </w:r>
      <w:r>
        <w:rPr>
          <w:rFonts w:ascii="Times New Roman" w:hAnsi="Times New Roman" w:eastAsia="仿宋_GB2312"/>
          <w:bCs/>
          <w:sz w:val="32"/>
          <w:szCs w:val="32"/>
        </w:rPr>
        <w:t>机、</w:t>
      </w:r>
      <w:r>
        <w:rPr>
          <w:rFonts w:hint="default" w:ascii="Times New Roman" w:hAnsi="Times New Roman" w:eastAsia="仿宋_GB2312"/>
          <w:bCs/>
          <w:sz w:val="32"/>
          <w:szCs w:val="32"/>
        </w:rPr>
        <w:t>变压器、水</w:t>
      </w:r>
      <w:r>
        <w:rPr>
          <w:rFonts w:ascii="Times New Roman" w:hAnsi="Times New Roman" w:eastAsia="仿宋_GB2312"/>
          <w:bCs/>
          <w:sz w:val="32"/>
          <w:szCs w:val="32"/>
        </w:rPr>
        <w:t>泵、</w:t>
      </w:r>
      <w:r>
        <w:rPr>
          <w:rFonts w:hint="default" w:ascii="Times New Roman" w:hAnsi="Times New Roman" w:eastAsia="仿宋_GB2312"/>
          <w:bCs/>
          <w:sz w:val="32"/>
          <w:szCs w:val="32"/>
        </w:rPr>
        <w:t>通</w:t>
      </w:r>
      <w:r>
        <w:rPr>
          <w:rFonts w:ascii="Times New Roman" w:hAnsi="Times New Roman" w:eastAsia="仿宋_GB2312"/>
          <w:bCs/>
          <w:sz w:val="32"/>
          <w:szCs w:val="32"/>
        </w:rPr>
        <w:t>风机、压缩机</w:t>
      </w:r>
      <w:r>
        <w:rPr>
          <w:rFonts w:hint="default" w:ascii="Times New Roman" w:hAnsi="Times New Roman" w:eastAsia="仿宋_GB2312"/>
          <w:bCs/>
          <w:sz w:val="32"/>
          <w:szCs w:val="32"/>
        </w:rPr>
        <w:t>的能效等级</w:t>
      </w:r>
      <w:r>
        <w:rPr>
          <w:rFonts w:ascii="Times New Roman" w:hAnsi="Times New Roman" w:eastAsia="仿宋_GB2312"/>
          <w:bCs/>
          <w:sz w:val="32"/>
          <w:szCs w:val="32"/>
        </w:rPr>
        <w:t>均</w:t>
      </w:r>
      <w:r>
        <w:rPr>
          <w:rFonts w:hint="default" w:ascii="Times New Roman" w:hAnsi="Times New Roman" w:eastAsia="仿宋_GB2312"/>
          <w:bCs/>
          <w:sz w:val="32"/>
          <w:szCs w:val="32"/>
          <w:lang w:eastAsia="zh-CN"/>
        </w:rPr>
        <w:t>需</w:t>
      </w:r>
      <w:r>
        <w:rPr>
          <w:rFonts w:hint="default" w:ascii="Times New Roman" w:hAnsi="Times New Roman" w:eastAsia="仿宋_GB2312"/>
          <w:bCs/>
          <w:sz w:val="32"/>
          <w:szCs w:val="32"/>
        </w:rPr>
        <w:t>满足</w:t>
      </w:r>
      <w:r>
        <w:rPr>
          <w:rFonts w:ascii="Times New Roman" w:hAnsi="Times New Roman" w:eastAsia="仿宋_GB2312"/>
          <w:bCs/>
          <w:sz w:val="32"/>
          <w:szCs w:val="32"/>
        </w:rPr>
        <w:t>《重点用能产品设备能效先进水平、节能水平和准入水平（2024年版）》（发改环资规〔2024〕127号</w:t>
      </w:r>
      <w:r>
        <w:rPr>
          <w:rFonts w:hint="default" w:ascii="Times New Roman" w:hAnsi="Times New Roman" w:eastAsia="仿宋_GB2312"/>
          <w:bCs/>
          <w:sz w:val="32"/>
          <w:szCs w:val="32"/>
        </w:rPr>
        <w:t>）所规定的节能水平或更高能效等级</w:t>
      </w:r>
      <w:r>
        <w:rPr>
          <w:rFonts w:hint="default" w:ascii="Times New Roman" w:hAnsi="Times New Roman" w:eastAsia="仿宋_GB2312"/>
          <w:bCs/>
          <w:sz w:val="32"/>
          <w:szCs w:val="32"/>
          <w:lang w:eastAsia="zh-CN"/>
        </w:rPr>
        <w:t>，否则不得分</w:t>
      </w:r>
      <w:r>
        <w:rPr>
          <w:rFonts w:hint="default" w:ascii="Times New Roman" w:hAnsi="Times New Roman" w:eastAsia="仿宋_GB2312"/>
          <w:bCs/>
          <w:sz w:val="32"/>
          <w:szCs w:val="32"/>
        </w:rPr>
        <w:t>。</w:t>
      </w:r>
      <w:r>
        <w:rPr>
          <w:rFonts w:hint="default" w:ascii="Times New Roman" w:hAnsi="Times New Roman" w:eastAsia="仿宋_GB2312"/>
          <w:bCs/>
          <w:sz w:val="32"/>
          <w:szCs w:val="32"/>
          <w:lang w:eastAsia="zh-CN"/>
        </w:rPr>
        <w:t>达到上述能效等级要求，评分规则为：</w:t>
      </w:r>
      <w:r>
        <w:rPr>
          <w:rFonts w:hint="default" w:ascii="Times New Roman" w:hAnsi="Times New Roman" w:eastAsia="仿宋_GB2312"/>
          <w:bCs/>
          <w:sz w:val="32"/>
          <w:szCs w:val="32"/>
        </w:rPr>
        <w:t>依据应用的先进节能降碳技术</w:t>
      </w:r>
      <w:r>
        <w:rPr>
          <w:rFonts w:hint="default" w:ascii="Times New Roman" w:hAnsi="Times New Roman" w:eastAsia="仿宋_GB2312"/>
          <w:bCs/>
          <w:sz w:val="32"/>
          <w:szCs w:val="32"/>
          <w:lang w:eastAsia="zh-CN"/>
        </w:rPr>
        <w:t>装备、节水技术装备</w:t>
      </w:r>
      <w:r>
        <w:rPr>
          <w:rFonts w:hint="default" w:ascii="Times New Roman" w:hAnsi="Times New Roman" w:eastAsia="仿宋_GB2312"/>
          <w:bCs/>
          <w:sz w:val="32"/>
          <w:szCs w:val="32"/>
        </w:rPr>
        <w:t>数量，应用</w:t>
      </w:r>
      <w:r>
        <w:rPr>
          <w:rFonts w:ascii="Times New Roman" w:hAnsi="Times New Roman" w:eastAsia="仿宋_GB2312"/>
          <w:bCs/>
          <w:sz w:val="32"/>
          <w:szCs w:val="32"/>
        </w:rPr>
        <w:t>6种得</w:t>
      </w:r>
      <w:r>
        <w:rPr>
          <w:rFonts w:hint="default" w:ascii="Times New Roman" w:hAnsi="Times New Roman" w:eastAsia="仿宋_GB2312"/>
          <w:bCs/>
          <w:sz w:val="32"/>
          <w:szCs w:val="32"/>
          <w:lang w:val="en-US" w:eastAsia="zh-CN"/>
        </w:rPr>
        <w:t>1</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；应用</w:t>
      </w:r>
      <w:r>
        <w:rPr>
          <w:rFonts w:hint="default" w:ascii="Times New Roman" w:hAnsi="Times New Roman" w:eastAsia="仿宋_GB2312"/>
          <w:bCs/>
          <w:sz w:val="32"/>
          <w:szCs w:val="32"/>
          <w:lang w:val="en-US" w:eastAsia="zh-CN"/>
        </w:rPr>
        <w:t>7种或以上得2分</w:t>
      </w:r>
      <w:r>
        <w:rPr>
          <w:rFonts w:ascii="Times New Roman" w:hAnsi="Times New Roman" w:eastAsia="仿宋_GB2312"/>
          <w:bCs/>
          <w:sz w:val="32"/>
          <w:szCs w:val="32"/>
        </w:rPr>
        <w:t>。相关节能降碳技术</w:t>
      </w:r>
      <w:r>
        <w:rPr>
          <w:rFonts w:hint="default" w:ascii="Times New Roman" w:hAnsi="Times New Roman" w:eastAsia="仿宋_GB2312"/>
          <w:bCs/>
          <w:sz w:val="32"/>
          <w:szCs w:val="32"/>
          <w:lang w:eastAsia="zh-CN"/>
        </w:rPr>
        <w:t>、节水技术</w:t>
      </w:r>
      <w:r>
        <w:rPr>
          <w:rFonts w:hint="default" w:ascii="Times New Roman" w:hAnsi="Times New Roman" w:eastAsia="仿宋_GB2312"/>
          <w:bCs/>
          <w:sz w:val="32"/>
          <w:szCs w:val="32"/>
        </w:rPr>
        <w:t>应为</w:t>
      </w:r>
      <w:r>
        <w:rPr>
          <w:rFonts w:ascii="Times New Roman" w:hAnsi="Times New Roman" w:eastAsia="仿宋_GB2312"/>
          <w:bCs/>
          <w:sz w:val="32"/>
          <w:szCs w:val="32"/>
        </w:rPr>
        <w:t>《国家工业和信息化领域节能降碳技术装备推荐目录（2024年版）》</w:t>
      </w:r>
      <w:r>
        <w:rPr>
          <w:rFonts w:hint="default" w:ascii="Times New Roman" w:hAnsi="Times New Roman" w:eastAsia="仿宋_GB2312"/>
          <w:bCs/>
          <w:sz w:val="32"/>
          <w:szCs w:val="32"/>
          <w:lang w:eastAsia="zh-CN"/>
        </w:rPr>
        <w:t>、《国家工业和信息化领域节能降碳技术装备推荐目录（2025年版）》或《国家鼓励的工业节水工艺、技术和装备目录（2025年版）》</w:t>
      </w:r>
      <w:r>
        <w:rPr>
          <w:rFonts w:hint="default" w:ascii="Times New Roman" w:hAnsi="Times New Roman" w:eastAsia="仿宋_GB2312"/>
          <w:bCs/>
          <w:sz w:val="32"/>
          <w:szCs w:val="32"/>
        </w:rPr>
        <w:t>推荐</w:t>
      </w:r>
      <w:r>
        <w:rPr>
          <w:rFonts w:ascii="Times New Roman" w:hAnsi="Times New Roman" w:eastAsia="仿宋_GB2312"/>
          <w:bCs/>
          <w:sz w:val="32"/>
          <w:szCs w:val="32"/>
        </w:rPr>
        <w:t>。</w:t>
      </w:r>
    </w:p>
    <w:p>
      <w:pPr>
        <w:tabs>
          <w:tab w:val="left" w:pos="0"/>
        </w:tabs>
        <w:adjustRightInd w:val="0"/>
        <w:snapToGrid w:val="0"/>
        <w:spacing w:line="594" w:lineRule="exact"/>
        <w:ind w:firstLine="640" w:firstLineChars="200"/>
        <w:outlineLvl w:val="2"/>
        <w:rPr>
          <w:rFonts w:hint="eastAsia" w:ascii="Times New Roman" w:hAnsi="Times New Roman" w:eastAsia="仿宋_GB2312" w:cs="Times New Roman"/>
          <w:bCs/>
          <w:sz w:val="32"/>
          <w:szCs w:val="32"/>
          <w:lang w:val="en-US" w:eastAsia="zh-CN"/>
        </w:rPr>
      </w:pPr>
      <w:r>
        <w:rPr>
          <w:rFonts w:hint="default" w:ascii="Times New Roman" w:hAnsi="Times New Roman" w:eastAsia="仿宋_GB2312"/>
          <w:bCs/>
          <w:sz w:val="32"/>
          <w:szCs w:val="32"/>
          <w:lang w:val="en-US" w:eastAsia="zh-CN"/>
        </w:rPr>
        <w:t>16.</w:t>
      </w:r>
      <w:r>
        <w:rPr>
          <w:rFonts w:hint="eastAsia" w:ascii="Times New Roman" w:hAnsi="Times New Roman" w:eastAsia="仿宋_GB2312" w:cs="Times New Roman"/>
          <w:bCs/>
          <w:sz w:val="32"/>
          <w:szCs w:val="32"/>
          <w:lang w:eastAsia="zh-CN"/>
        </w:rPr>
        <w:t>开展节能降碳诊断情况</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本指标项以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开展节能降碳诊断并</w:t>
      </w:r>
      <w:r>
        <w:rPr>
          <w:rFonts w:hint="default" w:ascii="Times New Roman" w:hAnsi="Times New Roman" w:eastAsia="仿宋_GB2312"/>
          <w:bCs/>
          <w:sz w:val="32"/>
          <w:szCs w:val="32"/>
        </w:rPr>
        <w:t>实施</w:t>
      </w:r>
      <w:r>
        <w:rPr>
          <w:rFonts w:ascii="Times New Roman" w:hAnsi="Times New Roman" w:eastAsia="仿宋_GB2312"/>
          <w:bCs/>
          <w:sz w:val="32"/>
          <w:szCs w:val="32"/>
        </w:rPr>
        <w:t>绿色化改造的工作情况</w:t>
      </w:r>
      <w:r>
        <w:rPr>
          <w:rFonts w:hint="default" w:ascii="Times New Roman" w:hAnsi="Times New Roman" w:eastAsia="仿宋_GB2312"/>
          <w:bCs/>
          <w:sz w:val="32"/>
          <w:szCs w:val="32"/>
        </w:rPr>
        <w:t>作为评价依据</w:t>
      </w:r>
      <w:r>
        <w:rPr>
          <w:rFonts w:ascii="Times New Roman" w:hAnsi="Times New Roman" w:eastAsia="仿宋_GB2312"/>
          <w:bCs/>
          <w:sz w:val="32"/>
          <w:szCs w:val="32"/>
        </w:rPr>
        <w:t>。</w:t>
      </w:r>
    </w:p>
    <w:p>
      <w:pPr>
        <w:tabs>
          <w:tab w:val="left" w:pos="420"/>
        </w:tabs>
        <w:adjustRightInd w:val="0"/>
        <w:snapToGrid w:val="0"/>
        <w:spacing w:line="594" w:lineRule="exact"/>
        <w:ind w:left="640"/>
        <w:outlineLvl w:val="3"/>
        <w:rPr>
          <w:rFonts w:hint="default" w:ascii="Times New Roman" w:hAnsi="Times New Roman" w:eastAsia="仿宋_GB2312"/>
          <w:bCs/>
          <w:sz w:val="32"/>
          <w:szCs w:val="32"/>
        </w:rPr>
      </w:pPr>
      <w:r>
        <w:rPr>
          <w:rFonts w:hint="default" w:ascii="Times New Roman" w:hAnsi="Times New Roman" w:eastAsia="仿宋_GB2312"/>
          <w:bCs/>
          <w:sz w:val="32"/>
          <w:szCs w:val="32"/>
        </w:rPr>
        <w:t>（2）评分规则</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2</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近三年参与</w:t>
      </w:r>
      <w:r>
        <w:rPr>
          <w:rFonts w:hint="default" w:ascii="Times New Roman" w:hAnsi="Times New Roman" w:eastAsia="仿宋_GB2312"/>
          <w:bCs/>
          <w:sz w:val="32"/>
          <w:szCs w:val="32"/>
        </w:rPr>
        <w:t>过</w:t>
      </w:r>
      <w:r>
        <w:rPr>
          <w:rFonts w:ascii="Times New Roman" w:hAnsi="Times New Roman" w:eastAsia="仿宋_GB2312"/>
          <w:bCs/>
          <w:sz w:val="32"/>
          <w:szCs w:val="32"/>
        </w:rPr>
        <w:t>国家工业节能降碳诊断服务工作或自主开展节能降碳诊断，并依据诊断结果实施节能降碳改造</w:t>
      </w:r>
      <w:r>
        <w:rPr>
          <w:rFonts w:hint="default" w:ascii="Times New Roman" w:hAnsi="Times New Roman" w:eastAsia="仿宋_GB2312"/>
          <w:bCs/>
          <w:sz w:val="32"/>
          <w:szCs w:val="32"/>
        </w:rPr>
        <w:t>或</w:t>
      </w:r>
      <w:r>
        <w:rPr>
          <w:rFonts w:hint="default" w:ascii="Times New Roman" w:hAnsi="Times New Roman" w:eastAsia="仿宋_GB2312" w:cs="Times New Roman"/>
          <w:bCs/>
          <w:sz w:val="32"/>
          <w:szCs w:val="32"/>
        </w:rPr>
        <w:t>“</w:t>
      </w:r>
      <w:r>
        <w:rPr>
          <w:rFonts w:ascii="Times New Roman" w:hAnsi="Times New Roman" w:eastAsia="仿宋_GB2312"/>
          <w:bCs/>
          <w:sz w:val="32"/>
          <w:szCs w:val="32"/>
        </w:rPr>
        <w:t>老旧小散</w:t>
      </w:r>
      <w:r>
        <w:rPr>
          <w:rFonts w:hint="default" w:ascii="Times New Roman" w:hAnsi="Times New Roman" w:eastAsia="仿宋_GB2312" w:cs="Times New Roman"/>
          <w:bCs/>
          <w:sz w:val="32"/>
          <w:szCs w:val="32"/>
        </w:rPr>
        <w:t>”</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整合改造等</w:t>
      </w:r>
      <w:r>
        <w:rPr>
          <w:rFonts w:hint="default" w:ascii="Times New Roman" w:hAnsi="Times New Roman" w:eastAsia="仿宋_GB2312"/>
          <w:bCs/>
          <w:sz w:val="32"/>
          <w:szCs w:val="32"/>
        </w:rPr>
        <w:t>，取得良好效果</w:t>
      </w:r>
      <w:r>
        <w:rPr>
          <w:rFonts w:ascii="Times New Roman" w:hAnsi="Times New Roman" w:eastAsia="仿宋_GB2312"/>
          <w:bCs/>
          <w:sz w:val="32"/>
          <w:szCs w:val="32"/>
        </w:rPr>
        <w:t>。</w:t>
      </w:r>
    </w:p>
    <w:p>
      <w:pPr>
        <w:keepNext w:val="0"/>
        <w:keepLines w:val="0"/>
        <w:pageBreakBefore w:val="0"/>
        <w:widowControl w:val="0"/>
        <w:tabs>
          <w:tab w:val="left" w:pos="420"/>
        </w:tabs>
        <w:kinsoku/>
        <w:wordWrap/>
        <w:overflowPunct/>
        <w:topLinePunct w:val="0"/>
        <w:autoSpaceDE/>
        <w:autoSpaceDN/>
        <w:bidi w:val="0"/>
        <w:adjustRightInd w:val="0"/>
        <w:snapToGrid w:val="0"/>
        <w:spacing w:line="594" w:lineRule="exact"/>
        <w:ind w:firstLine="640" w:firstLineChars="200"/>
        <w:textAlignment w:val="auto"/>
        <w:outlineLvl w:val="3"/>
        <w:rPr>
          <w:rFonts w:hint="default" w:ascii="Times New Roman" w:hAnsi="Times New Roman" w:eastAsia="仿宋_GB2312"/>
          <w:bCs/>
          <w:sz w:val="32"/>
          <w:szCs w:val="32"/>
          <w:lang w:val="en-US" w:eastAsia="zh-CN"/>
        </w:rPr>
      </w:pPr>
      <w:r>
        <w:rPr>
          <w:rFonts w:hint="default" w:ascii="Times New Roman" w:hAnsi="Times New Roman" w:eastAsia="仿宋_GB2312"/>
          <w:bCs/>
          <w:sz w:val="32"/>
          <w:szCs w:val="32"/>
          <w:lang w:val="en-US" w:eastAsia="zh-CN"/>
        </w:rPr>
        <w:t>17.</w:t>
      </w:r>
      <w:r>
        <w:rPr>
          <w:rFonts w:ascii="Times New Roman" w:hAnsi="Times New Roman" w:eastAsia="仿宋_GB2312"/>
          <w:bCs/>
          <w:sz w:val="32"/>
          <w:szCs w:val="32"/>
        </w:rPr>
        <w:t>废弃物妥善处理、退役电器电子产品循环利用</w:t>
      </w:r>
      <w:r>
        <w:rPr>
          <w:rFonts w:hint="default" w:ascii="Times New Roman" w:hAnsi="Times New Roman" w:eastAsia="仿宋_GB2312"/>
          <w:bCs/>
          <w:sz w:val="32"/>
          <w:szCs w:val="32"/>
          <w:lang w:eastAsia="zh-CN"/>
        </w:rPr>
        <w:t>情况（</w:t>
      </w:r>
      <w:r>
        <w:rPr>
          <w:rFonts w:ascii="Times New Roman" w:hAnsi="Times New Roman" w:eastAsia="仿宋_GB2312"/>
          <w:bCs/>
          <w:sz w:val="32"/>
          <w:szCs w:val="32"/>
        </w:rPr>
        <w:t>总分</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r>
        <w:rPr>
          <w:rFonts w:hint="default" w:ascii="Times New Roman" w:hAnsi="Times New Roman" w:eastAsia="仿宋_GB2312"/>
          <w:bCs/>
          <w:sz w:val="32"/>
          <w:szCs w:val="32"/>
          <w:lang w:eastAsia="zh-CN"/>
        </w:rPr>
        <w:t>）</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rPr>
        <w:t>本指标以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在</w:t>
      </w:r>
      <w:r>
        <w:rPr>
          <w:rFonts w:ascii="Times New Roman" w:hAnsi="Times New Roman" w:eastAsia="仿宋_GB2312"/>
          <w:bCs/>
          <w:sz w:val="32"/>
          <w:szCs w:val="32"/>
        </w:rPr>
        <w:t>运维废弃物妥善处理、退役电器电子产品循环利用</w:t>
      </w:r>
      <w:r>
        <w:rPr>
          <w:rFonts w:hint="default" w:ascii="Times New Roman" w:hAnsi="Times New Roman" w:eastAsia="仿宋_GB2312"/>
          <w:bCs/>
          <w:sz w:val="32"/>
          <w:szCs w:val="32"/>
          <w:lang w:eastAsia="zh-CN"/>
        </w:rPr>
        <w:t>两</w:t>
      </w:r>
      <w:r>
        <w:rPr>
          <w:rFonts w:ascii="Times New Roman" w:hAnsi="Times New Roman" w:eastAsia="仿宋_GB2312"/>
          <w:bCs/>
          <w:sz w:val="32"/>
          <w:szCs w:val="32"/>
        </w:rPr>
        <w:t>个方面</w:t>
      </w:r>
      <w:r>
        <w:rPr>
          <w:rFonts w:hint="default" w:ascii="Times New Roman" w:hAnsi="Times New Roman" w:eastAsia="仿宋_GB2312"/>
          <w:bCs/>
          <w:sz w:val="32"/>
          <w:szCs w:val="32"/>
        </w:rPr>
        <w:t>开展的工作情况作为评价依据</w:t>
      </w:r>
      <w:r>
        <w:rPr>
          <w:rFonts w:ascii="Times New Roman" w:hAnsi="Times New Roman" w:eastAsia="仿宋_GB2312"/>
          <w:bCs/>
          <w:sz w:val="32"/>
          <w:szCs w:val="32"/>
        </w:rPr>
        <w:t>。</w:t>
      </w:r>
    </w:p>
    <w:p>
      <w:pPr>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运维废弃物妥善处理</w:t>
      </w:r>
      <w:r>
        <w:rPr>
          <w:rFonts w:hint="default" w:ascii="Times New Roman" w:hAnsi="Times New Roman" w:eastAsia="仿宋_GB2312"/>
          <w:bCs/>
          <w:sz w:val="32"/>
          <w:szCs w:val="32"/>
        </w:rPr>
        <w:t>情况：以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1</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依照国家及地方相关管理规定，充分识别并妥善处理日常运行维护、检修等产生的各类废弃物，</w:t>
      </w:r>
      <w:r>
        <w:rPr>
          <w:rFonts w:hint="default" w:ascii="Times New Roman" w:hAnsi="Times New Roman" w:eastAsia="仿宋_GB2312"/>
          <w:bCs/>
          <w:sz w:val="32"/>
          <w:szCs w:val="32"/>
        </w:rPr>
        <w:t>且</w:t>
      </w:r>
      <w:r>
        <w:rPr>
          <w:rFonts w:ascii="Times New Roman" w:hAnsi="Times New Roman" w:eastAsia="仿宋_GB2312"/>
          <w:bCs/>
          <w:sz w:val="32"/>
          <w:szCs w:val="32"/>
        </w:rPr>
        <w:t>完整记录废弃物产生及处理过程。</w:t>
      </w:r>
    </w:p>
    <w:p>
      <w:pPr>
        <w:adjustRightInd w:val="0"/>
        <w:snapToGrid w:val="0"/>
        <w:spacing w:line="594" w:lineRule="exact"/>
        <w:ind w:firstLine="640" w:firstLineChars="200"/>
        <w:rPr>
          <w:rFonts w:hint="default" w:ascii="Times New Roman" w:hAnsi="Times New Roman" w:eastAsia="仿宋_GB2312"/>
          <w:bCs/>
          <w:sz w:val="32"/>
          <w:szCs w:val="32"/>
        </w:rPr>
      </w:pPr>
      <w:r>
        <w:rPr>
          <w:rFonts w:ascii="Times New Roman" w:hAnsi="Times New Roman" w:eastAsia="仿宋_GB2312"/>
          <w:bCs/>
          <w:sz w:val="32"/>
          <w:szCs w:val="32"/>
        </w:rPr>
        <w:t>退役电器电子产品循环利用</w:t>
      </w:r>
      <w:r>
        <w:rPr>
          <w:rFonts w:hint="default" w:ascii="Times New Roman" w:hAnsi="Times New Roman" w:eastAsia="仿宋_GB2312"/>
          <w:bCs/>
          <w:sz w:val="32"/>
          <w:szCs w:val="32"/>
        </w:rPr>
        <w:t>情况：以</w:t>
      </w: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实际开展的相关工作佐证材料作为评价依据，满足要求可</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1</w:t>
      </w:r>
      <w:r>
        <w:rPr>
          <w:rFonts w:hint="default" w:ascii="Times New Roman" w:hAnsi="Times New Roman" w:eastAsia="仿宋_GB2312"/>
          <w:bCs/>
          <w:sz w:val="32"/>
          <w:szCs w:val="32"/>
        </w:rPr>
        <w:t>分。佐证材料应证明，</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建立可追溯的电器电子产品管理档案，识别</w:t>
      </w:r>
      <w:r>
        <w:rPr>
          <w:rFonts w:hint="default" w:ascii="Times New Roman" w:hAnsi="Times New Roman" w:eastAsia="仿宋_GB2312"/>
          <w:bCs/>
          <w:sz w:val="32"/>
          <w:szCs w:val="32"/>
        </w:rPr>
        <w:t>报废设备、</w:t>
      </w:r>
      <w:r>
        <w:rPr>
          <w:rFonts w:ascii="Times New Roman" w:hAnsi="Times New Roman" w:eastAsia="仿宋_GB2312"/>
          <w:bCs/>
          <w:sz w:val="32"/>
          <w:szCs w:val="32"/>
        </w:rPr>
        <w:t>退役服务器、废旧电池等</w:t>
      </w:r>
      <w:r>
        <w:rPr>
          <w:rFonts w:hint="default" w:ascii="Times New Roman" w:hAnsi="Times New Roman" w:eastAsia="仿宋_GB2312"/>
          <w:bCs/>
          <w:sz w:val="32"/>
          <w:szCs w:val="32"/>
        </w:rPr>
        <w:t>电器电子产品，并通过自行</w:t>
      </w:r>
      <w:r>
        <w:rPr>
          <w:rFonts w:ascii="Times New Roman" w:hAnsi="Times New Roman" w:eastAsia="仿宋_GB2312"/>
          <w:bCs/>
          <w:sz w:val="32"/>
          <w:szCs w:val="32"/>
        </w:rPr>
        <w:t>利用</w:t>
      </w:r>
      <w:r>
        <w:rPr>
          <w:rFonts w:hint="default" w:ascii="Times New Roman" w:hAnsi="Times New Roman" w:eastAsia="仿宋_GB2312"/>
          <w:bCs/>
          <w:sz w:val="32"/>
          <w:szCs w:val="32"/>
        </w:rPr>
        <w:t>或</w:t>
      </w:r>
      <w:r>
        <w:rPr>
          <w:rFonts w:ascii="Times New Roman" w:hAnsi="Times New Roman" w:eastAsia="仿宋_GB2312"/>
          <w:bCs/>
          <w:sz w:val="32"/>
          <w:szCs w:val="32"/>
        </w:rPr>
        <w:t>委托生产企业</w:t>
      </w:r>
      <w:r>
        <w:rPr>
          <w:rFonts w:hint="default" w:ascii="Times New Roman" w:hAnsi="Times New Roman" w:eastAsia="仿宋_GB2312"/>
          <w:bCs/>
          <w:sz w:val="32"/>
          <w:szCs w:val="32"/>
        </w:rPr>
        <w:t>/</w:t>
      </w:r>
      <w:r>
        <w:rPr>
          <w:rFonts w:ascii="Times New Roman" w:hAnsi="Times New Roman" w:eastAsia="仿宋_GB2312"/>
          <w:bCs/>
          <w:sz w:val="32"/>
          <w:szCs w:val="32"/>
        </w:rPr>
        <w:t>有资质回收企业回收等方式</w:t>
      </w:r>
      <w:r>
        <w:rPr>
          <w:rFonts w:hint="default" w:ascii="Times New Roman" w:hAnsi="Times New Roman" w:eastAsia="仿宋_GB2312"/>
          <w:bCs/>
          <w:sz w:val="32"/>
          <w:szCs w:val="32"/>
        </w:rPr>
        <w:t>实现循环利用。</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以上</w:t>
      </w:r>
      <w:r>
        <w:rPr>
          <w:rFonts w:hint="default" w:ascii="Times New Roman" w:hAnsi="Times New Roman" w:eastAsia="仿宋_GB2312"/>
          <w:bCs/>
          <w:sz w:val="32"/>
          <w:szCs w:val="32"/>
          <w:lang w:eastAsia="zh-CN"/>
        </w:rPr>
        <w:t>两</w:t>
      </w:r>
      <w:r>
        <w:rPr>
          <w:rFonts w:ascii="Times New Roman" w:hAnsi="Times New Roman" w:eastAsia="仿宋_GB2312"/>
          <w:bCs/>
          <w:sz w:val="32"/>
          <w:szCs w:val="32"/>
        </w:rPr>
        <w:t>项得分相加为本指标项得分。</w:t>
      </w:r>
    </w:p>
    <w:p>
      <w:pPr>
        <w:tabs>
          <w:tab w:val="left" w:pos="0"/>
        </w:tabs>
        <w:adjustRightInd w:val="0"/>
        <w:snapToGrid w:val="0"/>
        <w:spacing w:line="594" w:lineRule="exact"/>
        <w:ind w:firstLine="640" w:firstLineChars="200"/>
        <w:outlineLvl w:val="2"/>
        <w:rPr>
          <w:rFonts w:ascii="Times New Roman" w:hAnsi="Times New Roman" w:eastAsia="仿宋_GB2312"/>
          <w:bCs/>
          <w:sz w:val="32"/>
          <w:szCs w:val="32"/>
        </w:rPr>
      </w:pPr>
      <w:r>
        <w:rPr>
          <w:rFonts w:hint="default" w:ascii="Times New Roman" w:hAnsi="Times New Roman" w:eastAsia="仿宋_GB2312"/>
          <w:bCs/>
          <w:sz w:val="32"/>
          <w:szCs w:val="32"/>
        </w:rPr>
        <w:t>1</w:t>
      </w:r>
      <w:r>
        <w:rPr>
          <w:rFonts w:hint="default" w:ascii="Times New Roman" w:hAnsi="Times New Roman" w:eastAsia="仿宋_GB2312"/>
          <w:bCs/>
          <w:sz w:val="32"/>
          <w:szCs w:val="32"/>
          <w:lang w:val="en-US" w:eastAsia="zh-CN"/>
        </w:rPr>
        <w:t>8</w:t>
      </w:r>
      <w:r>
        <w:rPr>
          <w:rFonts w:hint="default" w:ascii="Times New Roman" w:hAnsi="Times New Roman" w:eastAsia="仿宋_GB2312"/>
          <w:bCs/>
          <w:sz w:val="32"/>
          <w:szCs w:val="32"/>
        </w:rPr>
        <w:t>.</w:t>
      </w:r>
      <w:r>
        <w:rPr>
          <w:rFonts w:ascii="Times New Roman" w:hAnsi="Times New Roman" w:eastAsia="仿宋_GB2312"/>
          <w:bCs/>
          <w:sz w:val="32"/>
          <w:szCs w:val="32"/>
        </w:rPr>
        <w:t>科学布局水平（总分</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（1）</w:t>
      </w:r>
      <w:r>
        <w:rPr>
          <w:rFonts w:ascii="Times New Roman" w:hAnsi="Times New Roman" w:eastAsia="仿宋_GB2312"/>
          <w:bCs/>
          <w:sz w:val="32"/>
          <w:szCs w:val="32"/>
        </w:rPr>
        <w:t>指标说明</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本指标项以</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符合国家</w:t>
      </w:r>
      <w:r>
        <w:rPr>
          <w:rFonts w:hint="default" w:ascii="Times New Roman" w:hAnsi="Times New Roman" w:eastAsia="仿宋_GB2312"/>
          <w:bCs/>
          <w:sz w:val="32"/>
          <w:szCs w:val="32"/>
        </w:rPr>
        <w:t>科学</w:t>
      </w:r>
      <w:r>
        <w:rPr>
          <w:rFonts w:ascii="Times New Roman" w:hAnsi="Times New Roman" w:eastAsia="仿宋_GB2312"/>
          <w:bCs/>
          <w:sz w:val="32"/>
          <w:szCs w:val="32"/>
        </w:rPr>
        <w:t>布局相关政策导向</w:t>
      </w:r>
      <w:r>
        <w:rPr>
          <w:rFonts w:hint="default" w:ascii="Times New Roman" w:hAnsi="Times New Roman" w:eastAsia="仿宋_GB2312"/>
          <w:bCs/>
          <w:sz w:val="32"/>
          <w:szCs w:val="32"/>
        </w:rPr>
        <w:t>的情况</w:t>
      </w:r>
      <w:r>
        <w:rPr>
          <w:rFonts w:ascii="Times New Roman" w:hAnsi="Times New Roman" w:eastAsia="仿宋_GB2312"/>
          <w:bCs/>
          <w:sz w:val="32"/>
          <w:szCs w:val="32"/>
        </w:rPr>
        <w:t>作为评价依据。</w:t>
      </w:r>
    </w:p>
    <w:p>
      <w:pPr>
        <w:tabs>
          <w:tab w:val="left" w:pos="420"/>
        </w:tabs>
        <w:adjustRightInd w:val="0"/>
        <w:snapToGrid w:val="0"/>
        <w:spacing w:line="594" w:lineRule="exact"/>
        <w:ind w:left="640"/>
        <w:outlineLvl w:val="3"/>
        <w:rPr>
          <w:rFonts w:ascii="Times New Roman" w:hAnsi="Times New Roman" w:eastAsia="仿宋_GB2312"/>
          <w:bCs/>
          <w:sz w:val="32"/>
          <w:szCs w:val="32"/>
        </w:rPr>
      </w:pPr>
      <w:r>
        <w:rPr>
          <w:rFonts w:hint="default" w:ascii="Times New Roman" w:hAnsi="Times New Roman" w:eastAsia="仿宋_GB2312"/>
          <w:bCs/>
          <w:sz w:val="32"/>
          <w:szCs w:val="32"/>
        </w:rPr>
        <w:t>（2）</w:t>
      </w:r>
      <w:r>
        <w:rPr>
          <w:rFonts w:ascii="Times New Roman" w:hAnsi="Times New Roman" w:eastAsia="仿宋_GB2312"/>
          <w:bCs/>
          <w:sz w:val="32"/>
          <w:szCs w:val="32"/>
        </w:rPr>
        <w:t>评分规则</w:t>
      </w:r>
    </w:p>
    <w:p>
      <w:pPr>
        <w:adjustRightInd w:val="0"/>
        <w:snapToGrid w:val="0"/>
        <w:spacing w:line="594" w:lineRule="exact"/>
        <w:ind w:firstLine="640" w:firstLineChars="200"/>
        <w:rPr>
          <w:rFonts w:ascii="Times New Roman" w:hAnsi="Times New Roman" w:eastAsia="仿宋_GB2312"/>
          <w:bCs/>
          <w:sz w:val="32"/>
          <w:szCs w:val="32"/>
        </w:rPr>
      </w:pPr>
      <w:r>
        <w:rPr>
          <w:rFonts w:hint="default" w:ascii="Times New Roman" w:hAnsi="Times New Roman" w:eastAsia="仿宋_GB2312"/>
          <w:bCs/>
          <w:sz w:val="32"/>
          <w:szCs w:val="32"/>
          <w:lang w:eastAsia="zh-CN"/>
        </w:rPr>
        <w:t>算力设施</w:t>
      </w:r>
      <w:r>
        <w:rPr>
          <w:rFonts w:hint="default" w:ascii="Times New Roman" w:hAnsi="Times New Roman" w:eastAsia="仿宋_GB2312"/>
          <w:bCs/>
          <w:sz w:val="32"/>
          <w:szCs w:val="32"/>
        </w:rPr>
        <w:t>符合以下四项条件之一，</w:t>
      </w:r>
      <w:r>
        <w:rPr>
          <w:rFonts w:ascii="Times New Roman" w:hAnsi="Times New Roman" w:eastAsia="仿宋_GB2312"/>
          <w:bCs/>
          <w:sz w:val="32"/>
          <w:szCs w:val="32"/>
        </w:rPr>
        <w:t>可获得</w:t>
      </w:r>
      <w:r>
        <w:rPr>
          <w:rFonts w:hint="default" w:ascii="Times New Roman" w:hAnsi="Times New Roman" w:eastAsia="仿宋_GB2312"/>
          <w:bCs/>
          <w:sz w:val="32"/>
          <w:szCs w:val="32"/>
        </w:rPr>
        <w:t>相</w:t>
      </w:r>
      <w:r>
        <w:rPr>
          <w:rFonts w:ascii="Times New Roman" w:hAnsi="Times New Roman" w:eastAsia="仿宋_GB2312"/>
          <w:bCs/>
          <w:sz w:val="32"/>
          <w:szCs w:val="32"/>
        </w:rPr>
        <w:t>应分数（得分不累加）：</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位于京津冀、长三角、粤港澳大湾区、成渝</w:t>
      </w:r>
      <w:r>
        <w:rPr>
          <w:rFonts w:hint="default" w:ascii="Times New Roman" w:hAnsi="Times New Roman" w:eastAsia="仿宋_GB2312"/>
          <w:bCs/>
          <w:sz w:val="32"/>
          <w:szCs w:val="32"/>
        </w:rPr>
        <w:t>、</w:t>
      </w:r>
      <w:r>
        <w:rPr>
          <w:rFonts w:ascii="Times New Roman" w:hAnsi="Times New Roman" w:eastAsia="仿宋_GB2312"/>
          <w:bCs/>
          <w:sz w:val="32"/>
          <w:szCs w:val="32"/>
        </w:rPr>
        <w:t>贵州、内蒙古、甘肃、宁夏</w:t>
      </w:r>
      <w:r>
        <w:rPr>
          <w:rFonts w:hint="default" w:ascii="Times New Roman" w:hAnsi="Times New Roman" w:eastAsia="仿宋_GB2312"/>
          <w:bCs/>
          <w:sz w:val="32"/>
          <w:szCs w:val="32"/>
        </w:rPr>
        <w:t>等地布局建设的</w:t>
      </w:r>
      <w:r>
        <w:rPr>
          <w:rFonts w:ascii="Times New Roman" w:hAnsi="Times New Roman" w:eastAsia="仿宋_GB2312"/>
          <w:bCs/>
          <w:sz w:val="32"/>
          <w:szCs w:val="32"/>
        </w:rPr>
        <w:t>全国一体化算力网络国家枢纽节点</w:t>
      </w:r>
      <w:r>
        <w:rPr>
          <w:rFonts w:hint="default" w:ascii="Times New Roman" w:hAnsi="Times New Roman" w:eastAsia="仿宋_GB2312"/>
          <w:bCs/>
          <w:sz w:val="32"/>
          <w:szCs w:val="32"/>
        </w:rPr>
        <w:t>，以及</w:t>
      </w:r>
      <w:r>
        <w:rPr>
          <w:rFonts w:ascii="Times New Roman" w:hAnsi="Times New Roman" w:eastAsia="仿宋_GB2312"/>
          <w:bCs/>
          <w:sz w:val="32"/>
          <w:szCs w:val="32"/>
        </w:rPr>
        <w:t>青海</w:t>
      </w:r>
      <w:r>
        <w:rPr>
          <w:rFonts w:hint="default" w:ascii="Times New Roman" w:hAnsi="Times New Roman" w:eastAsia="仿宋_GB2312"/>
          <w:bCs/>
          <w:sz w:val="32"/>
          <w:szCs w:val="32"/>
        </w:rPr>
        <w:t>、</w:t>
      </w:r>
      <w:r>
        <w:rPr>
          <w:rFonts w:ascii="Times New Roman" w:hAnsi="Times New Roman" w:eastAsia="仿宋_GB2312"/>
          <w:bCs/>
          <w:sz w:val="32"/>
          <w:szCs w:val="32"/>
        </w:rPr>
        <w:t>新疆</w:t>
      </w:r>
      <w:r>
        <w:rPr>
          <w:rFonts w:hint="default" w:ascii="Times New Roman" w:hAnsi="Times New Roman" w:eastAsia="仿宋_GB2312"/>
          <w:bCs/>
          <w:sz w:val="32"/>
          <w:szCs w:val="32"/>
        </w:rPr>
        <w:t>、</w:t>
      </w:r>
      <w:r>
        <w:rPr>
          <w:rFonts w:ascii="Times New Roman" w:hAnsi="Times New Roman" w:eastAsia="仿宋_GB2312"/>
          <w:bCs/>
          <w:sz w:val="32"/>
          <w:szCs w:val="32"/>
        </w:rPr>
        <w:t>黑龙江</w:t>
      </w:r>
      <w:r>
        <w:rPr>
          <w:rFonts w:hint="default" w:ascii="Times New Roman" w:hAnsi="Times New Roman" w:eastAsia="仿宋_GB2312"/>
          <w:bCs/>
          <w:sz w:val="32"/>
          <w:szCs w:val="32"/>
        </w:rPr>
        <w:t>等</w:t>
      </w:r>
      <w:r>
        <w:rPr>
          <w:rFonts w:ascii="Times New Roman" w:hAnsi="Times New Roman" w:eastAsia="仿宋_GB2312"/>
          <w:bCs/>
          <w:sz w:val="32"/>
          <w:szCs w:val="32"/>
        </w:rPr>
        <w:t>国家明确的算电协同试点区域</w:t>
      </w:r>
      <w:r>
        <w:rPr>
          <w:rFonts w:hint="default" w:ascii="Times New Roman" w:hAnsi="Times New Roman" w:eastAsia="仿宋_GB2312"/>
          <w:bCs/>
          <w:sz w:val="32"/>
          <w:szCs w:val="32"/>
        </w:rPr>
        <w:t>范围</w:t>
      </w:r>
      <w:r>
        <w:rPr>
          <w:rFonts w:ascii="Times New Roman" w:hAnsi="Times New Roman" w:eastAsia="仿宋_GB2312"/>
          <w:bCs/>
          <w:sz w:val="32"/>
          <w:szCs w:val="32"/>
        </w:rPr>
        <w:t>内，或</w:t>
      </w:r>
      <w:r>
        <w:rPr>
          <w:rFonts w:hint="default" w:ascii="Times New Roman" w:hAnsi="Times New Roman" w:eastAsia="仿宋_GB2312"/>
          <w:bCs/>
          <w:sz w:val="32"/>
          <w:szCs w:val="32"/>
        </w:rPr>
        <w:t>属于已</w:t>
      </w:r>
      <w:r>
        <w:rPr>
          <w:rFonts w:ascii="Times New Roman" w:hAnsi="Times New Roman" w:eastAsia="仿宋_GB2312"/>
          <w:bCs/>
          <w:sz w:val="32"/>
          <w:szCs w:val="32"/>
        </w:rPr>
        <w:t>形成集聚效应的智算中心</w:t>
      </w:r>
      <w:r>
        <w:rPr>
          <w:rFonts w:hint="default" w:ascii="Times New Roman" w:hAnsi="Times New Roman" w:eastAsia="仿宋_GB2312"/>
          <w:bCs/>
          <w:sz w:val="32"/>
          <w:szCs w:val="32"/>
        </w:rPr>
        <w:t>，</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4</w:t>
      </w:r>
      <w:r>
        <w:rPr>
          <w:rFonts w:ascii="Times New Roman" w:hAnsi="Times New Roman" w:eastAsia="仿宋_GB2312"/>
          <w:bCs/>
          <w:sz w:val="32"/>
          <w:szCs w:val="32"/>
        </w:rPr>
        <w:t>分。</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落</w:t>
      </w:r>
      <w:r>
        <w:rPr>
          <w:rFonts w:hint="eastAsia" w:ascii="仿宋_GB2312" w:hAnsi="仿宋_GB2312" w:eastAsia="仿宋_GB2312" w:cs="仿宋_GB2312"/>
          <w:bCs/>
          <w:sz w:val="32"/>
          <w:szCs w:val="32"/>
        </w:rPr>
        <w:t>实《“十四五”数</w:t>
      </w:r>
      <w:r>
        <w:rPr>
          <w:rFonts w:ascii="Times New Roman" w:hAnsi="Times New Roman" w:eastAsia="仿宋_GB2312"/>
          <w:bCs/>
          <w:sz w:val="32"/>
          <w:szCs w:val="32"/>
        </w:rPr>
        <w:t>字经济发展规划》（国发〔2021〕29号）提出</w:t>
      </w:r>
      <w:r>
        <w:rPr>
          <w:rFonts w:hint="default" w:ascii="Times New Roman" w:hAnsi="Times New Roman" w:eastAsia="仿宋_GB2312" w:cs="Times New Roman"/>
          <w:bCs/>
          <w:sz w:val="32"/>
          <w:szCs w:val="32"/>
        </w:rPr>
        <w:t>的“社会服务数字化提升工程”和“新型智慧城市和</w:t>
      </w:r>
      <w:r>
        <w:rPr>
          <w:rFonts w:ascii="Times New Roman" w:hAnsi="Times New Roman" w:eastAsia="仿宋_GB2312"/>
          <w:bCs/>
          <w:sz w:val="32"/>
          <w:szCs w:val="32"/>
        </w:rPr>
        <w:t>数字乡村建设</w:t>
      </w:r>
      <w:r>
        <w:rPr>
          <w:rFonts w:hint="default" w:ascii="Times New Roman" w:hAnsi="Times New Roman" w:eastAsia="仿宋_GB2312" w:cs="Times New Roman"/>
          <w:bCs/>
          <w:sz w:val="32"/>
          <w:szCs w:val="32"/>
        </w:rPr>
        <w:t>工程”，为公共机构、金融机构等</w:t>
      </w:r>
      <w:r>
        <w:rPr>
          <w:rFonts w:ascii="Times New Roman" w:hAnsi="Times New Roman" w:eastAsia="仿宋_GB2312"/>
          <w:bCs/>
          <w:sz w:val="32"/>
          <w:szCs w:val="32"/>
        </w:rPr>
        <w:t>提供服务，</w:t>
      </w:r>
      <w:r>
        <w:rPr>
          <w:rFonts w:hint="default" w:ascii="Times New Roman" w:hAnsi="Times New Roman" w:eastAsia="仿宋_GB2312"/>
          <w:bCs/>
          <w:sz w:val="32"/>
          <w:szCs w:val="32"/>
        </w:rPr>
        <w:t>并获得公共机构及金融业务相关主管部门认可</w:t>
      </w:r>
      <w:r>
        <w:rPr>
          <w:rFonts w:hint="default" w:ascii="Times New Roman" w:hAnsi="Times New Roman" w:eastAsia="仿宋_GB2312"/>
          <w:bCs/>
          <w:sz w:val="32"/>
          <w:szCs w:val="32"/>
          <w:lang w:val="en-US" w:eastAsia="zh-CN"/>
        </w:rPr>
        <w:t>后，</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3</w:t>
      </w:r>
      <w:r>
        <w:rPr>
          <w:rFonts w:ascii="Times New Roman" w:hAnsi="Times New Roman" w:eastAsia="仿宋_GB2312"/>
          <w:bCs/>
          <w:sz w:val="32"/>
          <w:szCs w:val="32"/>
        </w:rPr>
        <w:t>分。</w:t>
      </w:r>
    </w:p>
    <w:p>
      <w:pPr>
        <w:adjustRightInd w:val="0"/>
        <w:snapToGrid w:val="0"/>
        <w:spacing w:line="594" w:lineRule="exact"/>
        <w:ind w:firstLine="640" w:firstLineChars="200"/>
        <w:rPr>
          <w:rFonts w:ascii="Times New Roman" w:hAnsi="Times New Roman" w:eastAsia="仿宋_GB2312"/>
          <w:bCs/>
          <w:sz w:val="32"/>
          <w:szCs w:val="32"/>
        </w:rPr>
      </w:pPr>
      <w:r>
        <w:rPr>
          <w:rFonts w:ascii="Times New Roman" w:hAnsi="Times New Roman" w:eastAsia="仿宋_GB2312"/>
          <w:bCs/>
          <w:sz w:val="32"/>
          <w:szCs w:val="32"/>
        </w:rPr>
        <w:t>在西部风光资源富集、气候适宜地区布局建设，承接东部地区有关后台加工、存储备份等非实时算力需求</w:t>
      </w:r>
      <w:r>
        <w:rPr>
          <w:rFonts w:hint="default" w:ascii="Times New Roman" w:hAnsi="Times New Roman" w:eastAsia="仿宋_GB2312"/>
          <w:bCs/>
          <w:sz w:val="32"/>
          <w:szCs w:val="32"/>
        </w:rPr>
        <w:t>；</w:t>
      </w:r>
      <w:r>
        <w:rPr>
          <w:rFonts w:ascii="Times New Roman" w:hAnsi="Times New Roman" w:eastAsia="仿宋_GB2312"/>
          <w:bCs/>
          <w:sz w:val="32"/>
          <w:szCs w:val="32"/>
        </w:rPr>
        <w:t>或为国家枢纽节点梯次有序布局的省内</w:t>
      </w:r>
      <w:r>
        <w:rPr>
          <w:rFonts w:hint="default" w:ascii="Times New Roman" w:hAnsi="Times New Roman" w:eastAsia="仿宋_GB2312"/>
          <w:bCs/>
          <w:sz w:val="32"/>
          <w:szCs w:val="32"/>
          <w:lang w:eastAsia="zh-CN"/>
        </w:rPr>
        <w:t>算力设施</w:t>
      </w:r>
      <w:r>
        <w:rPr>
          <w:rFonts w:ascii="Times New Roman" w:hAnsi="Times New Roman" w:eastAsia="仿宋_GB2312"/>
          <w:bCs/>
          <w:sz w:val="32"/>
          <w:szCs w:val="32"/>
        </w:rPr>
        <w:t>，得</w:t>
      </w:r>
      <w:r>
        <w:rPr>
          <w:rFonts w:hint="default" w:ascii="Times New Roman" w:hAnsi="Times New Roman" w:eastAsia="仿宋_GB2312"/>
          <w:bCs/>
          <w:sz w:val="32"/>
          <w:szCs w:val="32"/>
          <w:lang w:val="en-US" w:eastAsia="zh-CN"/>
        </w:rPr>
        <w:t>3</w:t>
      </w:r>
      <w:r>
        <w:rPr>
          <w:rFonts w:ascii="Times New Roman" w:hAnsi="Times New Roman" w:eastAsia="仿宋_GB2312"/>
          <w:bCs/>
          <w:sz w:val="32"/>
          <w:szCs w:val="32"/>
        </w:rPr>
        <w:t>分。</w:t>
      </w:r>
    </w:p>
    <w:p>
      <w:pPr>
        <w:adjustRightInd w:val="0"/>
        <w:snapToGrid w:val="0"/>
        <w:spacing w:line="594" w:lineRule="exact"/>
        <w:ind w:firstLine="640" w:firstLineChars="200"/>
        <w:rPr>
          <w:rFonts w:hint="default" w:ascii="Times New Roman" w:hAnsi="Times New Roman" w:eastAsia="仿宋_GB2312"/>
          <w:bCs/>
          <w:sz w:val="32"/>
          <w:szCs w:val="32"/>
        </w:rPr>
      </w:pPr>
      <w:r>
        <w:rPr>
          <w:rFonts w:ascii="Times New Roman" w:hAnsi="Times New Roman" w:eastAsia="仿宋_GB2312"/>
          <w:bCs/>
          <w:sz w:val="32"/>
          <w:szCs w:val="32"/>
        </w:rPr>
        <w:t>探索利用具备条件的闲置工业厂房，以及利用山洞、山体间垭口、海底、河流湖泊沿岸等特殊地理条件进行发展，能够充分发挥气候水文和地形地貌等自然条件天然优势，因地制宜促进节能降耗，得</w:t>
      </w:r>
      <w:r>
        <w:rPr>
          <w:rFonts w:hint="default" w:ascii="Times New Roman" w:hAnsi="Times New Roman" w:eastAsia="仿宋_GB2312"/>
          <w:bCs/>
          <w:sz w:val="32"/>
          <w:szCs w:val="32"/>
          <w:lang w:val="en-US" w:eastAsia="zh-CN"/>
        </w:rPr>
        <w:t>2</w:t>
      </w:r>
      <w:r>
        <w:rPr>
          <w:rFonts w:ascii="Times New Roman" w:hAnsi="Times New Roman" w:eastAsia="仿宋_GB2312"/>
          <w:bCs/>
          <w:sz w:val="32"/>
          <w:szCs w:val="32"/>
        </w:rPr>
        <w:t>分。</w:t>
      </w:r>
    </w:p>
    <w:p>
      <w:pPr>
        <w:pStyle w:val="3"/>
        <w:rPr>
          <w:rFonts w:hint="default" w:ascii="Times New Roman" w:hAnsi="Times New Roman"/>
        </w:rPr>
        <w:sectPr>
          <w:footerReference r:id="rId3" w:type="default"/>
          <w:pgSz w:w="11906" w:h="16838"/>
          <w:pgMar w:top="1928" w:right="1531" w:bottom="1701" w:left="1531" w:header="851" w:footer="992" w:gutter="0"/>
          <w:pgNumType w:fmt="decimal" w:start="1"/>
          <w:cols w:space="720" w:num="1"/>
          <w:docGrid w:type="lines" w:linePitch="312" w:charSpace="0"/>
        </w:sectPr>
      </w:pPr>
    </w:p>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sz w:val="24"/>
                            </w:rPr>
                            <w:t>1</w:t>
                          </w:r>
                          <w:r>
                            <w:rPr>
                              <w:rFonts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z&#10;SVju0AAAAAUBAAAPAAAAAAAAAAEAIAAAACIAAABkcnMvZG93bnJldi54bWxQSwECFAAUAAAACACH&#10;TuJAMpWt9LoBAABiAwAADgAAAAAAAAABACAAAAAfAQAAZHJzL2Uyb0RvYy54bWxQSwUGAAAAAAYA&#10;BgBZAQAASwUAAAAA&#10;">
              <v:path/>
              <v:fill on="f" focussize="0,0"/>
              <v:stroke on="f" weight="0.5pt"/>
              <v:imagedata o:title=""/>
              <o:lock v:ext="edit" aspectratio="f"/>
              <v:textbox inset="0mm,0mm,0mm,0mm" style="mso-fit-shape-to-text:t;">
                <w:txbxContent>
                  <w:p>
                    <w:pPr>
                      <w:pStyle w:val="4"/>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sz w:val="24"/>
                      </w:rPr>
                      <w:t>1</w:t>
                    </w:r>
                    <w:r>
                      <w:rPr>
                        <w:rFonts w:ascii="Times New Roman" w:hAnsi="Times New Roman" w:cs="Times New Roman"/>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B126E"/>
    <w:multiLevelType w:val="multilevel"/>
    <w:tmpl w:val="546B126E"/>
    <w:lvl w:ilvl="0" w:tentative="0">
      <w:start w:val="1"/>
      <w:numFmt w:val="chineseCounting"/>
      <w:suff w:val="nothing"/>
      <w:lvlText w:val="%1、"/>
      <w:lvlJc w:val="left"/>
      <w:pPr>
        <w:ind w:left="0" w:firstLine="0"/>
      </w:pPr>
      <w:rPr>
        <w:rFonts w:hint="eastAsia"/>
      </w:rPr>
    </w:lvl>
    <w:lvl w:ilvl="1" w:tentative="0">
      <w:start w:val="1"/>
      <w:numFmt w:val="chineseCounting"/>
      <w:pStyle w:val="2"/>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A23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numPr>
        <w:ilvl w:val="1"/>
        <w:numId w:val="1"/>
      </w:numPr>
      <w:spacing w:before="260" w:after="26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footer"/>
    <w:basedOn w:val="1"/>
    <w:qFormat/>
    <w:uiPriority w:val="0"/>
    <w:pPr>
      <w:tabs>
        <w:tab w:val="center" w:pos="4153"/>
        <w:tab w:val="right" w:pos="8306"/>
      </w:tabs>
      <w:snapToGrid w:val="0"/>
      <w:jc w:val="left"/>
    </w:pPr>
    <w:rPr>
      <w:sz w:val="18"/>
    </w:rPr>
  </w:style>
  <w:style w:type="paragraph" w:customStyle="1" w:styleId="7">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2026-09-30T08:27:58Z</dcterms:created>
  <dc:creator>ASUS</dc:creator>
  <cp:lastModifiedBy>ASUS</cp:lastModifiedBy>
  <dcterms:modified xsi:type="dcterms:W3CDTF">2026-09-30T08:28:44Z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