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附件22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高端医疗器械及卫材产业链绿色化升级改造实施指南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一、重点领域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医用口罩、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医用敷料、体外诊断与康复器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复合膜材料、功能性材料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等重点产品生产过程绿色化改造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（一）技术升级路径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 w:eastAsia="zh-CN"/>
        </w:rPr>
        <w:t>推行卫材产品轻量化、通用化等绿色设计，加强产品表面处理成型技术、无纺布生产线提升技术，医用脱脂纱布前处理等绿色关键技术攻关。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（二）工艺改造路径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实施全棉水刺无纺布生产线绿色化改造，减少能耗与物料损耗。推动医用脱脂纱布前端工序绿色化处理水平，研发生态型低用量前处理剂，优化纱布常规煮漂工艺，研发节水、低排放前处理剂纱布脱漂工艺，实现短流程脱漂，推广绿色前处理技术。积极发展多孔透气复合膜材料、自抑菌生物新型功能材料、生物活性玻璃材料、含银长效抗菌敷料等绿色新型材料，加强定型、表面处理工艺技术升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  <w:lang w:val="en-US" w:eastAsia="zh-CN"/>
        </w:rPr>
        <w:t>（三）能源系统改造路径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分散式风电、新型储能、氢能、高效热泵、余热余压利用、智慧能源管控等一体化系统的工业绿色微电网，优化能源结构，推进多能高效互补利用，提高终端用能新型能源比重。鼓励</w:t>
      </w:r>
      <w:r>
        <w:rPr>
          <w:rFonts w:hint="default" w:ascii="Times New Roman" w:hAnsi="Times New Roman" w:cs="Times New Roman"/>
        </w:rPr>
        <w:t>建立设备、系统、工厂三层级能效诊断系统，</w:t>
      </w:r>
      <w:r>
        <w:rPr>
          <w:rFonts w:hint="default" w:ascii="Times New Roman" w:hAnsi="Times New Roman" w:cs="Times New Roman"/>
          <w:lang w:val="en-US" w:eastAsia="zh-CN"/>
        </w:rPr>
        <w:t>建设数字化能碳管理中心，</w:t>
      </w:r>
      <w:r>
        <w:rPr>
          <w:rFonts w:hint="default" w:ascii="Times New Roman" w:hAnsi="Times New Roman" w:cs="Times New Roman"/>
        </w:rPr>
        <w:t>推动能</w:t>
      </w:r>
      <w:r>
        <w:rPr>
          <w:rFonts w:hint="default" w:ascii="Times New Roman" w:hAnsi="Times New Roman" w:cs="Times New Roman"/>
          <w:lang w:val="en-US" w:eastAsia="zh-CN"/>
        </w:rPr>
        <w:t>碳</w:t>
      </w:r>
      <w:r>
        <w:rPr>
          <w:rFonts w:hint="default" w:ascii="Times New Roman" w:hAnsi="Times New Roman" w:cs="Times New Roman"/>
        </w:rPr>
        <w:t>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（四）节能装备改造路径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分拣输送带、皮带流水线、全自动打包机、全自动清洗机、全自动口罩制造机、一次性口罩包装生产线、高速折叠机等关键设备升级改造。实施电机、风机、泵、空压机、变压器等重点用能产品设备更新升级改造，改造后须达到强制性能效标准2级及以上。</w:t>
      </w:r>
      <w:r>
        <w:rPr>
          <w:rFonts w:hint="default" w:ascii="Times New Roman" w:hAnsi="Times New Roman" w:cs="Times New Roman"/>
        </w:rPr>
        <w:t>加快应用高效节能电机匹配技术、低速大转矩直驱技术、高速直驱技术、伺服驱动技术等，提高电机系统效率和质量。</w:t>
      </w: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F25BF11-B76C-4A4A-BEF1-24F8122C699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689699D-9EB8-483B-ABAF-A97A1C7EA99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A595482-FC0B-47D4-A4C9-70EB750EE96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A63F6684-226C-43A5-8771-D77C7369D352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C6F0424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5444892"/>
    <w:rsid w:val="686248E6"/>
    <w:rsid w:val="6DFE2374"/>
    <w:rsid w:val="72705912"/>
    <w:rsid w:val="760E255E"/>
    <w:rsid w:val="77A402EF"/>
    <w:rsid w:val="78E7683E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autoRedefine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autoRedefine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autoRedefine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2024-02-19T09:56:03Z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