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1"/>
        <w:ind w:firstLine="0" w:firstLineChars="0"/>
        <w:jc w:val="both"/>
        <w:rPr>
          <w:rFonts w:hint="eastAsia" w:ascii="仿宋_GB2312" w:hAnsi="仿宋_GB2312" w:eastAsia="仿宋_GB2312" w:cs="仿宋_GB2312"/>
          <w:position w:val="1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position w:val="10"/>
          <w:sz w:val="32"/>
          <w:szCs w:val="32"/>
          <w:highlight w:val="none"/>
          <w:lang w:val="en-US" w:eastAsia="zh-CN"/>
        </w:rPr>
        <w:t>附件1：</w:t>
      </w:r>
    </w:p>
    <w:p>
      <w:pPr>
        <w:spacing w:before="101"/>
        <w:ind w:firstLine="1320" w:firstLineChars="300"/>
        <w:jc w:val="both"/>
        <w:rPr>
          <w:rFonts w:hint="default" w:ascii="方正小标宋简体" w:hAnsi="方正小标宋简体" w:eastAsia="方正小标宋简体" w:cs="方正小标宋简体"/>
          <w:position w:val="10"/>
          <w:sz w:val="44"/>
          <w:szCs w:val="44"/>
          <w:highlight w:val="none"/>
        </w:rPr>
      </w:pPr>
    </w:p>
    <w:p>
      <w:pPr>
        <w:spacing w:before="101"/>
        <w:ind w:firstLine="1320" w:firstLineChars="300"/>
        <w:jc w:val="both"/>
        <w:rPr>
          <w:rFonts w:hint="default" w:ascii="方正小标宋简体" w:hAnsi="方正小标宋简体" w:eastAsia="方正小标宋简体" w:cs="方正小标宋简体"/>
          <w:position w:val="10"/>
          <w:sz w:val="44"/>
          <w:szCs w:val="44"/>
          <w:highlight w:val="none"/>
        </w:rPr>
      </w:pPr>
      <w:r>
        <w:rPr>
          <w:rFonts w:hint="default" w:ascii="方正小标宋简体" w:hAnsi="方正小标宋简体" w:eastAsia="方正小标宋简体" w:cs="方正小标宋简体"/>
          <w:position w:val="10"/>
          <w:sz w:val="44"/>
          <w:szCs w:val="44"/>
          <w:highlight w:val="none"/>
        </w:rPr>
        <w:t>贵阳市中小企业数字化转型城市</w:t>
      </w:r>
    </w:p>
    <w:p>
      <w:pPr>
        <w:spacing w:before="101"/>
        <w:ind w:firstLine="0" w:firstLineChars="0"/>
        <w:jc w:val="center"/>
        <w:rPr>
          <w:rFonts w:hint="default" w:ascii="方正小标宋简体" w:hAnsi="方正小标宋简体" w:eastAsia="方正小标宋简体" w:cs="方正小标宋简体"/>
          <w:position w:val="10"/>
          <w:sz w:val="44"/>
          <w:szCs w:val="44"/>
          <w:highlight w:val="none"/>
        </w:rPr>
      </w:pPr>
      <w:r>
        <w:rPr>
          <w:rFonts w:hint="default" w:ascii="方正小标宋简体" w:hAnsi="方正小标宋简体" w:eastAsia="方正小标宋简体" w:cs="方正小标宋简体"/>
          <w:position w:val="10"/>
          <w:sz w:val="44"/>
          <w:szCs w:val="44"/>
          <w:highlight w:val="none"/>
        </w:rPr>
        <w:t>试点实施方案</w:t>
      </w:r>
    </w:p>
    <w:p>
      <w:pPr>
        <w:spacing w:before="101"/>
        <w:ind w:firstLine="0" w:firstLineChars="0"/>
        <w:jc w:val="center"/>
        <w:rPr>
          <w:rFonts w:hint="eastAsia" w:ascii="楷体_GB2312" w:hAnsi="楷体_GB2312" w:eastAsia="楷体_GB2312" w:cs="楷体_GB2312"/>
          <w:position w:val="10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position w:val="10"/>
          <w:sz w:val="32"/>
          <w:szCs w:val="32"/>
          <w:highlight w:val="none"/>
        </w:rPr>
        <w:t>（</w:t>
      </w:r>
      <w:r>
        <w:rPr>
          <w:rFonts w:hint="eastAsia" w:ascii="楷体_GB2312" w:hAnsi="楷体_GB2312" w:eastAsia="楷体_GB2312" w:cs="楷体_GB2312"/>
          <w:position w:val="10"/>
          <w:sz w:val="32"/>
          <w:szCs w:val="32"/>
          <w:highlight w:val="none"/>
          <w:lang w:val="en-US" w:eastAsia="zh-CN"/>
        </w:rPr>
        <w:t>征求意见</w:t>
      </w:r>
      <w:bookmarkStart w:id="7" w:name="_GoBack"/>
      <w:bookmarkEnd w:id="7"/>
      <w:r>
        <w:rPr>
          <w:rFonts w:hint="eastAsia" w:ascii="楷体_GB2312" w:hAnsi="楷体_GB2312" w:eastAsia="楷体_GB2312" w:cs="楷体_GB2312"/>
          <w:position w:val="10"/>
          <w:sz w:val="32"/>
          <w:szCs w:val="32"/>
          <w:highlight w:val="none"/>
          <w:lang w:val="en-US" w:eastAsia="zh-CN"/>
        </w:rPr>
        <w:t>稿</w:t>
      </w:r>
      <w:r>
        <w:rPr>
          <w:rFonts w:hint="eastAsia" w:ascii="楷体_GB2312" w:hAnsi="楷体_GB2312" w:eastAsia="楷体_GB2312" w:cs="楷体_GB2312"/>
          <w:position w:val="10"/>
          <w:sz w:val="32"/>
          <w:szCs w:val="32"/>
          <w:highlight w:val="none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3" w:beforeLines="100"/>
        <w:ind w:firstLine="640"/>
        <w:textAlignment w:val="auto"/>
        <w:rPr>
          <w:rFonts w:hint="eastAsia" w:ascii="仿宋_GB2312" w:hAnsi="仿宋_GB2312" w:eastAsia="仿宋_GB2312" w:cs="仿宋_GB231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"/>
        </w:rPr>
        <w:t>为深入</w:t>
      </w:r>
      <w:bookmarkStart w:id="0" w:name="OLE_LINK6"/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"/>
        </w:rPr>
        <w:t>贯彻落实党中央、国务院关于支持中小企业创新发展，加快中小企业数字化转</w:t>
      </w:r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"/>
        </w:rPr>
        <w:t>型系列决策部署，按照国家中小企业数字化转型城市试点工</w:t>
      </w:r>
      <w:bookmarkStart w:id="1" w:name="OLE_LINK8"/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"/>
        </w:rPr>
        <w:t>作总体要求，加快推进产业数字化，促进实体经济和</w:t>
      </w:r>
      <w:bookmarkEnd w:id="1"/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"/>
        </w:rPr>
        <w:t>数字经济深度融合，根据《财政部办公厅 工业和信息化部办公厅关于做好2024年中小企业数字化转型城市试点工作的通知》（财办建〔2024〕2</w:t>
      </w:r>
      <w:r>
        <w:rPr>
          <w:rFonts w:hint="eastAsia" w:ascii="仿宋_GB2312" w:hAnsi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"/>
        </w:rPr>
        <w:t>号）及《中小企业数字化转型城市试点实施指南》等文件精神，进一步细化工作举措、优化扶持方式、加大支持力度，全力推进贵阳市中小企业数字化转型工作，制定本实施方案。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32"/>
        <w:textAlignment w:val="auto"/>
        <w:outlineLvl w:val="0"/>
        <w:rPr>
          <w:rFonts w:hint="eastAsia" w:eastAsia="黑体" w:cs="Times New Roman"/>
          <w:szCs w:val="32"/>
          <w:highlight w:val="none"/>
          <w:lang w:eastAsia="zh"/>
        </w:rPr>
      </w:pPr>
      <w:r>
        <w:rPr>
          <w:rFonts w:eastAsia="黑体" w:cs="Times New Roman"/>
          <w:spacing w:val="-2"/>
          <w:szCs w:val="32"/>
          <w:highlight w:val="none"/>
        </w:rPr>
        <w:t>一、总体思路</w:t>
      </w:r>
    </w:p>
    <w:p>
      <w:pPr>
        <w:adjustRightInd/>
        <w:snapToGrid/>
        <w:ind w:firstLine="628"/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"/>
        </w:rPr>
        <w:t>按照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"/>
        </w:rPr>
        <w:t>政府引导、企业</w:t>
      </w:r>
      <w:r>
        <w:rPr>
          <w:rFonts w:hint="eastAsia" w:ascii="仿宋_GB2312" w:hAnsi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为主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"/>
        </w:rPr>
        <w:t>，</w:t>
      </w:r>
      <w:r>
        <w:rPr>
          <w:rFonts w:hint="eastAsia" w:ascii="仿宋_GB2312" w:hAnsi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需求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"/>
        </w:rPr>
        <w:t>导向、服务牵引、注重实效，试点先行、复制推广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”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"/>
        </w:rPr>
        <w:t>的总体思路，在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用好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"/>
        </w:rPr>
        <w:t>用足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中央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"/>
        </w:rPr>
        <w:t>财政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资金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"/>
        </w:rPr>
        <w:t>的基础上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，争取省级资金扶持，依托市工信局中小企业发展专项资金、助企券兑现资金、市科技局应用技术研究与开发资金、市大数据局大数据发展专项资金等资金，</w:t>
      </w:r>
      <w:r>
        <w:rPr>
          <w:rFonts w:hint="eastAsia" w:ascii="仿宋_GB2312" w:hAnsi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围绕贵阳市六大产业，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按照申报明确的</w:t>
      </w:r>
      <w:r>
        <w:rPr>
          <w:rFonts w:hint="eastAsia" w:ascii="仿宋_GB2312" w:hAnsi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个细分行业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"/>
        </w:rPr>
        <w:t>，采取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"/>
        </w:rPr>
        <w:t>分批次推进、平台化支撑、轻量级改造、工程化实施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”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"/>
        </w:rPr>
        <w:t>等推进方式，坚持行业转型提升与平台建设同步、示范样本打造与推广应用协同、数字服务供给和企业需求</w:t>
      </w:r>
      <w:r>
        <w:rPr>
          <w:rFonts w:hint="eastAsia" w:ascii="仿宋_GB2312" w:hAnsi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密切对接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"/>
        </w:rPr>
        <w:t>，加快打造行业数字化转型标杆和优秀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"/>
        </w:rPr>
        <w:t>小快轻准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”</w:t>
      </w:r>
      <w:r>
        <w:rPr>
          <w:rFonts w:hint="eastAsia" w:ascii="仿宋_GB2312" w:hAnsi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数字化解决方案和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"/>
        </w:rPr>
        <w:t>产品，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培育</w:t>
      </w:r>
      <w:r>
        <w:rPr>
          <w:rFonts w:hint="eastAsia" w:ascii="仿宋_GB2312" w:hAnsi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、引进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一批本地数字化服务商，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"/>
        </w:rPr>
        <w:t>探索形成中小企业数字化转型的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"/>
        </w:rPr>
        <w:t>贵阳模式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”</w:t>
      </w:r>
      <w:r>
        <w:rPr>
          <w:rFonts w:hint="eastAsia" w:ascii="仿宋_GB2312" w:hAnsi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，推动我市工业企业数字化水平整体提升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"/>
        </w:rPr>
        <w:t>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32"/>
        <w:textAlignment w:val="auto"/>
        <w:outlineLvl w:val="0"/>
        <w:rPr>
          <w:rFonts w:eastAsia="黑体" w:cs="Times New Roman"/>
          <w:spacing w:val="-2"/>
          <w:szCs w:val="32"/>
          <w:highlight w:val="none"/>
        </w:rPr>
      </w:pPr>
      <w:r>
        <w:rPr>
          <w:rFonts w:eastAsia="黑体" w:cs="Times New Roman"/>
          <w:spacing w:val="-2"/>
          <w:szCs w:val="32"/>
          <w:highlight w:val="none"/>
        </w:rPr>
        <w:t>二、工作目标</w:t>
      </w:r>
    </w:p>
    <w:p>
      <w:pPr>
        <w:adjustRightInd/>
        <w:snapToGrid/>
        <w:ind w:firstLine="628"/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eastAsia="zh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eastAsia="zh"/>
        </w:rPr>
        <w:t>聚焦试点细分行业，在2年试点实施期内（截止2026年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eastAsia="zh"/>
        </w:rPr>
        <w:t>月）完成转型改造的企业超过393家，带动全市规上工业企业数字化转型全覆盖；推动200家以上中小企业上云用云；打造60个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eastAsia="zh-CN"/>
        </w:rPr>
        <w:t>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eastAsia="zh"/>
        </w:rPr>
        <w:t>小快轻准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eastAsia="zh-CN"/>
        </w:rPr>
        <w:t>”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eastAsia="zh"/>
        </w:rPr>
        <w:t>数字化解决方案和产品；培育人工智能、大数据、工业互联网赋能产品20个；建设数字化车间、智能工厂共30个；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开展政策宣贯、讲座培训、供需对接等活动24场；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eastAsia="zh"/>
        </w:rPr>
        <w:t>开展数字化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转型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eastAsia="zh"/>
        </w:rPr>
        <w:t>培训不少于400人次；打造数字化转型成效显著的标杆企业30家，复制推广到60家企业；分行业形成数字化转型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指南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eastAsia="zh"/>
        </w:rPr>
        <w:t>和测评指南各6项。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32"/>
        <w:textAlignment w:val="auto"/>
        <w:outlineLvl w:val="0"/>
        <w:rPr>
          <w:rFonts w:eastAsia="黑体" w:cs="Times New Roman"/>
          <w:spacing w:val="-2"/>
          <w:szCs w:val="32"/>
          <w:highlight w:val="none"/>
        </w:rPr>
      </w:pPr>
      <w:r>
        <w:rPr>
          <w:rFonts w:eastAsia="黑体" w:cs="Times New Roman"/>
          <w:spacing w:val="-2"/>
          <w:szCs w:val="32"/>
          <w:highlight w:val="none"/>
        </w:rPr>
        <w:t>三、</w:t>
      </w:r>
      <w:r>
        <w:rPr>
          <w:rFonts w:hint="eastAsia" w:eastAsia="黑体" w:cs="Times New Roman"/>
          <w:spacing w:val="-2"/>
          <w:szCs w:val="32"/>
          <w:highlight w:val="none"/>
          <w:lang w:val="en-US" w:eastAsia="zh-CN"/>
        </w:rPr>
        <w:t>重点</w:t>
      </w:r>
      <w:r>
        <w:rPr>
          <w:rFonts w:eastAsia="黑体" w:cs="Times New Roman"/>
          <w:spacing w:val="-2"/>
          <w:szCs w:val="32"/>
          <w:highlight w:val="none"/>
        </w:rPr>
        <w:t>任务</w:t>
      </w:r>
    </w:p>
    <w:p>
      <w:pPr>
        <w:pStyle w:val="3"/>
        <w:keepNext w:val="0"/>
        <w:keepLines w:val="0"/>
        <w:numPr>
          <w:ilvl w:val="0"/>
          <w:numId w:val="11"/>
        </w:numPr>
        <w:ind w:left="0" w:leftChars="0" w:firstLine="628" w:firstLineChars="200"/>
        <w:rPr>
          <w:b w:val="0"/>
          <w:bCs w:val="0"/>
          <w:snapToGrid/>
          <w:color w:val="auto"/>
          <w:spacing w:val="-3"/>
          <w:szCs w:val="32"/>
          <w:highlight w:val="none"/>
          <w:lang w:eastAsia="zh-CN"/>
        </w:rPr>
      </w:pPr>
      <w:bookmarkStart w:id="2" w:name="OLE_LINK2"/>
      <w:bookmarkStart w:id="3" w:name="OLE_LINK1"/>
      <w:r>
        <w:rPr>
          <w:rFonts w:hint="eastAsia"/>
          <w:b w:val="0"/>
          <w:bCs w:val="0"/>
          <w:snapToGrid/>
          <w:color w:val="auto"/>
          <w:spacing w:val="-3"/>
          <w:szCs w:val="32"/>
          <w:highlight w:val="none"/>
          <w:lang w:val="en-US" w:eastAsia="zh-CN"/>
        </w:rPr>
        <w:t>构建</w:t>
      </w:r>
      <w:r>
        <w:rPr>
          <w:rFonts w:hint="default"/>
          <w:b w:val="0"/>
          <w:bCs w:val="0"/>
          <w:snapToGrid/>
          <w:color w:val="auto"/>
          <w:spacing w:val="-3"/>
          <w:szCs w:val="32"/>
          <w:highlight w:val="none"/>
          <w:lang w:val="en-US" w:eastAsia="zh-CN"/>
        </w:rPr>
        <w:t>中小企业</w:t>
      </w:r>
      <w:bookmarkEnd w:id="2"/>
      <w:r>
        <w:rPr>
          <w:b w:val="0"/>
          <w:bCs w:val="0"/>
          <w:snapToGrid/>
          <w:color w:val="auto"/>
          <w:spacing w:val="-3"/>
          <w:szCs w:val="32"/>
          <w:highlight w:val="none"/>
          <w:lang w:eastAsia="zh-CN"/>
        </w:rPr>
        <w:t>数字化</w:t>
      </w:r>
      <w:r>
        <w:rPr>
          <w:rFonts w:hint="eastAsia"/>
          <w:b w:val="0"/>
          <w:bCs w:val="0"/>
          <w:snapToGrid/>
          <w:color w:val="auto"/>
          <w:spacing w:val="-3"/>
          <w:szCs w:val="32"/>
          <w:highlight w:val="none"/>
          <w:lang w:val="en-US" w:eastAsia="zh-CN"/>
        </w:rPr>
        <w:t>转型服务</w:t>
      </w:r>
      <w:r>
        <w:rPr>
          <w:rFonts w:hint="default"/>
          <w:b w:val="0"/>
          <w:bCs w:val="0"/>
          <w:snapToGrid/>
          <w:color w:val="auto"/>
          <w:spacing w:val="-3"/>
          <w:szCs w:val="32"/>
          <w:highlight w:val="none"/>
          <w:lang w:val="en-US" w:eastAsia="zh-CN"/>
        </w:rPr>
        <w:t>体系</w:t>
      </w:r>
    </w:p>
    <w:bookmarkEnd w:id="3"/>
    <w:p>
      <w:pPr>
        <w:adjustRightInd/>
        <w:snapToGrid/>
        <w:ind w:firstLine="628"/>
        <w:rPr>
          <w:rFonts w:hint="eastAsia" w:ascii="仿宋_GB2312" w:hAnsi="仿宋_GB2312" w:eastAsia="仿宋_GB2312" w:cs="仿宋_GB2312"/>
          <w:spacing w:val="-3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eastAsia="zh"/>
        </w:rPr>
        <w:t>通过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-3"/>
          <w:sz w:val="32"/>
          <w:szCs w:val="32"/>
          <w:highlight w:val="none"/>
          <w:shd w:val="clear" w:fill="auto"/>
        </w:rPr>
        <w:t>面向社会公开招标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eastAsia="zh"/>
        </w:rPr>
        <w:t>的方式，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  <w:highlight w:val="none"/>
          <w:lang w:eastAsia="zh"/>
        </w:rPr>
        <w:t>选取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</w:rPr>
        <w:t>具有中小企业数字化转型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val="en-US" w:eastAsia="zh-CN"/>
        </w:rPr>
        <w:t>项目管理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</w:rPr>
        <w:t>能力的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val="en-US" w:eastAsia="zh-CN"/>
        </w:rPr>
        <w:t>数字化服务</w:t>
      </w:r>
      <w:r>
        <w:rPr>
          <w:rFonts w:hint="eastAsia" w:ascii="仿宋_GB2312" w:hAnsi="仿宋_GB2312" w:cs="仿宋_GB2312"/>
          <w:spacing w:val="-3"/>
          <w:szCs w:val="32"/>
          <w:highlight w:val="none"/>
          <w:lang w:val="en-US" w:eastAsia="zh-CN"/>
        </w:rPr>
        <w:t>团队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val="en-US" w:eastAsia="zh-CN"/>
        </w:rPr>
        <w:t>，负责专家委员会组建、项目评审、造价监理、成效报送、政策宣贯、成果总结、阶段性审计</w:t>
      </w:r>
      <w:r>
        <w:rPr>
          <w:rFonts w:hint="eastAsia" w:ascii="仿宋_GB2312" w:hAnsi="仿宋_GB2312" w:cs="仿宋_GB2312"/>
          <w:spacing w:val="-3"/>
          <w:szCs w:val="32"/>
          <w:highlight w:val="none"/>
          <w:lang w:val="en-US" w:eastAsia="zh-CN"/>
        </w:rPr>
        <w:t>等工作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eastAsia="zh"/>
        </w:rPr>
        <w:t>。建立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</w:rPr>
        <w:t>中小企业数字化转型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val="en-US" w:eastAsia="zh-CN"/>
        </w:rPr>
        <w:t>线上</w:t>
      </w:r>
      <w:r>
        <w:rPr>
          <w:rFonts w:hint="eastAsia" w:ascii="仿宋_GB2312" w:hAnsi="仿宋_GB2312" w:cs="仿宋_GB2312"/>
          <w:spacing w:val="-3"/>
          <w:szCs w:val="32"/>
          <w:highlight w:val="none"/>
          <w:lang w:val="en-US" w:eastAsia="zh-CN"/>
        </w:rPr>
        <w:t>服务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</w:rPr>
        <w:t>平台，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eastAsia="zh"/>
        </w:rPr>
        <w:t>实现数字化</w:t>
      </w:r>
      <w:r>
        <w:rPr>
          <w:rFonts w:hint="eastAsia" w:ascii="仿宋_GB2312" w:hAnsi="仿宋_GB2312" w:cs="仿宋_GB2312"/>
          <w:spacing w:val="-3"/>
          <w:szCs w:val="32"/>
          <w:highlight w:val="none"/>
          <w:lang w:val="en-US" w:eastAsia="zh-CN"/>
        </w:rPr>
        <w:t>水平评测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val="en-US" w:eastAsia="zh"/>
        </w:rPr>
        <w:t>、服务商管理、改造项目全流程监管等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val="en-US" w:eastAsia="zh-CN"/>
        </w:rPr>
        <w:t>工作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val="en-US" w:eastAsia="zh"/>
        </w:rPr>
        <w:t>线上化，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eastAsia="zh"/>
        </w:rPr>
        <w:t>并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</w:rPr>
        <w:t>与工信部中小企业数字化转型平台</w:t>
      </w:r>
      <w:r>
        <w:rPr>
          <w:rFonts w:hint="eastAsia" w:ascii="仿宋_GB2312" w:hAnsi="仿宋_GB2312" w:cs="仿宋_GB2312"/>
          <w:spacing w:val="-3"/>
          <w:szCs w:val="32"/>
          <w:highlight w:val="none"/>
          <w:lang w:val="en-US" w:eastAsia="zh-CN"/>
        </w:rPr>
        <w:t>实现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val="en-US" w:eastAsia="zh-CN"/>
        </w:rPr>
        <w:t>数据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val="en-US" w:eastAsia="zh"/>
        </w:rPr>
        <w:t>连通。</w:t>
      </w:r>
      <w:r>
        <w:rPr>
          <w:rFonts w:hint="eastAsia" w:ascii="仿宋_GB2312" w:hAnsi="仿宋_GB2312" w:cs="仿宋_GB2312"/>
          <w:spacing w:val="-3"/>
          <w:szCs w:val="32"/>
          <w:highlight w:val="none"/>
          <w:lang w:val="en-US" w:eastAsia="zh-CN"/>
        </w:rPr>
        <w:t>选择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val="en-US" w:eastAsia="zh"/>
        </w:rPr>
        <w:t>中小企业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val="en-US" w:eastAsia="zh-CN"/>
        </w:rPr>
        <w:t>数字化转型</w:t>
      </w:r>
      <w:r>
        <w:rPr>
          <w:rFonts w:hint="eastAsia" w:ascii="仿宋_GB2312" w:hAnsi="仿宋_GB2312" w:cs="仿宋_GB2312"/>
          <w:spacing w:val="-3"/>
          <w:szCs w:val="32"/>
          <w:highlight w:val="none"/>
          <w:lang w:val="en-US" w:eastAsia="zh-CN"/>
        </w:rPr>
        <w:t>咨询机构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val="en-US" w:eastAsia="zh-CN"/>
        </w:rPr>
        <w:t>，制定试点工作发展战略、规划和政策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val="en-US" w:eastAsia="zh"/>
        </w:rPr>
        <w:t>等，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val="en-US" w:eastAsia="zh-CN"/>
        </w:rPr>
        <w:t>为贵阳市中小企业数字化转型试点工作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val="en-US" w:eastAsia="zh"/>
        </w:rPr>
        <w:t>提供咨询服务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val="en-US" w:eastAsia="zh-CN"/>
        </w:rPr>
        <w:t>。</w:t>
      </w:r>
      <w:r>
        <w:rPr>
          <w:rFonts w:hint="eastAsia" w:ascii="楷体_GB2312" w:hAnsi="楷体_GB2312" w:eastAsia="楷体_GB2312" w:cs="楷体_GB2312"/>
          <w:color w:val="auto"/>
          <w:spacing w:val="0"/>
          <w:szCs w:val="32"/>
          <w:highlight w:val="none"/>
          <w:shd w:val="clear" w:color="auto" w:fill="FFFFFF"/>
          <w:lang w:eastAsia="zh-CN"/>
        </w:rPr>
        <w:t>（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  <w:t>责任单位：市工信局、市大数据局）</w:t>
      </w:r>
    </w:p>
    <w:p>
      <w:pPr>
        <w:adjustRightInd/>
        <w:snapToGrid/>
        <w:ind w:firstLine="628"/>
        <w:rPr>
          <w:rFonts w:hint="eastAsia" w:ascii="仿宋_GB2312" w:hAnsi="仿宋_GB2312" w:eastAsia="仿宋_GB2312" w:cs="仿宋_GB2312"/>
          <w:spacing w:val="-3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pacing w:val="-3"/>
          <w:szCs w:val="32"/>
          <w:highlight w:val="none"/>
        </w:rPr>
        <w:t>时间安排：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eastAsia="zh"/>
        </w:rPr>
        <w:t>2024年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10月-2024年12月，通过公开招投标采购相关服务，建立完善中小企业数字化服务体系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eastAsia="zh"/>
        </w:rPr>
        <w:t>。</w:t>
      </w:r>
    </w:p>
    <w:p>
      <w:pPr>
        <w:pStyle w:val="3"/>
        <w:keepNext w:val="0"/>
        <w:keepLines w:val="0"/>
        <w:numPr>
          <w:ilvl w:val="0"/>
          <w:numId w:val="11"/>
        </w:numPr>
        <w:ind w:left="0" w:leftChars="0" w:firstLine="628" w:firstLineChars="200"/>
        <w:rPr>
          <w:b w:val="0"/>
          <w:bCs w:val="0"/>
          <w:snapToGrid/>
          <w:color w:val="auto"/>
          <w:spacing w:val="-3"/>
          <w:szCs w:val="32"/>
          <w:highlight w:val="none"/>
          <w:lang w:val="en-US" w:eastAsia="zh-CN"/>
        </w:rPr>
      </w:pPr>
      <w:r>
        <w:rPr>
          <w:rFonts w:hint="eastAsia"/>
          <w:b w:val="0"/>
          <w:bCs w:val="0"/>
          <w:snapToGrid/>
          <w:color w:val="auto"/>
          <w:spacing w:val="-3"/>
          <w:szCs w:val="32"/>
          <w:highlight w:val="none"/>
          <w:lang w:val="en-US" w:eastAsia="zh-CN"/>
        </w:rPr>
        <w:t>征集和</w:t>
      </w:r>
      <w:r>
        <w:rPr>
          <w:rFonts w:hint="default"/>
          <w:b w:val="0"/>
          <w:bCs w:val="0"/>
          <w:snapToGrid/>
          <w:color w:val="auto"/>
          <w:spacing w:val="-3"/>
          <w:szCs w:val="32"/>
          <w:highlight w:val="none"/>
          <w:lang w:val="en-US" w:eastAsia="zh-CN"/>
        </w:rPr>
        <w:t>遴选</w:t>
      </w:r>
      <w:r>
        <w:rPr>
          <w:b w:val="0"/>
          <w:bCs w:val="0"/>
          <w:snapToGrid/>
          <w:color w:val="auto"/>
          <w:spacing w:val="-3"/>
          <w:szCs w:val="32"/>
          <w:highlight w:val="none"/>
          <w:lang w:val="en-US" w:eastAsia="zh-CN"/>
        </w:rPr>
        <w:t>数字化</w:t>
      </w:r>
      <w:r>
        <w:rPr>
          <w:rFonts w:hint="default"/>
          <w:b w:val="0"/>
          <w:bCs w:val="0"/>
          <w:snapToGrid/>
          <w:color w:val="auto"/>
          <w:spacing w:val="-3"/>
          <w:szCs w:val="32"/>
          <w:highlight w:val="none"/>
          <w:lang w:val="en-US" w:eastAsia="zh-CN"/>
        </w:rPr>
        <w:t>转型</w:t>
      </w:r>
      <w:r>
        <w:rPr>
          <w:b w:val="0"/>
          <w:bCs w:val="0"/>
          <w:snapToGrid/>
          <w:color w:val="auto"/>
          <w:spacing w:val="-3"/>
          <w:szCs w:val="32"/>
          <w:highlight w:val="none"/>
          <w:lang w:val="en-US" w:eastAsia="zh-CN"/>
        </w:rPr>
        <w:t>服务</w:t>
      </w:r>
      <w:r>
        <w:rPr>
          <w:rFonts w:hint="default"/>
          <w:b w:val="0"/>
          <w:bCs w:val="0"/>
          <w:snapToGrid/>
          <w:color w:val="auto"/>
          <w:spacing w:val="-3"/>
          <w:szCs w:val="32"/>
          <w:highlight w:val="none"/>
          <w:lang w:val="en-US" w:eastAsia="zh-CN"/>
        </w:rPr>
        <w:t>商</w:t>
      </w:r>
    </w:p>
    <w:p>
      <w:pPr>
        <w:widowControl/>
        <w:jc w:val="both"/>
        <w:rPr>
          <w:rFonts w:hint="eastAsia" w:ascii="Times New Roman" w:hAnsi="Times New Roman" w:eastAsia="楷体_GB2312" w:cs="Times New Roman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cs="Times New Roman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按照公平公正的原则，公开遴选</w:t>
      </w:r>
      <w:r>
        <w:rPr>
          <w:rFonts w:hint="eastAsia" w:cs="Times New Roman"/>
          <w:i w:val="0"/>
          <w:iCs w:val="0"/>
          <w:caps w:val="0"/>
          <w:spacing w:val="-3"/>
          <w:sz w:val="32"/>
          <w:szCs w:val="32"/>
          <w:highlight w:val="none"/>
          <w:shd w:val="clear"/>
          <w:lang w:eastAsia="zh"/>
        </w:rPr>
        <w:t>一批</w:t>
      </w:r>
      <w:r>
        <w:rPr>
          <w:rFonts w:hint="eastAsia" w:cs="Times New Roman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满足企业需求、</w:t>
      </w:r>
      <w:r>
        <w:rPr>
          <w:rFonts w:hint="eastAsia" w:cs="Times New Roman"/>
          <w:i w:val="0"/>
          <w:iCs w:val="0"/>
          <w:caps w:val="0"/>
          <w:spacing w:val="-3"/>
          <w:sz w:val="32"/>
          <w:szCs w:val="32"/>
          <w:highlight w:val="none"/>
          <w:shd w:val="clear"/>
          <w:lang w:eastAsia="zh"/>
        </w:rPr>
        <w:t>具有较深行业积累</w:t>
      </w:r>
      <w:r>
        <w:rPr>
          <w:rFonts w:hint="eastAsia" w:cs="Times New Roman"/>
          <w:i w:val="0"/>
          <w:iCs w:val="0"/>
          <w:caps w:val="0"/>
          <w:spacing w:val="-3"/>
          <w:sz w:val="32"/>
          <w:szCs w:val="32"/>
          <w:highlight w:val="none"/>
          <w:shd w:val="clear"/>
          <w:lang w:eastAsia="zh-CN"/>
        </w:rPr>
        <w:t>、</w:t>
      </w:r>
      <w:r>
        <w:rPr>
          <w:rFonts w:hint="eastAsia" w:cs="Times New Roman"/>
          <w:i w:val="0"/>
          <w:iCs w:val="0"/>
          <w:caps w:val="0"/>
          <w:spacing w:val="-3"/>
          <w:sz w:val="32"/>
          <w:szCs w:val="32"/>
          <w:highlight w:val="none"/>
          <w:shd w:val="clear"/>
          <w:lang w:eastAsia="zh"/>
        </w:rPr>
        <w:t>较好服务实施能力</w:t>
      </w:r>
      <w:r>
        <w:rPr>
          <w:rFonts w:hint="eastAsia" w:cs="Times New Roman"/>
          <w:i w:val="0"/>
          <w:iCs w:val="0"/>
          <w:caps w:val="0"/>
          <w:spacing w:val="-3"/>
          <w:sz w:val="32"/>
          <w:szCs w:val="32"/>
          <w:highlight w:val="none"/>
          <w:shd w:val="clear"/>
          <w:lang w:eastAsia="zh-CN"/>
        </w:rPr>
        <w:t>、</w:t>
      </w:r>
      <w:r>
        <w:rPr>
          <w:rFonts w:hint="eastAsia" w:cs="Times New Roman"/>
          <w:i w:val="0"/>
          <w:iCs w:val="0"/>
          <w:caps w:val="0"/>
          <w:spacing w:val="-3"/>
          <w:sz w:val="32"/>
          <w:szCs w:val="32"/>
          <w:highlight w:val="none"/>
          <w:shd w:val="clear"/>
          <w:lang w:eastAsia="zh"/>
        </w:rPr>
        <w:t>较多成功案例</w:t>
      </w:r>
      <w:r>
        <w:rPr>
          <w:rFonts w:hint="eastAsia" w:cs="Times New Roman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的综合</w:t>
      </w:r>
      <w:r>
        <w:rPr>
          <w:rFonts w:hint="eastAsia" w:cs="Times New Roman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"/>
        </w:rPr>
        <w:t>服务商</w:t>
      </w:r>
      <w:r>
        <w:rPr>
          <w:rFonts w:hint="eastAsia" w:cs="Times New Roman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和专业服务商</w:t>
      </w:r>
      <w:r>
        <w:rPr>
          <w:rFonts w:hint="eastAsia" w:cs="Times New Roman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"/>
        </w:rPr>
        <w:t>，</w:t>
      </w:r>
      <w:r>
        <w:rPr>
          <w:rFonts w:hint="eastAsia" w:cs="Times New Roman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通过服务商</w:t>
      </w:r>
      <w:r>
        <w:rPr>
          <w:rFonts w:hint="eastAsia" w:cs="Times New Roman"/>
          <w:i w:val="0"/>
          <w:iCs w:val="0"/>
          <w:caps w:val="0"/>
          <w:spacing w:val="-3"/>
          <w:sz w:val="32"/>
          <w:szCs w:val="32"/>
          <w:highlight w:val="none"/>
          <w:shd w:val="clear"/>
          <w:lang w:eastAsia="zh"/>
        </w:rPr>
        <w:t>申报、专家评审、公示确认等流程，建立服务商资源池</w:t>
      </w:r>
      <w:r>
        <w:rPr>
          <w:rFonts w:hint="eastAsia" w:cs="Times New Roman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，</w:t>
      </w:r>
      <w:r>
        <w:rPr>
          <w:rFonts w:hint="eastAsia" w:cs="Times New Roman"/>
          <w:i w:val="0"/>
          <w:iCs w:val="0"/>
          <w:caps w:val="0"/>
          <w:spacing w:val="-3"/>
          <w:sz w:val="32"/>
          <w:szCs w:val="32"/>
          <w:highlight w:val="none"/>
          <w:shd w:val="clear"/>
          <w:lang w:eastAsia="zh"/>
        </w:rPr>
        <w:t>供试点企业选择</w:t>
      </w:r>
      <w:r>
        <w:rPr>
          <w:rFonts w:hint="eastAsia" w:cs="Times New Roman"/>
          <w:i w:val="0"/>
          <w:iCs w:val="0"/>
          <w:caps w:val="0"/>
          <w:spacing w:val="-3"/>
          <w:sz w:val="32"/>
          <w:szCs w:val="32"/>
          <w:highlight w:val="none"/>
          <w:shd w:val="clear"/>
          <w:lang w:eastAsia="zh-CN"/>
        </w:rPr>
        <w:t>。</w:t>
      </w:r>
      <w:r>
        <w:rPr>
          <w:rFonts w:hint="eastAsia" w:cs="Times New Roman"/>
          <w:i w:val="0"/>
          <w:iCs w:val="0"/>
          <w:caps w:val="0"/>
          <w:spacing w:val="-3"/>
          <w:sz w:val="32"/>
          <w:szCs w:val="32"/>
          <w:highlight w:val="none"/>
          <w:shd w:val="clear"/>
          <w:lang w:eastAsia="zh"/>
        </w:rPr>
        <w:t>制定服务商管理办法，</w:t>
      </w:r>
      <w:r>
        <w:rPr>
          <w:rFonts w:hint="eastAsia" w:cs="Times New Roman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建立健全数字化服务商分工协作、服务保障、满意度评价、</w:t>
      </w:r>
      <w:r>
        <w:rPr>
          <w:rFonts w:hint="eastAsia" w:cs="Times New Roman"/>
          <w:i w:val="0"/>
          <w:iCs w:val="0"/>
          <w:caps w:val="0"/>
          <w:spacing w:val="-3"/>
          <w:sz w:val="32"/>
          <w:szCs w:val="32"/>
          <w:highlight w:val="none"/>
          <w:shd w:val="clear"/>
          <w:lang w:eastAsia="zh"/>
        </w:rPr>
        <w:t>动态管理等</w:t>
      </w:r>
      <w:r>
        <w:rPr>
          <w:rFonts w:hint="eastAsia" w:cs="Times New Roman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方面的机制，压实服务商责任，</w:t>
      </w:r>
      <w:r>
        <w:rPr>
          <w:rFonts w:hint="eastAsia" w:cs="Times New Roman"/>
          <w:i w:val="0"/>
          <w:iCs w:val="0"/>
          <w:caps w:val="0"/>
          <w:spacing w:val="-3"/>
          <w:sz w:val="32"/>
          <w:szCs w:val="32"/>
          <w:highlight w:val="none"/>
          <w:shd w:val="clear"/>
          <w:lang w:eastAsia="zh"/>
        </w:rPr>
        <w:t>实行能进能出的服务商动态管理机制</w:t>
      </w:r>
      <w:r>
        <w:rPr>
          <w:rFonts w:hint="eastAsia" w:cs="Times New Roman"/>
          <w:i w:val="0"/>
          <w:iCs w:val="0"/>
          <w:caps w:val="0"/>
          <w:spacing w:val="-3"/>
          <w:sz w:val="32"/>
          <w:szCs w:val="32"/>
          <w:highlight w:val="none"/>
          <w:shd w:val="clear"/>
          <w:lang w:eastAsia="zh-CN"/>
        </w:rPr>
        <w:t>，</w:t>
      </w:r>
      <w:r>
        <w:rPr>
          <w:rFonts w:hint="eastAsia" w:cs="Times New Roman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确保试点工作顺利推进</w:t>
      </w:r>
      <w:r>
        <w:rPr>
          <w:rFonts w:hint="eastAsia" w:cs="Times New Roman"/>
          <w:i w:val="0"/>
          <w:iCs w:val="0"/>
          <w:caps w:val="0"/>
          <w:spacing w:val="-3"/>
          <w:sz w:val="32"/>
          <w:szCs w:val="32"/>
          <w:highlight w:val="none"/>
          <w:shd w:val="clear"/>
          <w:lang w:eastAsia="zh"/>
        </w:rPr>
        <w:t>。</w:t>
      </w:r>
      <w:r>
        <w:rPr>
          <w:rFonts w:hint="eastAsia" w:ascii="Times New Roman" w:hAnsi="Times New Roman" w:eastAsia="楷体_GB2312" w:cs="Times New Roman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  <w:t>（责任单位：市工信局）</w:t>
      </w:r>
    </w:p>
    <w:p>
      <w:pPr>
        <w:adjustRightInd/>
        <w:snapToGrid/>
        <w:spacing w:line="580" w:lineRule="exact"/>
        <w:ind w:firstLine="631"/>
        <w:rPr>
          <w:rFonts w:hint="default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</w:pPr>
      <w:r>
        <w:rPr>
          <w:rFonts w:cs="Times New Roman"/>
          <w:b/>
          <w:bCs/>
          <w:spacing w:val="-3"/>
          <w:szCs w:val="32"/>
          <w:highlight w:val="none"/>
        </w:rPr>
        <w:t>时间安排：</w:t>
      </w:r>
      <w:r>
        <w:rPr>
          <w:rFonts w:hint="eastAsia" w:ascii="仿宋_GB2312" w:hAnsi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2024年11月开展综合服务商+专业服务商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eastAsia="zh"/>
        </w:rPr>
        <w:t>遴选工作，后续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动态调整数字化服务商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"/>
        </w:rPr>
        <w:t>资源池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eastAsia="zh"/>
        </w:rPr>
        <w:t>。</w:t>
      </w:r>
    </w:p>
    <w:p>
      <w:pPr>
        <w:pStyle w:val="3"/>
        <w:keepNext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628" w:firstLineChars="200"/>
        <w:textAlignment w:val="auto"/>
        <w:rPr>
          <w:b w:val="0"/>
          <w:bCs w:val="0"/>
          <w:snapToGrid/>
          <w:color w:val="auto"/>
          <w:spacing w:val="-3"/>
          <w:szCs w:val="32"/>
          <w:highlight w:val="none"/>
          <w:lang w:eastAsia="zh-CN"/>
        </w:rPr>
      </w:pPr>
      <w:r>
        <w:rPr>
          <w:rFonts w:hint="eastAsia"/>
          <w:b w:val="0"/>
          <w:bCs w:val="0"/>
          <w:snapToGrid/>
          <w:color w:val="auto"/>
          <w:spacing w:val="-3"/>
          <w:szCs w:val="32"/>
          <w:highlight w:val="none"/>
          <w:lang w:val="en-US" w:eastAsia="zh-CN"/>
        </w:rPr>
        <w:t>摸查中小</w:t>
      </w:r>
      <w:r>
        <w:rPr>
          <w:b w:val="0"/>
          <w:bCs w:val="0"/>
          <w:snapToGrid/>
          <w:color w:val="auto"/>
          <w:spacing w:val="-3"/>
          <w:szCs w:val="32"/>
          <w:highlight w:val="none"/>
          <w:lang w:eastAsia="zh-CN"/>
        </w:rPr>
        <w:t>企业数字化转型需求</w:t>
      </w:r>
    </w:p>
    <w:p>
      <w:pPr>
        <w:keepNext w:val="0"/>
        <w:keepLines w:val="0"/>
        <w:widowControl/>
        <w:suppressLineNumbers w:val="0"/>
        <w:adjustRightInd/>
        <w:snapToGrid/>
        <w:spacing w:before="0" w:beforeAutospacing="0" w:after="0" w:afterAutospacing="0" w:line="240" w:lineRule="auto"/>
        <w:ind w:left="0" w:right="0" w:firstLine="628" w:firstLineChars="200"/>
        <w:jc w:val="both"/>
        <w:rPr>
          <w:rFonts w:cs="Times New Roman"/>
          <w:spacing w:val="-3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pacing w:val="-3"/>
          <w:sz w:val="32"/>
          <w:szCs w:val="32"/>
          <w:highlight w:val="none"/>
          <w:lang w:val="en-US" w:eastAsia="zh-CN"/>
        </w:rPr>
        <w:t>依照工信部发布的中小企业数字化水平评测指标（2024年版），采用问卷、现场考察、座谈会、宣贯会等方式对细分行业中小企业数字化转型进行调研，重点梳理企业生产过程数字化、产品生命周期数字化、产业链数字化、智能管理决策等各类场景的数字化系统化的改造需求，面向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  <w:highlight w:val="none"/>
          <w:lang w:val="en-US" w:eastAsia="zh"/>
        </w:rPr>
        <w:t>不同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  <w:highlight w:val="none"/>
          <w:lang w:val="en-US" w:eastAsia="zh-CN"/>
        </w:rPr>
        <w:t>细分行业分别形成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  <w:highlight w:val="none"/>
          <w:lang w:val="en-US" w:eastAsia="zh"/>
        </w:rPr>
        <w:t>需求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  <w:highlight w:val="none"/>
          <w:lang w:val="en-US" w:eastAsia="zh-CN"/>
        </w:rPr>
        <w:t>清单，并在中小企业数字化转型线上</w:t>
      </w:r>
      <w:r>
        <w:rPr>
          <w:rFonts w:hint="eastAsia" w:ascii="仿宋_GB2312" w:hAnsi="仿宋_GB2312" w:cs="仿宋_GB2312"/>
          <w:spacing w:val="-3"/>
          <w:sz w:val="32"/>
          <w:szCs w:val="32"/>
          <w:highlight w:val="none"/>
          <w:lang w:val="en-US" w:eastAsia="zh-CN"/>
        </w:rPr>
        <w:t>服务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  <w:highlight w:val="none"/>
          <w:lang w:val="en-US" w:eastAsia="zh-CN"/>
        </w:rPr>
        <w:t>平台发布。</w:t>
      </w:r>
      <w:r>
        <w:rPr>
          <w:rFonts w:hint="eastAsia" w:ascii="Times New Roman" w:hAnsi="Times New Roman" w:eastAsia="楷体_GB2312" w:cs="Times New Roman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  <w:t>（责任单位：市工信局</w:t>
      </w:r>
      <w:r>
        <w:rPr>
          <w:rFonts w:hint="eastAsia" w:eastAsia="楷体_GB2312" w:cs="Times New Roman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  <w:t>，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  <w:t>各区（市、县）人民政府、开发区管委会</w:t>
      </w:r>
      <w:r>
        <w:rPr>
          <w:rFonts w:hint="eastAsia" w:ascii="Times New Roman" w:hAnsi="Times New Roman" w:eastAsia="楷体_GB2312" w:cs="Times New Roman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  <w:t>）</w:t>
      </w:r>
    </w:p>
    <w:p>
      <w:pPr>
        <w:adjustRightInd/>
        <w:snapToGrid/>
        <w:ind w:firstLine="631"/>
        <w:rPr>
          <w:rFonts w:cs="Times New Roman"/>
          <w:spacing w:val="-3"/>
          <w:szCs w:val="32"/>
          <w:highlight w:val="none"/>
        </w:rPr>
      </w:pPr>
      <w:r>
        <w:rPr>
          <w:rFonts w:cs="Times New Roman"/>
          <w:b/>
          <w:bCs/>
          <w:spacing w:val="-3"/>
          <w:szCs w:val="32"/>
          <w:highlight w:val="none"/>
        </w:rPr>
        <w:t>时间安排：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"/>
        </w:rPr>
        <w:t>2024年</w:t>
      </w:r>
      <w:r>
        <w:rPr>
          <w:rFonts w:hint="eastAsia" w:ascii="仿宋_GB2312" w:hAnsi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月-2026年2月</w:t>
      </w:r>
      <w:r>
        <w:rPr>
          <w:rFonts w:hint="eastAsia" w:ascii="仿宋_GB2312" w:hAnsi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，2024年11月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发布首批企业数字化转型需求，持续动态更新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"/>
        </w:rPr>
        <w:t>。</w:t>
      </w:r>
    </w:p>
    <w:p>
      <w:pPr>
        <w:pStyle w:val="3"/>
        <w:keepNext w:val="0"/>
        <w:keepLines w:val="0"/>
        <w:numPr>
          <w:ilvl w:val="0"/>
          <w:numId w:val="11"/>
        </w:numPr>
        <w:ind w:left="0" w:leftChars="0" w:firstLine="628" w:firstLineChars="200"/>
        <w:rPr>
          <w:rFonts w:hint="default"/>
          <w:b w:val="0"/>
          <w:bCs w:val="0"/>
          <w:snapToGrid/>
          <w:color w:val="auto"/>
          <w:spacing w:val="-3"/>
          <w:szCs w:val="32"/>
          <w:highlight w:val="none"/>
          <w:lang w:eastAsia="zh-CN"/>
        </w:rPr>
      </w:pPr>
      <w:r>
        <w:rPr>
          <w:rFonts w:hint="eastAsia"/>
          <w:b w:val="0"/>
          <w:bCs w:val="0"/>
          <w:snapToGrid/>
          <w:color w:val="auto"/>
          <w:spacing w:val="-3"/>
          <w:szCs w:val="32"/>
          <w:highlight w:val="none"/>
          <w:lang w:val="en-US" w:eastAsia="zh"/>
        </w:rPr>
        <w:t>建立</w:t>
      </w:r>
      <w:r>
        <w:rPr>
          <w:rFonts w:hint="eastAsia"/>
          <w:b w:val="0"/>
          <w:bCs w:val="0"/>
          <w:snapToGrid/>
          <w:color w:val="auto"/>
          <w:spacing w:val="-3"/>
          <w:szCs w:val="32"/>
          <w:highlight w:val="none"/>
          <w:lang w:val="en-US" w:eastAsia="zh-CN"/>
        </w:rPr>
        <w:t>试点企业</w:t>
      </w:r>
      <w:r>
        <w:rPr>
          <w:rFonts w:hint="eastAsia"/>
          <w:b w:val="0"/>
          <w:bCs w:val="0"/>
          <w:snapToGrid/>
          <w:color w:val="auto"/>
          <w:spacing w:val="-3"/>
          <w:szCs w:val="32"/>
          <w:highlight w:val="none"/>
          <w:lang w:val="en-US" w:eastAsia="zh"/>
        </w:rPr>
        <w:t>动态库</w:t>
      </w:r>
    </w:p>
    <w:p>
      <w:pPr>
        <w:adjustRightInd/>
        <w:snapToGrid/>
        <w:ind w:firstLine="0"/>
        <w:rPr>
          <w:rFonts w:cs="Times New Roman"/>
          <w:spacing w:val="-3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pacing w:val="-3"/>
          <w:szCs w:val="32"/>
          <w:highlight w:val="none"/>
        </w:rPr>
        <w:t>按照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eastAsia="zh"/>
        </w:rPr>
        <w:t>工信部提出的工业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</w:rPr>
        <w:t>中小企业规上“应改尽改”、规下“愿改尽改”的要求，结合不同行业特点、企业规模和数字化基础分级分类征集试点企业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eastAsia="zh"/>
        </w:rPr>
        <w:t>，通过专家评审等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val="en-US" w:eastAsia="zh-CN"/>
        </w:rPr>
        <w:t>方式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eastAsia="zh"/>
        </w:rPr>
        <w:t>，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</w:rPr>
        <w:t>选择数字化转型</w:t>
      </w:r>
      <w:r>
        <w:rPr>
          <w:rFonts w:hint="eastAsia" w:ascii="仿宋_GB2312" w:hAnsi="仿宋_GB2312" w:cs="仿宋_GB2312"/>
          <w:spacing w:val="-3"/>
          <w:szCs w:val="32"/>
          <w:highlight w:val="none"/>
          <w:lang w:val="en-US" w:eastAsia="zh-CN"/>
        </w:rPr>
        <w:t>基础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eastAsia="zh"/>
        </w:rPr>
        <w:t>好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</w:rPr>
        <w:t>作为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val="en-US" w:eastAsia="zh-CN"/>
        </w:rPr>
        <w:t>数字化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</w:rPr>
        <w:t>转型试点企业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eastAsia="zh-CN"/>
        </w:rPr>
        <w:t>，通过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eastAsia="zh"/>
        </w:rPr>
        <w:t>行业龙头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eastAsia="zh-CN"/>
        </w:rPr>
        <w:t>带动上下游企业、数字化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eastAsia="zh"/>
        </w:rPr>
        <w:t>转型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eastAsia="zh-CN"/>
        </w:rPr>
        <w:t>服务商发动企业等多渠道动员企业参与试点工作，建立试点企业库</w:t>
      </w:r>
      <w:r>
        <w:rPr>
          <w:rFonts w:hint="eastAsia" w:ascii="仿宋_GB2312" w:hAnsi="仿宋_GB2312" w:cs="仿宋_GB2312"/>
          <w:spacing w:val="-3"/>
          <w:szCs w:val="32"/>
          <w:highlight w:val="none"/>
          <w:lang w:val="en-US" w:eastAsia="zh-CN"/>
        </w:rPr>
        <w:t>并动态更新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</w:rPr>
        <w:t>。</w:t>
      </w:r>
      <w:r>
        <w:rPr>
          <w:rFonts w:hint="eastAsia" w:ascii="Times New Roman" w:hAnsi="Times New Roman" w:eastAsia="楷体_GB2312" w:cs="Times New Roman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  <w:t>（责任单位：市工信局</w:t>
      </w:r>
      <w:r>
        <w:rPr>
          <w:rFonts w:hint="eastAsia" w:eastAsia="楷体_GB2312" w:cs="Times New Roman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  <w:t>、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  <w:t>各区（市、县）人民政府、开发区管委会</w:t>
      </w:r>
      <w:r>
        <w:rPr>
          <w:rFonts w:hint="eastAsia" w:ascii="Times New Roman" w:hAnsi="Times New Roman" w:eastAsia="楷体_GB2312" w:cs="Times New Roman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  <w:t>）</w:t>
      </w:r>
    </w:p>
    <w:p>
      <w:pPr>
        <w:adjustRightInd/>
        <w:snapToGrid/>
        <w:ind w:firstLine="631"/>
        <w:rPr>
          <w:rFonts w:hint="default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</w:pPr>
      <w:r>
        <w:rPr>
          <w:rFonts w:cs="Times New Roman"/>
          <w:b/>
          <w:bCs/>
          <w:spacing w:val="-3"/>
          <w:szCs w:val="32"/>
          <w:highlight w:val="none"/>
        </w:rPr>
        <w:t>时间安排：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"/>
        </w:rPr>
        <w:t>2024年</w:t>
      </w:r>
      <w:r>
        <w:rPr>
          <w:rFonts w:hint="eastAsia" w:ascii="仿宋_GB2312" w:hAnsi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月-202</w:t>
      </w:r>
      <w:r>
        <w:rPr>
          <w:rFonts w:hint="eastAsia" w:ascii="仿宋_GB2312" w:hAnsi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年</w:t>
      </w:r>
      <w:r>
        <w:rPr>
          <w:rFonts w:hint="eastAsia" w:ascii="仿宋_GB2312" w:hAnsi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月，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"/>
        </w:rPr>
        <w:t>202</w:t>
      </w:r>
      <w:r>
        <w:rPr>
          <w:rFonts w:hint="eastAsia" w:ascii="仿宋_GB2312" w:hAnsi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"/>
        </w:rPr>
        <w:t>年</w:t>
      </w:r>
      <w:r>
        <w:rPr>
          <w:rFonts w:hint="eastAsia" w:ascii="仿宋_GB2312" w:hAnsi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"/>
        </w:rPr>
        <w:t>月前建立</w:t>
      </w:r>
      <w:r>
        <w:rPr>
          <w:rFonts w:hint="eastAsia" w:ascii="仿宋_GB2312" w:hAnsi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500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"/>
        </w:rPr>
        <w:t>家以上试点企业库</w:t>
      </w:r>
      <w:r>
        <w:rPr>
          <w:rFonts w:hint="eastAsia" w:ascii="仿宋_GB2312" w:hAnsi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，持续动态更新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"/>
        </w:rPr>
        <w:t>。</w:t>
      </w:r>
    </w:p>
    <w:p>
      <w:pPr>
        <w:pStyle w:val="3"/>
        <w:keepNext w:val="0"/>
        <w:keepLines w:val="0"/>
        <w:numPr>
          <w:ilvl w:val="0"/>
          <w:numId w:val="11"/>
        </w:numPr>
        <w:ind w:left="0" w:leftChars="0" w:firstLine="628" w:firstLineChars="200"/>
        <w:rPr>
          <w:b w:val="0"/>
          <w:bCs w:val="0"/>
          <w:snapToGrid/>
          <w:color w:val="auto"/>
          <w:spacing w:val="-3"/>
          <w:szCs w:val="32"/>
          <w:highlight w:val="none"/>
          <w:lang w:eastAsia="zh-CN"/>
        </w:rPr>
      </w:pPr>
      <w:r>
        <w:rPr>
          <w:rFonts w:hint="eastAsia"/>
          <w:b w:val="0"/>
          <w:bCs w:val="0"/>
          <w:snapToGrid/>
          <w:color w:val="auto"/>
          <w:spacing w:val="-3"/>
          <w:szCs w:val="32"/>
          <w:highlight w:val="none"/>
          <w:lang w:val="en-US" w:eastAsia="zh-CN"/>
        </w:rPr>
        <w:t>推进试点</w:t>
      </w:r>
      <w:r>
        <w:rPr>
          <w:b w:val="0"/>
          <w:bCs w:val="0"/>
          <w:snapToGrid/>
          <w:color w:val="auto"/>
          <w:spacing w:val="-3"/>
          <w:szCs w:val="32"/>
          <w:highlight w:val="none"/>
          <w:lang w:eastAsia="zh-CN"/>
        </w:rPr>
        <w:t>企业数字化</w:t>
      </w:r>
      <w:r>
        <w:rPr>
          <w:rFonts w:hint="default"/>
          <w:b w:val="0"/>
          <w:bCs w:val="0"/>
          <w:snapToGrid/>
          <w:color w:val="auto"/>
          <w:spacing w:val="-3"/>
          <w:szCs w:val="32"/>
          <w:highlight w:val="none"/>
          <w:lang w:val="en-US" w:eastAsia="zh-CN"/>
        </w:rPr>
        <w:t>改造</w:t>
      </w:r>
    </w:p>
    <w:p>
      <w:pPr>
        <w:adjustRightInd/>
        <w:snapToGrid/>
        <w:ind w:firstLine="628"/>
        <w:rPr>
          <w:rFonts w:cs="Times New Roman"/>
          <w:spacing w:val="-3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val="en-US" w:eastAsia="zh-CN"/>
        </w:rPr>
        <w:t>根据申报方案，按照不超过60%、最高不超过60万的标准，对试点企业数字化转型项目进行奖补。以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eastAsia="zh"/>
        </w:rPr>
        <w:t>试点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eastAsia="zh-CN"/>
        </w:rPr>
        <w:t>企业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val="en-US" w:eastAsia="zh-CN"/>
        </w:rPr>
        <w:t>数字化转型目标为核心，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</w:rPr>
        <w:t>充分发挥综合服务商和专业服务商作用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</w:rPr>
        <w:t>制定有针对性的数字化转型实施方案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eastAsia="zh"/>
        </w:rPr>
        <w:t>，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</w:rPr>
        <w:t>由专家委员会对实施方案进行评审论证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eastAsia="zh"/>
        </w:rPr>
        <w:t>。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</w:rPr>
        <w:t>按照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eastAsia="zh-CN"/>
        </w:rPr>
        <w:t>“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</w:rPr>
        <w:t>滚动摸底，分批实施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eastAsia="zh-CN"/>
        </w:rPr>
        <w:t>”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</w:rPr>
        <w:t>的方式，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eastAsia="zh"/>
        </w:rPr>
        <w:t>推进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</w:rPr>
        <w:t>试点企业项目立项、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val="en-US" w:eastAsia="zh-CN"/>
        </w:rPr>
        <w:t>数字化改造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</w:rPr>
        <w:t>等工作，不定期组织专家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val="en-US" w:eastAsia="zh-CN"/>
        </w:rPr>
        <w:t>委员会进行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</w:rPr>
        <w:t>现场抽查核验，对项目实施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val="en-US" w:eastAsia="zh-CN"/>
        </w:rPr>
        <w:t>情况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</w:rPr>
        <w:t>进行监督。组织专业机构开展实地测评及验收工作，出具验收报告和数字化水平认定结果。</w:t>
      </w:r>
      <w:r>
        <w:rPr>
          <w:rFonts w:hint="eastAsia" w:ascii="Times New Roman" w:hAnsi="Times New Roman" w:eastAsia="楷体_GB2312" w:cs="Times New Roman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  <w:t>（责任单位：市工信局</w:t>
      </w:r>
      <w:r>
        <w:rPr>
          <w:rFonts w:hint="eastAsia" w:eastAsia="楷体_GB2312" w:cs="Times New Roman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  <w:t>、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  <w:t>各区（市、县）人民政府、开发区管委会</w:t>
      </w:r>
      <w:r>
        <w:rPr>
          <w:rFonts w:hint="eastAsia" w:ascii="Times New Roman" w:hAnsi="Times New Roman" w:eastAsia="楷体_GB2312" w:cs="Times New Roman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  <w:t>）</w:t>
      </w:r>
    </w:p>
    <w:p>
      <w:pPr>
        <w:adjustRightInd/>
        <w:snapToGrid/>
        <w:ind w:firstLine="631"/>
        <w:rPr>
          <w:rFonts w:hint="default" w:cs="Times New Roman"/>
          <w:spacing w:val="-3"/>
          <w:szCs w:val="32"/>
          <w:highlight w:val="none"/>
          <w:lang w:val="en-US"/>
        </w:rPr>
      </w:pPr>
      <w:r>
        <w:rPr>
          <w:rFonts w:cs="Times New Roman"/>
          <w:b/>
          <w:bCs/>
          <w:spacing w:val="-3"/>
          <w:szCs w:val="32"/>
          <w:highlight w:val="none"/>
        </w:rPr>
        <w:t>时间安排：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eastAsia="zh"/>
        </w:rPr>
        <w:t>2024年</w:t>
      </w:r>
      <w:r>
        <w:rPr>
          <w:rFonts w:hint="eastAsia" w:ascii="仿宋_GB2312" w:hAnsi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eastAsia="zh"/>
        </w:rPr>
        <w:t>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-2026年5月，持续推动试点企业</w:t>
      </w:r>
      <w:r>
        <w:rPr>
          <w:rFonts w:hint="eastAsia" w:ascii="仿宋_GB2312" w:hAnsi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数字化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改造。</w:t>
      </w:r>
    </w:p>
    <w:p>
      <w:pPr>
        <w:pStyle w:val="3"/>
        <w:keepNext w:val="0"/>
        <w:keepLines w:val="0"/>
        <w:numPr>
          <w:ilvl w:val="0"/>
          <w:numId w:val="11"/>
        </w:numPr>
        <w:ind w:left="0" w:leftChars="0" w:firstLine="628" w:firstLineChars="200"/>
        <w:rPr>
          <w:b w:val="0"/>
          <w:bCs w:val="0"/>
          <w:snapToGrid/>
          <w:color w:val="auto"/>
          <w:spacing w:val="-3"/>
          <w:szCs w:val="32"/>
          <w:highlight w:val="none"/>
          <w:lang w:eastAsia="zh-CN"/>
        </w:rPr>
      </w:pPr>
      <w:r>
        <w:rPr>
          <w:b w:val="0"/>
          <w:bCs w:val="0"/>
          <w:snapToGrid/>
          <w:color w:val="auto"/>
          <w:spacing w:val="-3"/>
          <w:szCs w:val="32"/>
          <w:highlight w:val="none"/>
          <w:lang w:eastAsia="zh-CN"/>
        </w:rPr>
        <w:t>开展</w:t>
      </w:r>
      <w:r>
        <w:rPr>
          <w:rFonts w:hint="eastAsia"/>
          <w:b w:val="0"/>
          <w:bCs w:val="0"/>
          <w:snapToGrid/>
          <w:color w:val="auto"/>
          <w:spacing w:val="-3"/>
          <w:szCs w:val="32"/>
          <w:highlight w:val="none"/>
          <w:lang w:val="en-US" w:eastAsia="zh-CN"/>
        </w:rPr>
        <w:t>数字化转型</w:t>
      </w:r>
      <w:r>
        <w:rPr>
          <w:b w:val="0"/>
          <w:bCs w:val="0"/>
          <w:snapToGrid/>
          <w:color w:val="auto"/>
          <w:spacing w:val="-3"/>
          <w:szCs w:val="32"/>
          <w:highlight w:val="none"/>
          <w:lang w:eastAsia="zh-CN"/>
        </w:rPr>
        <w:t>培训</w:t>
      </w:r>
      <w:r>
        <w:rPr>
          <w:rFonts w:hint="eastAsia"/>
          <w:b w:val="0"/>
          <w:bCs w:val="0"/>
          <w:snapToGrid/>
          <w:color w:val="auto"/>
          <w:spacing w:val="-3"/>
          <w:szCs w:val="32"/>
          <w:highlight w:val="none"/>
          <w:lang w:eastAsia="zh-CN"/>
        </w:rPr>
        <w:t>及</w:t>
      </w:r>
      <w:r>
        <w:rPr>
          <w:rFonts w:hint="default"/>
          <w:b w:val="0"/>
          <w:bCs w:val="0"/>
          <w:snapToGrid/>
          <w:color w:val="auto"/>
          <w:spacing w:val="-3"/>
          <w:szCs w:val="32"/>
          <w:highlight w:val="none"/>
          <w:lang w:val="en-US" w:eastAsia="zh-CN"/>
        </w:rPr>
        <w:t>行业交流</w:t>
      </w:r>
      <w:r>
        <w:rPr>
          <w:b w:val="0"/>
          <w:bCs w:val="0"/>
          <w:snapToGrid/>
          <w:color w:val="auto"/>
          <w:spacing w:val="-3"/>
          <w:szCs w:val="32"/>
          <w:highlight w:val="none"/>
          <w:lang w:eastAsia="zh-CN"/>
        </w:rPr>
        <w:t>活动</w:t>
      </w:r>
    </w:p>
    <w:p>
      <w:pPr>
        <w:adjustRightInd/>
        <w:snapToGrid/>
        <w:ind w:firstLine="628"/>
        <w:rPr>
          <w:rFonts w:cs="Times New Roman"/>
          <w:spacing w:val="-3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pacing w:val="-3"/>
          <w:szCs w:val="32"/>
          <w:highlight w:val="none"/>
        </w:rPr>
        <w:t>围绕六个细分行业，分行业、分层次、分区域开展政策宣贯、讲座培训、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eastAsia="zh"/>
        </w:rPr>
        <w:t>供需对接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</w:rPr>
        <w:t>等24场系列活动，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val="en-US" w:eastAsia="zh-CN"/>
        </w:rPr>
        <w:t>开展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</w:rPr>
        <w:t>数字化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val="en-US" w:eastAsia="zh-CN"/>
        </w:rPr>
        <w:t>转型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</w:rPr>
        <w:t>培训不少于400人次。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val="en-US" w:eastAsia="zh-CN"/>
        </w:rPr>
        <w:t>通过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</w:rPr>
        <w:t>论坛路演、现场观摩、交流研讨等形式，面向中小企业管理者、核心技术骨干等进行政策解读、战略前瞻、问题拆解、案例剖析等，提供企业发展建议，充分调动数字化服务商和试点企业积极性，统筹各类资源优化供给、促进供需对接、展示优秀成果等。</w:t>
      </w:r>
      <w:r>
        <w:rPr>
          <w:rFonts w:hint="eastAsia" w:ascii="Times New Roman" w:hAnsi="Times New Roman" w:eastAsia="楷体_GB2312" w:cs="Times New Roman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  <w:t>（责任单位：市工信局</w:t>
      </w:r>
      <w:r>
        <w:rPr>
          <w:rFonts w:hint="eastAsia" w:eastAsia="楷体_GB2312" w:cs="Times New Roman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  <w:t>、</w:t>
      </w:r>
      <w:r>
        <w:rPr>
          <w:rFonts w:hint="eastAsia" w:eastAsia="楷体_GB2312" w:cs="Times New Roman"/>
          <w:color w:val="auto"/>
          <w:sz w:val="32"/>
          <w:szCs w:val="32"/>
          <w:highlight w:val="none"/>
          <w:shd w:val="clear" w:color="auto" w:fill="FFFFFF"/>
          <w:lang w:val="en-US" w:eastAsia="zh" w:bidi="ar-SA"/>
        </w:rPr>
        <w:t>市人社局</w:t>
      </w:r>
      <w:r>
        <w:rPr>
          <w:rFonts w:hint="eastAsia" w:eastAsia="楷体_GB2312" w:cs="Times New Roman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  <w:t>、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  <w:t>各区（市、县）人民政府、开发区管委会</w:t>
      </w:r>
      <w:r>
        <w:rPr>
          <w:rFonts w:hint="eastAsia" w:ascii="Times New Roman" w:hAnsi="Times New Roman" w:eastAsia="楷体_GB2312" w:cs="Times New Roman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  <w:t>）</w:t>
      </w:r>
    </w:p>
    <w:p>
      <w:pPr>
        <w:widowControl/>
        <w:adjustRightInd/>
        <w:snapToGrid/>
        <w:spacing w:line="240" w:lineRule="auto"/>
        <w:ind w:firstLine="631" w:firstLineChars="0"/>
        <w:jc w:val="left"/>
        <w:rPr>
          <w:rFonts w:cs="Times New Roman"/>
          <w:spacing w:val="-3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pacing w:val="-3"/>
          <w:szCs w:val="32"/>
          <w:highlight w:val="none"/>
        </w:rPr>
        <w:t>时间安排：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eastAsia="zh"/>
        </w:rPr>
        <w:t>2024年11月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-2026年9月，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eastAsia="zh"/>
        </w:rPr>
        <w:t>分行业、分区域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开展数字化转型活动</w:t>
      </w:r>
      <w:r>
        <w:rPr>
          <w:rFonts w:hint="eastAsia" w:ascii="仿宋_GB2312" w:hAnsi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val="en-US" w:eastAsia="zh-CN"/>
        </w:rPr>
        <w:t>2024年11</w:t>
      </w:r>
      <w:r>
        <w:rPr>
          <w:rFonts w:hint="eastAsia" w:ascii="仿宋_GB2312" w:hAnsi="仿宋_GB2312" w:cs="仿宋_GB2312"/>
          <w:spacing w:val="-3"/>
          <w:szCs w:val="32"/>
          <w:highlight w:val="none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val="en-US" w:eastAsia="zh-CN"/>
        </w:rPr>
        <w:t>开展第一场，后续每月开展1场。</w:t>
      </w:r>
    </w:p>
    <w:p>
      <w:pPr>
        <w:pStyle w:val="3"/>
        <w:keepNext w:val="0"/>
        <w:keepLines w:val="0"/>
        <w:numPr>
          <w:ilvl w:val="0"/>
          <w:numId w:val="11"/>
        </w:numPr>
        <w:ind w:left="0" w:leftChars="0" w:firstLine="628" w:firstLineChars="200"/>
        <w:rPr>
          <w:b w:val="0"/>
          <w:bCs w:val="0"/>
          <w:snapToGrid/>
          <w:color w:val="auto"/>
          <w:spacing w:val="-3"/>
          <w:szCs w:val="32"/>
          <w:highlight w:val="none"/>
          <w:lang w:eastAsia="zh-CN"/>
        </w:rPr>
      </w:pPr>
      <w:bookmarkStart w:id="4" w:name="OLE_LINK9"/>
      <w:r>
        <w:rPr>
          <w:b w:val="0"/>
          <w:bCs w:val="0"/>
          <w:snapToGrid/>
          <w:color w:val="auto"/>
          <w:spacing w:val="-3"/>
          <w:szCs w:val="32"/>
          <w:highlight w:val="none"/>
          <w:lang w:eastAsia="zh-CN"/>
        </w:rPr>
        <w:t>打造标杆示范并开展复制推广</w:t>
      </w:r>
    </w:p>
    <w:bookmarkEnd w:id="4"/>
    <w:p>
      <w:pPr>
        <w:adjustRightInd/>
        <w:snapToGrid/>
        <w:ind w:firstLine="640"/>
        <w:rPr>
          <w:rFonts w:cs="Times New Roman"/>
          <w:spacing w:val="-3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pacing w:val="-3"/>
          <w:szCs w:val="32"/>
          <w:highlight w:val="none"/>
        </w:rPr>
        <w:t>编制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eastAsia="zh"/>
        </w:rPr>
        <w:t>贵阳市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</w:rPr>
        <w:t>中小企业数字化转型典型案例集，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val="en-US" w:eastAsia="zh-CN"/>
        </w:rPr>
        <w:t>选择基础条件好、转型效果突出、投入产出比高、可复制性强的试点企业作为转型样板。在试点实施期内，打造数字化转型成效显著的标杆企业30家，复制推广到60家企业；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</w:rPr>
        <w:t>60个优秀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eastAsia="zh-CN"/>
        </w:rPr>
        <w:t>“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</w:rPr>
        <w:t>小快轻准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eastAsia="zh-CN"/>
        </w:rPr>
        <w:t>”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</w:rPr>
        <w:t>数字化解决方案和产品，给予奖补资金鼓励和表彰推广；推动行业内中小企业“看样学样”。</w:t>
      </w:r>
      <w:r>
        <w:rPr>
          <w:rFonts w:hint="eastAsia" w:ascii="Times New Roman" w:hAnsi="Times New Roman" w:eastAsia="楷体_GB2312" w:cs="Times New Roman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  <w:t>（责任单位：市工信局</w:t>
      </w:r>
      <w:r>
        <w:rPr>
          <w:rFonts w:hint="eastAsia" w:eastAsia="楷体_GB2312" w:cs="Times New Roman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  <w:t>、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  <w:t>各区（市、县）人民政府、开发区管委会</w:t>
      </w:r>
      <w:r>
        <w:rPr>
          <w:rFonts w:hint="eastAsia" w:ascii="Times New Roman" w:hAnsi="Times New Roman" w:eastAsia="楷体_GB2312" w:cs="Times New Roman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  <w:t>）</w:t>
      </w:r>
    </w:p>
    <w:p>
      <w:pPr>
        <w:adjustRightInd/>
        <w:snapToGrid/>
        <w:ind w:firstLine="631"/>
        <w:rPr>
          <w:rFonts w:hint="default" w:eastAsia="仿宋_GB2312" w:cs="Times New Roman"/>
          <w:spacing w:val="-3"/>
          <w:szCs w:val="32"/>
          <w:highlight w:val="none"/>
          <w:lang w:val="en-US" w:eastAsia="zh-CN"/>
        </w:rPr>
      </w:pPr>
      <w:r>
        <w:rPr>
          <w:rFonts w:cs="Times New Roman"/>
          <w:b/>
          <w:bCs/>
          <w:spacing w:val="-3"/>
          <w:szCs w:val="32"/>
          <w:highlight w:val="none"/>
        </w:rPr>
        <w:t>时间安排：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"/>
        </w:rPr>
        <w:t>2025年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"/>
        </w:rPr>
        <w:t>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-2026年</w:t>
      </w:r>
      <w:r>
        <w:rPr>
          <w:rFonts w:hint="eastAsia" w:ascii="仿宋_GB2312" w:hAnsi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月，分三批开展标杆示范评选。2025年4月评选第一批，202</w:t>
      </w:r>
      <w:r>
        <w:rPr>
          <w:rFonts w:hint="eastAsia" w:ascii="仿宋_GB2312" w:hAnsi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年</w:t>
      </w:r>
      <w:r>
        <w:rPr>
          <w:rFonts w:hint="eastAsia" w:ascii="仿宋_GB2312" w:hAnsi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月</w:t>
      </w:r>
      <w:r>
        <w:rPr>
          <w:rFonts w:hint="eastAsia" w:ascii="仿宋_GB2312" w:hAnsi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评选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第二批</w:t>
      </w:r>
      <w:r>
        <w:rPr>
          <w:rFonts w:hint="eastAsia" w:ascii="仿宋_GB2312" w:hAnsi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2026年</w:t>
      </w:r>
      <w:r>
        <w:rPr>
          <w:rFonts w:hint="eastAsia" w:ascii="仿宋_GB2312" w:hAnsi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月</w:t>
      </w:r>
      <w:r>
        <w:rPr>
          <w:rFonts w:hint="eastAsia" w:ascii="仿宋_GB2312" w:hAnsi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评选第三批。</w:t>
      </w:r>
    </w:p>
    <w:p>
      <w:pPr>
        <w:pStyle w:val="3"/>
        <w:keepNext w:val="0"/>
        <w:keepLines w:val="0"/>
        <w:numPr>
          <w:ilvl w:val="0"/>
          <w:numId w:val="11"/>
        </w:numPr>
        <w:ind w:left="0" w:leftChars="0" w:firstLine="628" w:firstLineChars="200"/>
        <w:rPr>
          <w:b w:val="0"/>
          <w:bCs w:val="0"/>
          <w:snapToGrid/>
          <w:color w:val="auto"/>
          <w:spacing w:val="-3"/>
          <w:szCs w:val="32"/>
          <w:highlight w:val="none"/>
          <w:lang w:eastAsia="zh-CN"/>
        </w:rPr>
      </w:pPr>
      <w:r>
        <w:rPr>
          <w:b w:val="0"/>
          <w:bCs w:val="0"/>
          <w:snapToGrid/>
          <w:color w:val="auto"/>
          <w:spacing w:val="-3"/>
          <w:szCs w:val="32"/>
          <w:highlight w:val="none"/>
          <w:lang w:eastAsia="zh-CN"/>
        </w:rPr>
        <w:t>总结经验编制数字化转型指南</w:t>
      </w:r>
      <w:r>
        <w:rPr>
          <w:rFonts w:hint="eastAsia"/>
          <w:b w:val="0"/>
          <w:bCs w:val="0"/>
          <w:snapToGrid/>
          <w:color w:val="auto"/>
          <w:spacing w:val="-3"/>
          <w:szCs w:val="32"/>
          <w:highlight w:val="none"/>
          <w:lang w:val="en-US" w:eastAsia="zh-CN"/>
        </w:rPr>
        <w:t>及评测指南</w:t>
      </w:r>
    </w:p>
    <w:p>
      <w:pPr>
        <w:adjustRightInd/>
        <w:snapToGrid/>
        <w:ind w:firstLine="628"/>
        <w:rPr>
          <w:rFonts w:cs="Times New Roman"/>
          <w:spacing w:val="-3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pacing w:val="-3"/>
          <w:szCs w:val="32"/>
          <w:highlight w:val="none"/>
        </w:rPr>
        <w:t>开展细分行业中小企业数字化转型路径研究，</w:t>
      </w:r>
      <w:r>
        <w:rPr>
          <w:rFonts w:hint="eastAsia" w:ascii="仿宋_GB2312" w:hAnsi="仿宋_GB2312" w:cs="仿宋_GB2312"/>
          <w:spacing w:val="-3"/>
          <w:szCs w:val="32"/>
          <w:highlight w:val="none"/>
          <w:lang w:eastAsia="zh-CN"/>
        </w:rPr>
        <w:t>总结</w:t>
      </w:r>
      <w:r>
        <w:rPr>
          <w:rFonts w:hint="eastAsia" w:ascii="仿宋_GB2312" w:hAnsi="仿宋_GB2312" w:cs="仿宋_GB2312"/>
          <w:spacing w:val="-3"/>
          <w:szCs w:val="32"/>
          <w:highlight w:val="none"/>
          <w:lang w:val="en-US" w:eastAsia="zh-CN"/>
        </w:rPr>
        <w:t>形成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</w:rPr>
        <w:t>可操作性强的</w:t>
      </w:r>
      <w:r>
        <w:rPr>
          <w:rFonts w:hint="eastAsia" w:ascii="仿宋_GB2312" w:hAnsi="仿宋_GB2312" w:cs="仿宋_GB2312"/>
          <w:spacing w:val="-3"/>
          <w:szCs w:val="32"/>
          <w:highlight w:val="none"/>
          <w:lang w:eastAsia="zh-CN"/>
        </w:rPr>
        <w:t>《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</w:rPr>
        <w:t>数字化转型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val="en-US" w:eastAsia="zh-CN"/>
        </w:rPr>
        <w:t>指南</w:t>
      </w:r>
      <w:r>
        <w:rPr>
          <w:rFonts w:hint="eastAsia" w:ascii="仿宋_GB2312" w:hAnsi="仿宋_GB2312" w:cs="仿宋_GB2312"/>
          <w:spacing w:val="-3"/>
          <w:szCs w:val="32"/>
          <w:highlight w:val="none"/>
          <w:lang w:val="en-US" w:eastAsia="zh-CN"/>
        </w:rPr>
        <w:t>》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val="en-US" w:eastAsia="zh-CN"/>
        </w:rPr>
        <w:t>及</w:t>
      </w:r>
      <w:r>
        <w:rPr>
          <w:rFonts w:hint="eastAsia" w:ascii="仿宋_GB2312" w:hAnsi="仿宋_GB2312" w:cs="仿宋_GB2312"/>
          <w:spacing w:val="-3"/>
          <w:szCs w:val="32"/>
          <w:highlight w:val="none"/>
          <w:lang w:val="en-US" w:eastAsia="zh-CN"/>
        </w:rPr>
        <w:t>《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</w:rPr>
        <w:t>数字化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val="en-US" w:eastAsia="zh-CN"/>
        </w:rPr>
        <w:t>评测指南</w:t>
      </w:r>
      <w:r>
        <w:rPr>
          <w:rFonts w:hint="eastAsia" w:ascii="仿宋_GB2312" w:hAnsi="仿宋_GB2312" w:cs="仿宋_GB2312"/>
          <w:spacing w:val="-3"/>
          <w:szCs w:val="32"/>
          <w:highlight w:val="none"/>
          <w:lang w:val="en-US" w:eastAsia="zh-CN"/>
        </w:rPr>
        <w:t>》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</w:rPr>
        <w:t>，并推动相关标准建设，指导中小企业开展数字化转型样本复制推广；总结提炼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eastAsia="zh-CN"/>
        </w:rPr>
        <w:t>“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</w:rPr>
        <w:t>链式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eastAsia="zh-CN"/>
        </w:rPr>
        <w:t>”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</w:rPr>
        <w:t>数字化转型经验做法，编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val="en-US" w:eastAsia="zh-CN"/>
        </w:rPr>
        <w:t>制细分行业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eastAsia="zh-CN"/>
        </w:rPr>
        <w:t>“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</w:rPr>
        <w:t>链式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eastAsia="zh-CN"/>
        </w:rPr>
        <w:t>”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</w:rPr>
        <w:t>数字化转型典型案例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val="en-US" w:eastAsia="zh-CN"/>
        </w:rPr>
        <w:t>集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</w:rPr>
        <w:t>，为试点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val="en-US" w:eastAsia="zh-CN"/>
        </w:rPr>
        <w:t>工作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</w:rPr>
        <w:t>提供科学、详实、易执行的细化工作方案，赋能行业复制推广。</w:t>
      </w:r>
      <w:r>
        <w:rPr>
          <w:rFonts w:hint="eastAsia" w:ascii="Times New Roman" w:hAnsi="Times New Roman" w:eastAsia="楷体_GB2312" w:cs="Times New Roman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  <w:t>（责任单位：市工信局</w:t>
      </w:r>
      <w:r>
        <w:rPr>
          <w:rFonts w:hint="eastAsia" w:eastAsia="楷体_GB2312" w:cs="Times New Roman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  <w:t>）</w:t>
      </w:r>
    </w:p>
    <w:p>
      <w:pPr>
        <w:adjustRightInd/>
        <w:snapToGrid/>
        <w:ind w:firstLine="631"/>
        <w:rPr>
          <w:rFonts w:cs="Times New Roman"/>
          <w:spacing w:val="-3"/>
          <w:szCs w:val="32"/>
          <w:highlight w:val="none"/>
        </w:rPr>
      </w:pPr>
      <w:r>
        <w:rPr>
          <w:rFonts w:cs="Times New Roman"/>
          <w:b/>
          <w:bCs/>
          <w:spacing w:val="-3"/>
          <w:szCs w:val="32"/>
          <w:highlight w:val="none"/>
        </w:rPr>
        <w:t>时间安排：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eastAsia="zh"/>
        </w:rPr>
        <w:t>2026年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eastAsia="zh"/>
        </w:rPr>
        <w:t>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形成各细分行业</w:t>
      </w:r>
      <w:r>
        <w:rPr>
          <w:rFonts w:hint="eastAsia" w:ascii="仿宋_GB2312" w:hAnsi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数字化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转型</w:t>
      </w:r>
      <w:r>
        <w:rPr>
          <w:rFonts w:hint="eastAsia" w:ascii="仿宋_GB2312" w:hAnsi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指南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val="en-US" w:eastAsia="zh-CN"/>
        </w:rPr>
        <w:t>和评测指南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-3"/>
          <w:sz w:val="32"/>
          <w:szCs w:val="32"/>
          <w:highlight w:val="none"/>
          <w:shd w:val="clear"/>
          <w:lang w:eastAsia="zh"/>
        </w:rPr>
        <w:t>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32"/>
        <w:textAlignment w:val="auto"/>
        <w:outlineLvl w:val="0"/>
        <w:rPr>
          <w:rFonts w:eastAsia="黑体" w:cs="Times New Roman"/>
          <w:spacing w:val="-2"/>
          <w:szCs w:val="32"/>
          <w:highlight w:val="none"/>
        </w:rPr>
      </w:pPr>
      <w:r>
        <w:rPr>
          <w:rFonts w:eastAsia="黑体" w:cs="Times New Roman"/>
          <w:spacing w:val="-2"/>
          <w:szCs w:val="32"/>
          <w:highlight w:val="none"/>
        </w:rPr>
        <w:t>四、保障措施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0"/>
        </w:tabs>
        <w:spacing w:before="0" w:beforeAutospacing="0" w:after="0" w:afterAutospacing="0"/>
        <w:ind w:left="0" w:right="0" w:firstLine="628" w:firstLineChars="200"/>
        <w:jc w:val="both"/>
        <w:outlineLvl w:val="1"/>
        <w:rPr>
          <w:rFonts w:hint="eastAsia" w:eastAsia="楷体_GB2312" w:cs="Times New Roman"/>
          <w:snapToGrid/>
          <w:color w:val="auto"/>
          <w:spacing w:val="0"/>
          <w:szCs w:val="32"/>
          <w:highlight w:val="none"/>
          <w:shd w:val="clear" w:color="auto" w:fill="FFFFFF"/>
          <w:lang w:eastAsia="zh-CN"/>
        </w:rPr>
      </w:pPr>
      <w:bookmarkStart w:id="5" w:name="OLE_LINK10"/>
      <w:r>
        <w:rPr>
          <w:rFonts w:hint="eastAsia" w:ascii="Times New Roman" w:hAnsi="Times New Roman" w:eastAsia="楷体_GB2312" w:cs="Times New Roman"/>
          <w:b w:val="0"/>
          <w:bCs w:val="0"/>
          <w:snapToGrid/>
          <w:color w:val="auto"/>
          <w:spacing w:val="-3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楷体_GB2312" w:cs="Times New Roman"/>
          <w:b w:val="0"/>
          <w:bCs w:val="0"/>
          <w:snapToGrid/>
          <w:color w:val="auto"/>
          <w:spacing w:val="-3"/>
          <w:szCs w:val="32"/>
          <w:highlight w:val="none"/>
          <w:lang w:val="en-US" w:eastAsia="zh-CN"/>
        </w:rPr>
        <w:t>一</w:t>
      </w:r>
      <w:r>
        <w:rPr>
          <w:rFonts w:hint="eastAsia" w:ascii="Times New Roman" w:hAnsi="Times New Roman" w:eastAsia="楷体_GB2312" w:cs="Times New Roman"/>
          <w:b w:val="0"/>
          <w:bCs w:val="0"/>
          <w:snapToGrid/>
          <w:color w:val="auto"/>
          <w:spacing w:val="-3"/>
          <w:szCs w:val="32"/>
          <w:highlight w:val="none"/>
          <w:lang w:eastAsia="zh-CN"/>
        </w:rPr>
        <w:t>）</w:t>
      </w:r>
      <w:bookmarkEnd w:id="5"/>
      <w:r>
        <w:rPr>
          <w:rFonts w:hint="eastAsia" w:ascii="Times New Roman" w:hAnsi="Times New Roman" w:eastAsia="楷体_GB2312" w:cs="Times New Roman"/>
          <w:b w:val="0"/>
          <w:bCs w:val="0"/>
          <w:snapToGrid/>
          <w:color w:val="auto"/>
          <w:spacing w:val="-3"/>
          <w:szCs w:val="32"/>
          <w:highlight w:val="none"/>
          <w:lang w:eastAsia="zh-CN"/>
        </w:rPr>
        <w:t>加强组织领导</w:t>
      </w:r>
      <w:r>
        <w:rPr>
          <w:rFonts w:hint="eastAsia" w:ascii="楷体_GB2312" w:hAnsi="楷体_GB2312" w:eastAsia="楷体_GB2312" w:cs="楷体_GB2312"/>
          <w:b w:val="0"/>
          <w:bCs w:val="0"/>
          <w:snapToGrid/>
          <w:color w:val="auto"/>
          <w:spacing w:val="-3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eastAsia="zh-CN"/>
        </w:rPr>
        <w:t>建立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val="en-US" w:eastAsia="zh-CN"/>
        </w:rPr>
        <w:t>市政府领导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eastAsia="zh-CN"/>
        </w:rPr>
        <w:t>为召集人，市直相关部门以及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val="en-US" w:eastAsia="zh-CN"/>
        </w:rPr>
        <w:t>各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eastAsia="zh-CN"/>
        </w:rPr>
        <w:t>区（市、县、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val="en-US" w:eastAsia="zh-CN"/>
        </w:rPr>
        <w:t>开发区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eastAsia="zh-CN"/>
        </w:rPr>
        <w:t>）负责人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val="en-US" w:eastAsia="zh-CN"/>
        </w:rPr>
        <w:t>参与的联席工作机制</w:t>
      </w:r>
      <w:r>
        <w:rPr>
          <w:rFonts w:hint="eastAsia" w:ascii="仿宋_GB2312" w:hAnsi="仿宋_GB2312" w:cs="仿宋_GB2312"/>
          <w:spacing w:val="-3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val="en-US" w:eastAsia="zh-CN"/>
        </w:rPr>
        <w:t>设立中小企业数字化转型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eastAsia="zh-CN"/>
        </w:rPr>
        <w:t>工作办公室</w:t>
      </w:r>
      <w:r>
        <w:rPr>
          <w:rFonts w:hint="eastAsia" w:ascii="仿宋_GB2312" w:hAnsi="仿宋_GB2312" w:cs="仿宋_GB2312"/>
          <w:spacing w:val="-3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eastAsia="zh-CN"/>
        </w:rPr>
        <w:t>办公室设在市工信局，由市工信局，相关区（市、县）、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val="en-US" w:eastAsia="zh-CN"/>
        </w:rPr>
        <w:t>开发区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eastAsia="zh-CN"/>
        </w:rPr>
        <w:t>工信部门安排专人组成，承担专项工作中各项任务的统筹协调、推进落实、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val="en-US" w:eastAsia="zh-CN"/>
        </w:rPr>
        <w:t>监督考核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eastAsia="zh-CN"/>
        </w:rPr>
        <w:t>、绩效评估、补贴发放等具体事宜。</w:t>
      </w:r>
      <w:r>
        <w:rPr>
          <w:rFonts w:hint="eastAsia" w:ascii="Times New Roman" w:hAnsi="Times New Roman" w:eastAsia="楷体_GB2312" w:cs="Times New Roman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  <w:t>（责任单位：市工信局</w:t>
      </w:r>
      <w:r>
        <w:rPr>
          <w:rFonts w:hint="eastAsia" w:cs="Times New Roman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  <w:t>、</w:t>
      </w:r>
      <w:r>
        <w:rPr>
          <w:rFonts w:hint="eastAsia" w:eastAsia="楷体_GB2312" w:cs="Times New Roman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  <w:t>市财政局、市直相关部门、</w:t>
      </w:r>
      <w:r>
        <w:rPr>
          <w:rFonts w:hint="eastAsia" w:ascii="Times New Roman" w:hAnsi="Times New Roman" w:eastAsia="楷体_GB2312" w:cs="Times New Roman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各区（市、县）人民政府、开发区管委会</w:t>
      </w:r>
      <w:r>
        <w:rPr>
          <w:rFonts w:hint="eastAsia" w:eastAsia="楷体_GB2312" w:cs="Times New Roman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  <w:t>）</w:t>
      </w:r>
    </w:p>
    <w:p>
      <w:pPr>
        <w:pStyle w:val="3"/>
        <w:keepNext w:val="0"/>
        <w:keepLines w:val="0"/>
        <w:numPr>
          <w:ilvl w:val="0"/>
          <w:numId w:val="0"/>
        </w:numPr>
        <w:ind w:firstLine="628" w:firstLineChars="200"/>
        <w:rPr>
          <w:rFonts w:eastAsia="仿宋_GB2312"/>
          <w:snapToGrid/>
          <w:color w:val="auto"/>
          <w:spacing w:val="-2"/>
          <w:szCs w:val="32"/>
          <w:highlight w:val="none"/>
          <w:lang w:eastAsia="zh-CN"/>
        </w:rPr>
      </w:pPr>
      <w:r>
        <w:rPr>
          <w:rFonts w:hint="eastAsia"/>
          <w:b w:val="0"/>
          <w:bCs w:val="0"/>
          <w:snapToGrid/>
          <w:color w:val="auto"/>
          <w:spacing w:val="-3"/>
          <w:szCs w:val="32"/>
          <w:highlight w:val="none"/>
          <w:lang w:eastAsia="zh-CN"/>
        </w:rPr>
        <w:t>（</w:t>
      </w:r>
      <w:r>
        <w:rPr>
          <w:rFonts w:hint="eastAsia"/>
          <w:b w:val="0"/>
          <w:bCs w:val="0"/>
          <w:snapToGrid/>
          <w:color w:val="auto"/>
          <w:spacing w:val="-3"/>
          <w:szCs w:val="32"/>
          <w:highlight w:val="none"/>
          <w:lang w:val="en-US" w:eastAsia="zh-CN"/>
        </w:rPr>
        <w:t>二</w:t>
      </w:r>
      <w:r>
        <w:rPr>
          <w:rFonts w:hint="eastAsia"/>
          <w:b w:val="0"/>
          <w:bCs w:val="0"/>
          <w:snapToGrid/>
          <w:color w:val="auto"/>
          <w:spacing w:val="-3"/>
          <w:szCs w:val="32"/>
          <w:highlight w:val="none"/>
          <w:lang w:eastAsia="zh-CN"/>
        </w:rPr>
        <w:t>）强化监督考核。</w:t>
      </w:r>
      <w:r>
        <w:rPr>
          <w:rFonts w:hint="eastAsia" w:ascii="仿宋_GB2312" w:hAnsi="仿宋_GB2312" w:eastAsia="仿宋_GB2312" w:cs="仿宋_GB2312"/>
          <w:snapToGrid/>
          <w:color w:val="auto"/>
          <w:spacing w:val="-3"/>
          <w:kern w:val="2"/>
          <w:sz w:val="32"/>
          <w:szCs w:val="32"/>
          <w:highlight w:val="none"/>
          <w:lang w:val="en-US" w:eastAsia="zh-CN" w:bidi="ar-SA"/>
        </w:rPr>
        <w:t>建立月、季度、半年、全年情况通报制度，强化责任单位绩效目标管理，建立健全服务商遴选、企业诊断和实施、转型标杆和典型案例遴选等工作的绩效评价和考核验收机制，加强项目实施的全过程跟踪检查，定期研判分析、协调解决问题。</w:t>
      </w:r>
      <w:r>
        <w:rPr>
          <w:rFonts w:hint="eastAsia" w:ascii="Times New Roman" w:hAnsi="Times New Roman" w:eastAsia="楷体_GB2312" w:cs="Times New Roman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  <w:t>（责任单位：市工信局</w:t>
      </w:r>
      <w:r>
        <w:rPr>
          <w:rFonts w:hint="eastAsia" w:eastAsia="楷体_GB2312" w:cs="Times New Roman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  <w:t>）</w:t>
      </w:r>
    </w:p>
    <w:p>
      <w:pPr>
        <w:pStyle w:val="3"/>
        <w:keepNext w:val="0"/>
        <w:keepLines w:val="0"/>
        <w:numPr>
          <w:ilvl w:val="0"/>
          <w:numId w:val="0"/>
        </w:numPr>
        <w:ind w:firstLine="628" w:firstLineChars="200"/>
        <w:rPr>
          <w:rFonts w:eastAsia="仿宋_GB2312"/>
          <w:snapToGrid/>
          <w:color w:val="auto"/>
          <w:spacing w:val="-2"/>
          <w:szCs w:val="32"/>
          <w:highlight w:val="none"/>
          <w:lang w:eastAsia="zh-CN"/>
        </w:rPr>
      </w:pPr>
      <w:r>
        <w:rPr>
          <w:rFonts w:hint="eastAsia"/>
          <w:b w:val="0"/>
          <w:bCs w:val="0"/>
          <w:snapToGrid/>
          <w:color w:val="auto"/>
          <w:spacing w:val="-3"/>
          <w:szCs w:val="32"/>
          <w:highlight w:val="none"/>
          <w:lang w:eastAsia="zh-CN"/>
        </w:rPr>
        <w:t>（</w:t>
      </w:r>
      <w:r>
        <w:rPr>
          <w:rFonts w:hint="eastAsia"/>
          <w:b w:val="0"/>
          <w:bCs w:val="0"/>
          <w:snapToGrid/>
          <w:color w:val="auto"/>
          <w:spacing w:val="-3"/>
          <w:szCs w:val="32"/>
          <w:highlight w:val="none"/>
          <w:lang w:val="en-US" w:eastAsia="zh-CN"/>
        </w:rPr>
        <w:t>三</w:t>
      </w:r>
      <w:r>
        <w:rPr>
          <w:rFonts w:hint="eastAsia"/>
          <w:b w:val="0"/>
          <w:bCs w:val="0"/>
          <w:snapToGrid/>
          <w:color w:val="auto"/>
          <w:spacing w:val="-3"/>
          <w:szCs w:val="32"/>
          <w:highlight w:val="none"/>
          <w:lang w:eastAsia="zh-CN"/>
        </w:rPr>
        <w:t>）完善评测验收机制。</w:t>
      </w:r>
      <w:r>
        <w:rPr>
          <w:rFonts w:hint="eastAsia" w:ascii="仿宋_GB2312" w:hAnsi="仿宋_GB2312" w:eastAsia="仿宋_GB2312" w:cs="仿宋_GB2312"/>
          <w:snapToGrid/>
          <w:color w:val="auto"/>
          <w:spacing w:val="-3"/>
          <w:kern w:val="2"/>
          <w:sz w:val="32"/>
          <w:szCs w:val="32"/>
          <w:highlight w:val="none"/>
          <w:lang w:val="en-US" w:eastAsia="zh-CN" w:bidi="ar-SA"/>
        </w:rPr>
        <w:t>建立评测验收机制，加强对中小企业数字化改造的项目质量把控，保障各方合法权益。根据工业和信息化部发布的最新版中小企业数字化水平评测指标，对改造完成后的企业进行评测，确保数字化服务商帮助企业实施改造后达到二级及以上水平。</w:t>
      </w:r>
      <w:r>
        <w:rPr>
          <w:rFonts w:hint="eastAsia" w:ascii="Times New Roman" w:hAnsi="Times New Roman" w:eastAsia="楷体_GB2312" w:cs="Times New Roman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  <w:t>（责任单位：市工信局</w:t>
      </w:r>
      <w:r>
        <w:rPr>
          <w:rFonts w:hint="eastAsia" w:eastAsia="楷体_GB2312" w:cs="Times New Roman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  <w:t>）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0"/>
        </w:tabs>
        <w:spacing w:before="0" w:beforeAutospacing="0" w:after="0" w:afterAutospacing="0"/>
        <w:ind w:left="0" w:right="0" w:firstLine="628" w:firstLineChars="200"/>
        <w:jc w:val="both"/>
        <w:outlineLvl w:val="1"/>
        <w:rPr>
          <w:rFonts w:hint="eastAsia" w:ascii="楷体_GB2312" w:hAnsi="楷体_GB2312" w:eastAsia="楷体_GB2312" w:cs="楷体_GB2312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eastAsia" w:eastAsia="楷体_GB2312" w:cs="Times New Roman"/>
          <w:b w:val="0"/>
          <w:bCs w:val="0"/>
          <w:snapToGrid/>
          <w:color w:val="auto"/>
          <w:spacing w:val="-3"/>
          <w:szCs w:val="32"/>
          <w:highlight w:val="none"/>
          <w:lang w:eastAsia="zh-CN"/>
        </w:rPr>
        <w:t>（</w:t>
      </w:r>
      <w:r>
        <w:rPr>
          <w:rFonts w:hint="eastAsia" w:eastAsia="楷体_GB2312" w:cs="Times New Roman"/>
          <w:b w:val="0"/>
          <w:bCs w:val="0"/>
          <w:snapToGrid/>
          <w:color w:val="auto"/>
          <w:spacing w:val="-3"/>
          <w:szCs w:val="32"/>
          <w:highlight w:val="none"/>
          <w:lang w:val="en-US" w:eastAsia="zh-CN"/>
        </w:rPr>
        <w:t>四</w:t>
      </w:r>
      <w:r>
        <w:rPr>
          <w:rFonts w:hint="eastAsia" w:eastAsia="楷体_GB2312" w:cs="Times New Roman"/>
          <w:b w:val="0"/>
          <w:bCs w:val="0"/>
          <w:snapToGrid/>
          <w:color w:val="auto"/>
          <w:spacing w:val="-3"/>
          <w:szCs w:val="32"/>
          <w:highlight w:val="none"/>
          <w:lang w:eastAsia="zh-CN"/>
        </w:rPr>
        <w:t>）加强资金保障</w:t>
      </w:r>
      <w:r>
        <w:rPr>
          <w:rFonts w:hint="eastAsia"/>
          <w:b w:val="0"/>
          <w:bCs w:val="0"/>
          <w:snapToGrid/>
          <w:color w:val="auto"/>
          <w:spacing w:val="-3"/>
          <w:szCs w:val="32"/>
          <w:highlight w:val="none"/>
          <w:lang w:eastAsia="zh-CN"/>
        </w:rPr>
        <w:t>。</w:t>
      </w:r>
      <w:bookmarkStart w:id="6" w:name="OLE_LINK4"/>
      <w:r>
        <w:rPr>
          <w:rFonts w:hint="eastAsia" w:ascii="仿宋_GB2312" w:hAnsi="仿宋_GB2312" w:eastAsia="仿宋_GB2312" w:cs="仿宋_GB2312"/>
          <w:spacing w:val="-3"/>
          <w:szCs w:val="32"/>
          <w:highlight w:val="none"/>
        </w:rPr>
        <w:t>充分发挥中央财政专项资金和地方资金的引导带动作用，采用补助、奖励、政府购买服务等方式，支持试点企业数字化改造工作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val="en-US" w:eastAsia="zh-CN"/>
        </w:rPr>
        <w:t>开展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</w:rPr>
        <w:t>以及中小企业数字化转型服务体系建设</w:t>
      </w:r>
      <w:r>
        <w:rPr>
          <w:rFonts w:hint="default" w:ascii="仿宋_GB2312" w:hAnsi="仿宋_GB2312" w:eastAsia="仿宋_GB2312" w:cs="仿宋_GB2312"/>
          <w:spacing w:val="-3"/>
          <w:szCs w:val="32"/>
          <w:highlight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pacing w:val="-3"/>
          <w:szCs w:val="32"/>
          <w:highlight w:val="none"/>
          <w:lang w:val="en-US" w:eastAsia="zh"/>
        </w:rPr>
        <w:t>并</w:t>
      </w:r>
      <w:r>
        <w:rPr>
          <w:rFonts w:hint="default" w:ascii="仿宋_GB2312" w:hAnsi="仿宋_GB2312" w:eastAsia="仿宋_GB2312" w:cs="仿宋_GB2312"/>
          <w:spacing w:val="-3"/>
          <w:szCs w:val="32"/>
          <w:highlight w:val="none"/>
          <w:lang w:val="en-US" w:eastAsia="zh-CN"/>
        </w:rPr>
        <w:t>鼓励有条件的区（市、县、开发区）统筹本级资金专项用于属地中小企业数字化改造及其相关工作，强化资金专款专用，建立资金使用监管机制，确保使用规范、安全和高效。</w:t>
      </w:r>
      <w:r>
        <w:rPr>
          <w:rFonts w:hint="eastAsia" w:ascii="楷体_GB2312" w:hAnsi="楷体_GB2312" w:eastAsia="楷体_GB2312" w:cs="楷体_GB2312"/>
          <w:kern w:val="2"/>
          <w:sz w:val="32"/>
          <w:szCs w:val="32"/>
          <w:highlight w:val="none"/>
          <w:lang w:val="en-US" w:eastAsia="zh-CN" w:bidi="ar"/>
        </w:rPr>
        <w:t>（责任单位：市财政局、市工信局、市直有关部门、各区（市、县）人民政府、开发区管委会）</w:t>
      </w:r>
      <w:bookmarkEnd w:id="6"/>
    </w:p>
    <w:p>
      <w:pPr>
        <w:rPr>
          <w:rFonts w:cs="Times New Roman"/>
          <w:spacing w:val="-2"/>
          <w:szCs w:val="32"/>
          <w:highlight w:val="none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2098" w:right="1531" w:bottom="1984" w:left="1531" w:header="1060" w:footer="1460" w:gutter="0"/>
          <w:cols w:space="425" w:num="1"/>
          <w:docGrid w:type="lines" w:linePitch="312" w:charSpace="0"/>
        </w:sectPr>
      </w:pPr>
      <w:r>
        <w:rPr>
          <w:rFonts w:hint="eastAsia" w:eastAsia="楷体_GB2312" w:cs="Times New Roman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  <w:br w:type="page"/>
      </w:r>
    </w:p>
    <w:p>
      <w:pPr>
        <w:pStyle w:val="7"/>
        <w:widowControl/>
        <w:autoSpaceDE w:val="0"/>
        <w:autoSpaceDN w:val="0"/>
        <w:ind w:firstLine="0" w:firstLineChars="0"/>
        <w:jc w:val="center"/>
        <w:textAlignment w:val="baseline"/>
        <w:outlineLvl w:val="0"/>
        <w:rPr>
          <w:rFonts w:eastAsia="方正小标宋简体" w:cs="Times New Roman"/>
          <w:b/>
          <w:spacing w:val="-2"/>
          <w:sz w:val="44"/>
          <w:szCs w:val="44"/>
          <w:highlight w:val="none"/>
        </w:rPr>
      </w:pPr>
      <w:r>
        <w:rPr>
          <w:rFonts w:eastAsia="方正小标宋简体" w:cs="Times New Roman"/>
          <w:b/>
          <w:spacing w:val="-2"/>
          <w:sz w:val="44"/>
          <w:szCs w:val="44"/>
          <w:highlight w:val="none"/>
        </w:rPr>
        <w:t>贵阳市中小企业数字化转型城市试点工作任务表</w:t>
      </w:r>
    </w:p>
    <w:tbl>
      <w:tblPr>
        <w:tblStyle w:val="17"/>
        <w:tblW w:w="148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2281"/>
        <w:gridCol w:w="4360"/>
        <w:gridCol w:w="3376"/>
        <w:gridCol w:w="40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tblHeader/>
        </w:trPr>
        <w:tc>
          <w:tcPr>
            <w:tcW w:w="797" w:type="dxa"/>
            <w:vAlign w:val="center"/>
          </w:tcPr>
          <w:p>
            <w:pPr>
              <w:autoSpaceDE w:val="0"/>
              <w:autoSpaceDN w:val="0"/>
              <w:spacing w:line="240" w:lineRule="auto"/>
              <w:ind w:firstLine="0" w:firstLineChars="0"/>
              <w:jc w:val="center"/>
              <w:textAlignment w:val="baseline"/>
              <w:rPr>
                <w:rFonts w:eastAsia="黑体" w:cs="Times New Roman"/>
                <w:spacing w:val="-2"/>
                <w:sz w:val="28"/>
                <w:szCs w:val="28"/>
                <w:highlight w:val="none"/>
              </w:rPr>
            </w:pPr>
            <w:r>
              <w:rPr>
                <w:rFonts w:eastAsia="黑体" w:cs="Times New Roman"/>
                <w:spacing w:val="-2"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2281" w:type="dxa"/>
            <w:vAlign w:val="center"/>
          </w:tcPr>
          <w:p>
            <w:pPr>
              <w:autoSpaceDE w:val="0"/>
              <w:autoSpaceDN w:val="0"/>
              <w:spacing w:line="240" w:lineRule="auto"/>
              <w:ind w:firstLine="0" w:firstLineChars="0"/>
              <w:jc w:val="center"/>
              <w:textAlignment w:val="baseline"/>
              <w:rPr>
                <w:rFonts w:eastAsia="黑体" w:cs="Times New Roman"/>
                <w:spacing w:val="-2"/>
                <w:sz w:val="28"/>
                <w:szCs w:val="28"/>
                <w:highlight w:val="none"/>
              </w:rPr>
            </w:pPr>
            <w:r>
              <w:rPr>
                <w:rFonts w:eastAsia="黑体" w:cs="Times New Roman"/>
                <w:spacing w:val="-2"/>
                <w:sz w:val="28"/>
                <w:szCs w:val="28"/>
                <w:highlight w:val="none"/>
              </w:rPr>
              <w:t>阶段</w:t>
            </w:r>
          </w:p>
        </w:tc>
        <w:tc>
          <w:tcPr>
            <w:tcW w:w="4360" w:type="dxa"/>
            <w:vAlign w:val="center"/>
          </w:tcPr>
          <w:p>
            <w:pPr>
              <w:autoSpaceDE w:val="0"/>
              <w:autoSpaceDN w:val="0"/>
              <w:spacing w:line="240" w:lineRule="auto"/>
              <w:ind w:firstLine="0" w:firstLineChars="0"/>
              <w:jc w:val="center"/>
              <w:textAlignment w:val="baseline"/>
              <w:rPr>
                <w:rFonts w:eastAsia="黑体" w:cs="Times New Roman"/>
                <w:spacing w:val="-2"/>
                <w:sz w:val="28"/>
                <w:szCs w:val="28"/>
                <w:highlight w:val="none"/>
              </w:rPr>
            </w:pPr>
            <w:r>
              <w:rPr>
                <w:rFonts w:eastAsia="黑体" w:cs="Times New Roman"/>
                <w:spacing w:val="-2"/>
                <w:sz w:val="28"/>
                <w:szCs w:val="28"/>
                <w:highlight w:val="none"/>
              </w:rPr>
              <w:t>工作任务</w:t>
            </w:r>
          </w:p>
        </w:tc>
        <w:tc>
          <w:tcPr>
            <w:tcW w:w="3376" w:type="dxa"/>
            <w:vAlign w:val="center"/>
          </w:tcPr>
          <w:p>
            <w:pPr>
              <w:autoSpaceDE w:val="0"/>
              <w:autoSpaceDN w:val="0"/>
              <w:spacing w:line="240" w:lineRule="auto"/>
              <w:ind w:firstLine="0" w:firstLineChars="0"/>
              <w:jc w:val="center"/>
              <w:textAlignment w:val="baseline"/>
              <w:rPr>
                <w:rFonts w:eastAsia="黑体" w:cs="Times New Roman"/>
                <w:spacing w:val="-2"/>
                <w:sz w:val="28"/>
                <w:szCs w:val="28"/>
                <w:highlight w:val="none"/>
              </w:rPr>
            </w:pPr>
            <w:r>
              <w:rPr>
                <w:rFonts w:hint="eastAsia" w:eastAsia="黑体" w:cs="Times New Roman"/>
                <w:spacing w:val="-2"/>
                <w:sz w:val="28"/>
                <w:szCs w:val="28"/>
                <w:highlight w:val="none"/>
              </w:rPr>
              <w:t>责任单位</w:t>
            </w:r>
          </w:p>
        </w:tc>
        <w:tc>
          <w:tcPr>
            <w:tcW w:w="4053" w:type="dxa"/>
            <w:vAlign w:val="center"/>
          </w:tcPr>
          <w:p>
            <w:pPr>
              <w:autoSpaceDE w:val="0"/>
              <w:autoSpaceDN w:val="0"/>
              <w:spacing w:line="240" w:lineRule="auto"/>
              <w:ind w:firstLine="0" w:firstLineChars="0"/>
              <w:jc w:val="center"/>
              <w:textAlignment w:val="baseline"/>
              <w:rPr>
                <w:rFonts w:eastAsia="黑体" w:cs="Times New Roman"/>
                <w:spacing w:val="-2"/>
                <w:sz w:val="28"/>
                <w:szCs w:val="28"/>
                <w:highlight w:val="none"/>
              </w:rPr>
            </w:pPr>
            <w:r>
              <w:rPr>
                <w:rFonts w:eastAsia="黑体" w:cs="Times New Roman"/>
                <w:spacing w:val="-2"/>
                <w:sz w:val="28"/>
                <w:szCs w:val="28"/>
                <w:highlight w:val="none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797" w:type="dxa"/>
            <w:vAlign w:val="center"/>
          </w:tcPr>
          <w:p>
            <w:pPr>
              <w:widowControl/>
              <w:numPr>
                <w:ilvl w:val="0"/>
                <w:numId w:val="12"/>
              </w:numPr>
              <w:autoSpaceDE w:val="0"/>
              <w:autoSpaceDN w:val="0"/>
              <w:spacing w:line="240" w:lineRule="auto"/>
              <w:ind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  <w:highlight w:val="none"/>
              </w:rPr>
            </w:pPr>
          </w:p>
        </w:tc>
        <w:tc>
          <w:tcPr>
            <w:tcW w:w="2281" w:type="dxa"/>
            <w:vAlign w:val="center"/>
          </w:tcPr>
          <w:p>
            <w:pPr>
              <w:widowControl/>
              <w:autoSpaceDE w:val="0"/>
              <w:autoSpaceDN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  <w:t>制定和完善实施方案</w:t>
            </w:r>
          </w:p>
        </w:tc>
        <w:tc>
          <w:tcPr>
            <w:tcW w:w="4360" w:type="dxa"/>
            <w:vAlign w:val="center"/>
          </w:tcPr>
          <w:p>
            <w:pPr>
              <w:widowControl/>
              <w:autoSpaceDE w:val="0"/>
              <w:autoSpaceDN w:val="0"/>
              <w:spacing w:line="240" w:lineRule="auto"/>
              <w:ind w:firstLine="0" w:firstLineChars="0"/>
              <w:textAlignment w:val="baseline"/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  <w:t>完善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val="en-US" w:eastAsia="zh-CN"/>
              </w:rPr>
              <w:t>并印发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  <w:t>《实施方案》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eastAsia="zh-CN"/>
              </w:rPr>
              <w:t>。</w:t>
            </w:r>
          </w:p>
        </w:tc>
        <w:tc>
          <w:tcPr>
            <w:tcW w:w="3376" w:type="dxa"/>
            <w:vAlign w:val="center"/>
          </w:tcPr>
          <w:p>
            <w:pPr>
              <w:widowControl/>
              <w:autoSpaceDE w:val="0"/>
              <w:autoSpaceDN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  <w:t>市工信局</w:t>
            </w:r>
          </w:p>
        </w:tc>
        <w:tc>
          <w:tcPr>
            <w:tcW w:w="4053" w:type="dxa"/>
            <w:vAlign w:val="center"/>
          </w:tcPr>
          <w:p>
            <w:pPr>
              <w:widowControl/>
              <w:autoSpaceDE w:val="0"/>
              <w:autoSpaceDN w:val="0"/>
              <w:spacing w:line="240" w:lineRule="auto"/>
              <w:ind w:firstLine="0" w:firstLineChars="0"/>
              <w:textAlignment w:val="baseline"/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  <w:t>2024年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  <w:t>月完成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</w:trPr>
        <w:tc>
          <w:tcPr>
            <w:tcW w:w="797" w:type="dxa"/>
            <w:vAlign w:val="center"/>
          </w:tcPr>
          <w:p>
            <w:pPr>
              <w:widowControl/>
              <w:numPr>
                <w:ilvl w:val="0"/>
                <w:numId w:val="12"/>
              </w:numPr>
              <w:autoSpaceDE w:val="0"/>
              <w:autoSpaceDN w:val="0"/>
              <w:spacing w:line="240" w:lineRule="auto"/>
              <w:ind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  <w:highlight w:val="none"/>
              </w:rPr>
            </w:pPr>
          </w:p>
        </w:tc>
        <w:tc>
          <w:tcPr>
            <w:tcW w:w="2281" w:type="dxa"/>
            <w:vAlign w:val="center"/>
          </w:tcPr>
          <w:p>
            <w:pPr>
              <w:widowControl/>
              <w:autoSpaceDE w:val="0"/>
              <w:autoSpaceDN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  <w:t>制定系列方案、配套政策、管理办法等</w:t>
            </w:r>
          </w:p>
        </w:tc>
        <w:tc>
          <w:tcPr>
            <w:tcW w:w="4360" w:type="dxa"/>
            <w:vAlign w:val="center"/>
          </w:tcPr>
          <w:p>
            <w:pPr>
              <w:widowControl/>
              <w:autoSpaceDE w:val="0"/>
              <w:autoSpaceDN w:val="0"/>
              <w:spacing w:line="240" w:lineRule="auto"/>
              <w:ind w:firstLine="0" w:firstLineChars="0"/>
              <w:textAlignment w:val="baseline"/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  <w:t>拟定政策措施、服务商遴选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eastAsia="zh"/>
              </w:rPr>
              <w:t>方案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  <w:t>、资金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val="en-US" w:eastAsia="zh-CN"/>
              </w:rPr>
              <w:t>实施细则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  <w:t>、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eastAsia="zh"/>
              </w:rPr>
              <w:t>线上</w:t>
            </w:r>
            <w:r>
              <w:rPr>
                <w:rFonts w:hint="eastAsia" w:ascii="仿宋_GB2312" w:hAnsi="仿宋_GB2312" w:cs="仿宋_GB2312"/>
                <w:spacing w:val="2"/>
                <w:sz w:val="28"/>
                <w:szCs w:val="28"/>
                <w:highlight w:val="none"/>
                <w:lang w:eastAsia="zh-CN"/>
              </w:rPr>
              <w:t>服务平台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  <w:t>建设方案、标杆案例遴选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eastAsia="zh"/>
              </w:rPr>
              <w:t>方案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  <w:t>、系列活动方案、人才培训方案等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eastAsia="zh-CN"/>
              </w:rPr>
              <w:t>。</w:t>
            </w:r>
          </w:p>
        </w:tc>
        <w:tc>
          <w:tcPr>
            <w:tcW w:w="3376" w:type="dxa"/>
            <w:vAlign w:val="center"/>
          </w:tcPr>
          <w:p>
            <w:pPr>
              <w:widowControl/>
              <w:autoSpaceDE w:val="0"/>
              <w:autoSpaceDN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  <w:t>市工信局</w:t>
            </w:r>
          </w:p>
        </w:tc>
        <w:tc>
          <w:tcPr>
            <w:tcW w:w="4053" w:type="dxa"/>
            <w:vAlign w:val="center"/>
          </w:tcPr>
          <w:p>
            <w:pPr>
              <w:widowControl/>
              <w:autoSpaceDE w:val="0"/>
              <w:autoSpaceDN w:val="0"/>
              <w:spacing w:line="240" w:lineRule="auto"/>
              <w:ind w:firstLine="0" w:firstLineChars="0"/>
              <w:textAlignment w:val="baseline"/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  <w:t>2024年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val="en-US" w:eastAsia="zh-CN"/>
              </w:rPr>
              <w:t>10-11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  <w:t>月完成，并根据相关工作情况更新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4" w:hRule="atLeast"/>
        </w:trPr>
        <w:tc>
          <w:tcPr>
            <w:tcW w:w="797" w:type="dxa"/>
            <w:vAlign w:val="center"/>
          </w:tcPr>
          <w:p>
            <w:pPr>
              <w:widowControl/>
              <w:numPr>
                <w:ilvl w:val="0"/>
                <w:numId w:val="12"/>
              </w:numPr>
              <w:autoSpaceDE w:val="0"/>
              <w:autoSpaceDN w:val="0"/>
              <w:spacing w:line="240" w:lineRule="auto"/>
              <w:ind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</w:p>
        </w:tc>
        <w:tc>
          <w:tcPr>
            <w:tcW w:w="2281" w:type="dxa"/>
            <w:vAlign w:val="center"/>
          </w:tcPr>
          <w:p>
            <w:pPr>
              <w:autoSpaceDE w:val="0"/>
              <w:autoSpaceDN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val="en-US" w:eastAsia="zh"/>
              </w:rPr>
              <w:t>建立完善数字化服务体系</w:t>
            </w:r>
          </w:p>
        </w:tc>
        <w:tc>
          <w:tcPr>
            <w:tcW w:w="4360" w:type="dxa"/>
            <w:vAlign w:val="center"/>
          </w:tcPr>
          <w:p>
            <w:pPr>
              <w:autoSpaceDE w:val="0"/>
              <w:autoSpaceDN w:val="0"/>
              <w:spacing w:line="240" w:lineRule="auto"/>
              <w:ind w:firstLine="0" w:firstLineChars="0"/>
              <w:textAlignment w:val="baseline"/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val="en-US" w:eastAsia="zh"/>
              </w:rPr>
              <w:t>通过公开招标，选取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val="en-US" w:eastAsia="zh-CN"/>
              </w:rPr>
              <w:t>数字化转型服务</w:t>
            </w:r>
            <w:r>
              <w:rPr>
                <w:rFonts w:hint="eastAsia" w:ascii="仿宋_GB2312" w:hAnsi="仿宋_GB2312" w:cs="仿宋_GB2312"/>
                <w:spacing w:val="2"/>
                <w:sz w:val="28"/>
                <w:szCs w:val="28"/>
                <w:highlight w:val="none"/>
                <w:lang w:val="en-US" w:eastAsia="zh-CN"/>
              </w:rPr>
              <w:t>团队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val="en-US" w:eastAsia="zh"/>
              </w:rPr>
              <w:t>。建设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  <w:t>中小企业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eastAsia="zh"/>
              </w:rPr>
              <w:t>数字化转型线上</w:t>
            </w:r>
            <w:r>
              <w:rPr>
                <w:rFonts w:hint="eastAsia" w:ascii="仿宋_GB2312" w:hAnsi="仿宋_GB2312" w:cs="仿宋_GB2312"/>
                <w:spacing w:val="2"/>
                <w:sz w:val="28"/>
                <w:szCs w:val="28"/>
                <w:highlight w:val="none"/>
                <w:lang w:eastAsia="zh-CN"/>
              </w:rPr>
              <w:t>服务平台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val="en-US" w:eastAsia="zh"/>
              </w:rPr>
              <w:t>。</w:t>
            </w:r>
            <w:r>
              <w:rPr>
                <w:rFonts w:hint="eastAsia" w:ascii="仿宋_GB2312" w:hAnsi="仿宋_GB2312" w:cs="仿宋_GB2312"/>
                <w:spacing w:val="2"/>
                <w:sz w:val="28"/>
                <w:szCs w:val="28"/>
                <w:highlight w:val="none"/>
                <w:lang w:val="en-US" w:eastAsia="zh-CN"/>
              </w:rPr>
              <w:t>确定咨询服务机构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eastAsia="zh-CN"/>
              </w:rPr>
              <w:t>。</w:t>
            </w:r>
          </w:p>
        </w:tc>
        <w:tc>
          <w:tcPr>
            <w:tcW w:w="3376" w:type="dxa"/>
            <w:vAlign w:val="center"/>
          </w:tcPr>
          <w:p>
            <w:pPr>
              <w:autoSpaceDE w:val="0"/>
              <w:autoSpaceDN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  <w:t>市工信局</w:t>
            </w:r>
          </w:p>
        </w:tc>
        <w:tc>
          <w:tcPr>
            <w:tcW w:w="4053" w:type="dxa"/>
            <w:vAlign w:val="center"/>
          </w:tcPr>
          <w:p>
            <w:pPr>
              <w:autoSpaceDE w:val="0"/>
              <w:autoSpaceDN w:val="0"/>
              <w:spacing w:line="240" w:lineRule="auto"/>
              <w:ind w:firstLine="0" w:firstLineChars="0"/>
              <w:textAlignment w:val="baseline"/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  <w:t>2024年10月-2024年12月，通过公开招投标采购相关服务，建立完善中小企业数字化服务体系。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797" w:type="dxa"/>
            <w:vAlign w:val="center"/>
          </w:tcPr>
          <w:p>
            <w:pPr>
              <w:widowControl/>
              <w:numPr>
                <w:ilvl w:val="0"/>
                <w:numId w:val="12"/>
              </w:numPr>
              <w:autoSpaceDE w:val="0"/>
              <w:autoSpaceDN w:val="0"/>
              <w:spacing w:line="240" w:lineRule="auto"/>
              <w:ind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>
            <w:pPr>
              <w:widowControl/>
              <w:autoSpaceDE w:val="0"/>
              <w:autoSpaceDN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eastAsia="zh"/>
              </w:rPr>
              <w:t>征集和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  <w:t>遴选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eastAsia="zh"/>
              </w:rPr>
              <w:t>数字化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  <w:t>服务商</w:t>
            </w:r>
          </w:p>
        </w:tc>
        <w:tc>
          <w:tcPr>
            <w:tcW w:w="4360" w:type="dxa"/>
            <w:shd w:val="clear" w:color="auto" w:fill="auto"/>
            <w:vAlign w:val="center"/>
          </w:tcPr>
          <w:p>
            <w:pPr>
              <w:widowControl/>
              <w:autoSpaceDE w:val="0"/>
              <w:autoSpaceDN w:val="0"/>
              <w:spacing w:line="240" w:lineRule="auto"/>
              <w:ind w:firstLine="0" w:firstLineChars="0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sz w:val="28"/>
                <w:szCs w:val="28"/>
                <w:highlight w:val="none"/>
                <w:lang w:val="en-US" w:eastAsia="zh-CN"/>
              </w:rPr>
              <w:t>发布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sz w:val="28"/>
                <w:szCs w:val="28"/>
                <w:highlight w:val="none"/>
              </w:rPr>
              <w:t>数字化转型服务商征集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sz w:val="28"/>
                <w:szCs w:val="28"/>
                <w:highlight w:val="none"/>
                <w:lang w:val="en-US" w:eastAsia="zh-CN"/>
              </w:rPr>
              <w:t>通知，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  <w:t>遴选数字化转型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val="en-US" w:eastAsia="zh-CN"/>
              </w:rPr>
              <w:t>综合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  <w:t>服务商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val="en-US" w:eastAsia="zh-CN"/>
              </w:rPr>
              <w:t>和专业服务商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eastAsia="zh"/>
              </w:rPr>
              <w:t>建立服务商资源池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val="en-US" w:eastAsia="zh-CN"/>
              </w:rPr>
              <w:t>。</w:t>
            </w:r>
          </w:p>
        </w:tc>
        <w:tc>
          <w:tcPr>
            <w:tcW w:w="3376" w:type="dxa"/>
            <w:shd w:val="clear" w:color="auto" w:fill="auto"/>
            <w:vAlign w:val="center"/>
          </w:tcPr>
          <w:p>
            <w:pPr>
              <w:widowControl/>
              <w:autoSpaceDE w:val="0"/>
              <w:autoSpaceDN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  <w:t>市工信局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val="en-US" w:eastAsia="zh-CN"/>
              </w:rPr>
              <w:t>各区（市、县）人民政府、开发区管委会</w:t>
            </w:r>
          </w:p>
        </w:tc>
        <w:tc>
          <w:tcPr>
            <w:tcW w:w="4053" w:type="dxa"/>
            <w:shd w:val="clear" w:color="auto" w:fill="auto"/>
            <w:vAlign w:val="center"/>
          </w:tcPr>
          <w:p>
            <w:pPr>
              <w:widowControl/>
              <w:autoSpaceDE w:val="0"/>
              <w:autoSpaceDN w:val="0"/>
              <w:spacing w:line="240" w:lineRule="auto"/>
              <w:ind w:firstLine="0" w:firstLineChars="0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sz w:val="28"/>
                <w:szCs w:val="28"/>
                <w:highlight w:val="none"/>
                <w:lang w:val="en-US" w:eastAsia="zh-CN"/>
              </w:rPr>
              <w:t>2024年11月开展综合服务商+专业服务商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sz w:val="28"/>
                <w:szCs w:val="28"/>
                <w:highlight w:val="none"/>
                <w:lang w:eastAsia="zh"/>
              </w:rPr>
              <w:t>遴选工作，后续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sz w:val="28"/>
                <w:szCs w:val="28"/>
                <w:highlight w:val="none"/>
                <w:lang w:val="en-US" w:eastAsia="zh-CN"/>
              </w:rPr>
              <w:t>动态调整数字化服务商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sz w:val="28"/>
                <w:szCs w:val="28"/>
                <w:highlight w:val="none"/>
                <w:lang w:val="en-US" w:eastAsia="zh"/>
              </w:rPr>
              <w:t>资源池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sz w:val="28"/>
                <w:szCs w:val="28"/>
                <w:highlight w:val="none"/>
                <w:lang w:eastAsia="zh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2" w:hRule="atLeast"/>
        </w:trPr>
        <w:tc>
          <w:tcPr>
            <w:tcW w:w="797" w:type="dxa"/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2"/>
              </w:numPr>
              <w:autoSpaceDE w:val="0"/>
              <w:autoSpaceDN w:val="0"/>
              <w:spacing w:line="240" w:lineRule="auto"/>
              <w:ind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  <w:highlight w:val="none"/>
                <w:lang w:eastAsia="zh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>
            <w:pPr>
              <w:widowControl/>
              <w:autoSpaceDE w:val="0"/>
              <w:autoSpaceDN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val="en-US" w:eastAsia="zh"/>
              </w:rPr>
              <w:t>摸查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val="en-US" w:eastAsia="zh-CN"/>
              </w:rPr>
              <w:t>试点企业数字化转型需求</w:t>
            </w:r>
          </w:p>
        </w:tc>
        <w:tc>
          <w:tcPr>
            <w:tcW w:w="4360" w:type="dxa"/>
            <w:shd w:val="clear" w:color="auto" w:fill="auto"/>
            <w:vAlign w:val="center"/>
          </w:tcPr>
          <w:p>
            <w:pPr>
              <w:widowControl/>
              <w:autoSpaceDE w:val="0"/>
              <w:autoSpaceDN w:val="0"/>
              <w:spacing w:line="240" w:lineRule="auto"/>
              <w:ind w:left="0" w:leftChars="0" w:firstLine="0" w:firstLineChars="0"/>
              <w:textAlignment w:val="baseline"/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  <w:t>分析试点细分行业中小企业数字化转型现状，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eastAsia="zh"/>
              </w:rPr>
              <w:t>梳理细分行业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  <w:t>需求清单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eastAsia="zh"/>
              </w:rPr>
              <w:t>并发布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eastAsia="zh-CN"/>
              </w:rPr>
              <w:t>。</w:t>
            </w:r>
          </w:p>
        </w:tc>
        <w:tc>
          <w:tcPr>
            <w:tcW w:w="3376" w:type="dxa"/>
            <w:shd w:val="clear" w:color="auto" w:fill="auto"/>
            <w:vAlign w:val="center"/>
          </w:tcPr>
          <w:p>
            <w:pPr>
              <w:widowControl/>
              <w:autoSpaceDE w:val="0"/>
              <w:autoSpaceDN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  <w:t>市工信局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val="en-US" w:eastAsia="zh-CN"/>
              </w:rPr>
              <w:t>各区（市、县）人民政府、开发区管委会</w:t>
            </w:r>
          </w:p>
        </w:tc>
        <w:tc>
          <w:tcPr>
            <w:tcW w:w="4053" w:type="dxa"/>
            <w:shd w:val="clear" w:color="auto" w:fill="auto"/>
            <w:vAlign w:val="center"/>
          </w:tcPr>
          <w:p>
            <w:pPr>
              <w:widowControl/>
              <w:autoSpaceDE w:val="0"/>
              <w:autoSpaceDN w:val="0"/>
              <w:spacing w:line="240" w:lineRule="auto"/>
              <w:ind w:left="0" w:leftChars="0" w:firstLine="0" w:firstLineChars="0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sz w:val="28"/>
                <w:szCs w:val="28"/>
                <w:highlight w:val="none"/>
                <w:lang w:val="en-US" w:eastAsia="zh-CN"/>
              </w:rPr>
              <w:t>2024年7月-2026年2月，2024年11月发布首批企业数字化转型需求，持续动态更新。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1" w:hRule="atLeast"/>
        </w:trPr>
        <w:tc>
          <w:tcPr>
            <w:tcW w:w="797" w:type="dxa"/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2"/>
              </w:numPr>
              <w:autoSpaceDE w:val="0"/>
              <w:autoSpaceDN w:val="0"/>
              <w:spacing w:line="240" w:lineRule="auto"/>
              <w:ind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  <w:highlight w:val="none"/>
                <w:lang w:eastAsia="zh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>
            <w:pPr>
              <w:widowControl/>
              <w:autoSpaceDE w:val="0"/>
              <w:autoSpaceDN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  <w:t>建立动态试点企业库</w:t>
            </w:r>
          </w:p>
        </w:tc>
        <w:tc>
          <w:tcPr>
            <w:tcW w:w="4360" w:type="dxa"/>
            <w:shd w:val="clear" w:color="auto" w:fill="auto"/>
            <w:vAlign w:val="center"/>
          </w:tcPr>
          <w:p>
            <w:pPr>
              <w:widowControl/>
              <w:autoSpaceDE w:val="0"/>
              <w:autoSpaceDN w:val="0"/>
              <w:spacing w:line="240" w:lineRule="auto"/>
              <w:ind w:firstLine="0" w:firstLineChars="0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  <w:t>开展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val="en-US" w:eastAsia="zh-CN"/>
              </w:rPr>
              <w:t>试点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  <w:t>企业征集遴选入库工作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val="en-US" w:eastAsia="zh-CN"/>
              </w:rPr>
              <w:t>并动态更新试点企业库</w:t>
            </w:r>
            <w:r>
              <w:rPr>
                <w:rFonts w:hint="eastAsia" w:ascii="仿宋_GB2312" w:hAnsi="仿宋_GB2312" w:cs="仿宋_GB2312"/>
                <w:spacing w:val="2"/>
                <w:sz w:val="28"/>
                <w:szCs w:val="28"/>
                <w:highlight w:val="none"/>
                <w:lang w:val="en-US" w:eastAsia="zh-CN"/>
              </w:rPr>
              <w:t>。</w:t>
            </w:r>
          </w:p>
        </w:tc>
        <w:tc>
          <w:tcPr>
            <w:tcW w:w="3376" w:type="dxa"/>
            <w:shd w:val="clear" w:color="auto" w:fill="auto"/>
            <w:vAlign w:val="center"/>
          </w:tcPr>
          <w:p>
            <w:pPr>
              <w:widowControl/>
              <w:autoSpaceDE w:val="0"/>
              <w:autoSpaceDN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  <w:t>市工信局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val="en-US" w:eastAsia="zh-CN"/>
              </w:rPr>
              <w:t>各区（市、县）人民政府、开发区管委会</w:t>
            </w:r>
          </w:p>
        </w:tc>
        <w:tc>
          <w:tcPr>
            <w:tcW w:w="4053" w:type="dxa"/>
            <w:shd w:val="clear" w:color="auto" w:fill="auto"/>
            <w:vAlign w:val="center"/>
          </w:tcPr>
          <w:p>
            <w:pPr>
              <w:widowControl/>
              <w:autoSpaceDE w:val="0"/>
              <w:autoSpaceDN w:val="0"/>
              <w:spacing w:line="240" w:lineRule="auto"/>
              <w:ind w:firstLine="0" w:firstLineChars="0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sz w:val="28"/>
                <w:szCs w:val="28"/>
                <w:highlight w:val="none"/>
                <w:lang w:eastAsia="zh-CN"/>
              </w:rPr>
              <w:t>2024年</w:t>
            </w:r>
            <w:r>
              <w:rPr>
                <w:rFonts w:hint="eastAsia" w:ascii="仿宋_GB2312" w:hAnsi="仿宋_GB2312" w:cs="仿宋_GB2312"/>
                <w:snapToGrid w:val="0"/>
                <w:color w:val="000000"/>
                <w:spacing w:val="2"/>
                <w:sz w:val="28"/>
                <w:szCs w:val="28"/>
                <w:highlight w:val="none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sz w:val="28"/>
                <w:szCs w:val="28"/>
                <w:highlight w:val="none"/>
                <w:lang w:eastAsia="zh-CN"/>
              </w:rPr>
              <w:t>月-202</w:t>
            </w:r>
            <w:r>
              <w:rPr>
                <w:rFonts w:hint="eastAsia" w:ascii="仿宋_GB2312" w:hAnsi="仿宋_GB2312" w:cs="仿宋_GB2312"/>
                <w:snapToGrid w:val="0"/>
                <w:color w:val="000000"/>
                <w:spacing w:val="2"/>
                <w:sz w:val="28"/>
                <w:szCs w:val="28"/>
                <w:highlight w:val="none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sz w:val="28"/>
                <w:szCs w:val="28"/>
                <w:highlight w:val="none"/>
                <w:lang w:eastAsia="zh-CN"/>
              </w:rPr>
              <w:t>年</w:t>
            </w:r>
            <w:r>
              <w:rPr>
                <w:rFonts w:hint="eastAsia" w:ascii="仿宋_GB2312" w:hAnsi="仿宋_GB2312" w:cs="仿宋_GB2312"/>
                <w:snapToGrid w:val="0"/>
                <w:color w:val="000000"/>
                <w:spacing w:val="2"/>
                <w:sz w:val="28"/>
                <w:szCs w:val="28"/>
                <w:highlight w:val="none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sz w:val="28"/>
                <w:szCs w:val="28"/>
                <w:highlight w:val="none"/>
                <w:lang w:eastAsia="zh-CN"/>
              </w:rPr>
              <w:t>月，2024年12月前建立500家以上试点企业库，持续动态更新。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797" w:type="dxa"/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2"/>
              </w:numPr>
              <w:autoSpaceDE w:val="0"/>
              <w:autoSpaceDN w:val="0"/>
              <w:spacing w:line="240" w:lineRule="auto"/>
              <w:ind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  <w:highlight w:val="none"/>
                <w:lang w:eastAsia="zh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>
            <w:pPr>
              <w:autoSpaceDE w:val="0"/>
              <w:autoSpaceDN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eastAsia="zh"/>
              </w:rPr>
              <w:t>推进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  <w:t>试点企业数字化改造</w:t>
            </w:r>
          </w:p>
        </w:tc>
        <w:tc>
          <w:tcPr>
            <w:tcW w:w="4360" w:type="dxa"/>
            <w:shd w:val="clear" w:color="auto" w:fill="auto"/>
            <w:vAlign w:val="center"/>
          </w:tcPr>
          <w:p>
            <w:pPr>
              <w:widowControl/>
              <w:autoSpaceDE w:val="0"/>
              <w:autoSpaceDN w:val="0"/>
              <w:spacing w:line="240" w:lineRule="auto"/>
              <w:ind w:firstLine="0" w:firstLineChars="0"/>
              <w:textAlignment w:val="baseline"/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eastAsia="zh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eastAsia="zh-CN"/>
              </w:rPr>
              <w:t>推进试点企业数字化项目立项、数字化改造等工作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eastAsia="zh"/>
              </w:rPr>
              <w:t>，开展监督检查、阶段性评测和验收工作。</w:t>
            </w:r>
          </w:p>
        </w:tc>
        <w:tc>
          <w:tcPr>
            <w:tcW w:w="3376" w:type="dxa"/>
            <w:shd w:val="clear" w:color="auto" w:fill="auto"/>
            <w:vAlign w:val="center"/>
          </w:tcPr>
          <w:p>
            <w:pPr>
              <w:widowControl/>
              <w:autoSpaceDE w:val="0"/>
              <w:autoSpaceDN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  <w:t>市工信局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val="en-US" w:eastAsia="zh-CN"/>
              </w:rPr>
              <w:t>各区（市、县）人民政府、开发区管委会</w:t>
            </w:r>
          </w:p>
        </w:tc>
        <w:tc>
          <w:tcPr>
            <w:tcW w:w="4053" w:type="dxa"/>
            <w:shd w:val="clear" w:color="auto" w:fill="auto"/>
            <w:vAlign w:val="center"/>
          </w:tcPr>
          <w:p>
            <w:pPr>
              <w:widowControl/>
              <w:autoSpaceDE w:val="0"/>
              <w:autoSpaceDN w:val="0"/>
              <w:spacing w:line="240" w:lineRule="auto"/>
              <w:ind w:firstLine="0" w:firstLineChars="0"/>
              <w:textAlignment w:val="baseline"/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val="en-US" w:eastAsia="zh-CN"/>
              </w:rPr>
              <w:t>2024年6月-2026年5月，持续推动试点企业数字化改造。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797" w:type="dxa"/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2"/>
              </w:numPr>
              <w:autoSpaceDE w:val="0"/>
              <w:autoSpaceDN w:val="0"/>
              <w:spacing w:line="240" w:lineRule="auto"/>
              <w:ind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  <w:highlight w:val="none"/>
                <w:lang w:val="en-US" w:eastAsia="zh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>
            <w:pPr>
              <w:widowControl/>
              <w:autoSpaceDE w:val="0"/>
              <w:autoSpaceDN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  <w:t>活动开展</w:t>
            </w:r>
          </w:p>
        </w:tc>
        <w:tc>
          <w:tcPr>
            <w:tcW w:w="4360" w:type="dxa"/>
            <w:shd w:val="clear" w:color="auto" w:fill="auto"/>
            <w:vAlign w:val="center"/>
          </w:tcPr>
          <w:p>
            <w:pPr>
              <w:widowControl/>
              <w:autoSpaceDE w:val="0"/>
              <w:autoSpaceDN w:val="0"/>
              <w:spacing w:line="240" w:lineRule="auto"/>
              <w:ind w:left="0" w:leftChars="0" w:firstLine="0" w:firstLineChars="0"/>
              <w:textAlignment w:val="baseline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  <w:t>分行业、分层次、分区域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val="en-US" w:eastAsia="zh-CN"/>
              </w:rPr>
              <w:t>开展24场政策宣贯、讲座培训、供需对接等活动；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  <w:t>开展数字化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val="en-US" w:eastAsia="zh-CN"/>
              </w:rPr>
              <w:t>转型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  <w:t>培训不少于400人次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eastAsia="zh-CN"/>
              </w:rPr>
              <w:t>。</w:t>
            </w:r>
          </w:p>
        </w:tc>
        <w:tc>
          <w:tcPr>
            <w:tcW w:w="3376" w:type="dxa"/>
            <w:shd w:val="clear" w:color="auto" w:fill="auto"/>
            <w:vAlign w:val="center"/>
          </w:tcPr>
          <w:p>
            <w:pPr>
              <w:widowControl/>
              <w:autoSpaceDE w:val="0"/>
              <w:autoSpaceDN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  <w:t>市工信局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val="en-US" w:eastAsia="zh-CN"/>
              </w:rPr>
              <w:t>市人社局、各区（市、县）人民政府、开发区管委会</w:t>
            </w:r>
          </w:p>
        </w:tc>
        <w:tc>
          <w:tcPr>
            <w:tcW w:w="4053" w:type="dxa"/>
            <w:shd w:val="clear" w:color="auto" w:fill="auto"/>
            <w:vAlign w:val="center"/>
          </w:tcPr>
          <w:p>
            <w:pPr>
              <w:widowControl/>
              <w:autoSpaceDE w:val="0"/>
              <w:autoSpaceDN w:val="0"/>
              <w:spacing w:line="240" w:lineRule="auto"/>
              <w:ind w:left="0" w:leftChars="0" w:firstLine="0" w:firstLineChars="0"/>
              <w:textAlignment w:val="baseline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highlight w:val="none"/>
                <w:lang w:val="en-US" w:eastAsia="zh-CN" w:bidi="ar-SA"/>
              </w:rPr>
              <w:t>2024年11月-2026年9月，分行业、分区域开展数字化转型活动。2024年11月开展第一场，后续每月开展1场。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8" w:hRule="atLeast"/>
        </w:trPr>
        <w:tc>
          <w:tcPr>
            <w:tcW w:w="797" w:type="dxa"/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2"/>
              </w:numPr>
              <w:autoSpaceDE w:val="0"/>
              <w:autoSpaceDN w:val="0"/>
              <w:spacing w:line="240" w:lineRule="auto"/>
              <w:ind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  <w:highlight w:val="none"/>
                <w:lang w:val="en-US" w:eastAsia="zh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>
            <w:pPr>
              <w:widowControl/>
              <w:autoSpaceDE w:val="0"/>
              <w:autoSpaceDN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  <w:t>打造标杆示范并复制推广</w:t>
            </w:r>
          </w:p>
        </w:tc>
        <w:tc>
          <w:tcPr>
            <w:tcW w:w="4360" w:type="dxa"/>
            <w:shd w:val="clear" w:color="auto" w:fill="auto"/>
            <w:vAlign w:val="center"/>
          </w:tcPr>
          <w:p>
            <w:pPr>
              <w:widowControl/>
              <w:autoSpaceDE w:val="0"/>
              <w:autoSpaceDN w:val="0"/>
              <w:spacing w:line="240" w:lineRule="auto"/>
              <w:ind w:firstLine="0" w:firstLineChars="0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  <w:t>评选30家优秀数字化转型标杆企业，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val="en-US" w:eastAsia="zh-CN"/>
              </w:rPr>
              <w:t>复制推广到60家企业；打造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  <w:t>60个优秀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eastAsia="zh-CN"/>
              </w:rPr>
              <w:t>“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  <w:t>小快轻准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eastAsia="zh-CN"/>
              </w:rPr>
              <w:t>”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  <w:t>数字化解决方案和产品，给予奖补资金鼓励和表彰推广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eastAsia="zh-CN"/>
              </w:rPr>
              <w:t>。</w:t>
            </w:r>
          </w:p>
        </w:tc>
        <w:tc>
          <w:tcPr>
            <w:tcW w:w="3376" w:type="dxa"/>
            <w:shd w:val="clear" w:color="auto" w:fill="auto"/>
            <w:vAlign w:val="center"/>
          </w:tcPr>
          <w:p>
            <w:pPr>
              <w:widowControl/>
              <w:autoSpaceDE w:val="0"/>
              <w:autoSpaceDN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  <w:t>市工信局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val="en-US" w:eastAsia="zh-CN"/>
              </w:rPr>
              <w:t>各区（市、县）人民政府、开发区管委会</w:t>
            </w:r>
          </w:p>
        </w:tc>
        <w:tc>
          <w:tcPr>
            <w:tcW w:w="4053" w:type="dxa"/>
            <w:shd w:val="clear" w:color="auto" w:fill="auto"/>
            <w:vAlign w:val="center"/>
          </w:tcPr>
          <w:p>
            <w:pPr>
              <w:widowControl/>
              <w:autoSpaceDE w:val="0"/>
              <w:autoSpaceDN w:val="0"/>
              <w:spacing w:line="240" w:lineRule="auto"/>
              <w:ind w:firstLine="0" w:firstLineChars="0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sz w:val="28"/>
                <w:szCs w:val="28"/>
                <w:highlight w:val="none"/>
                <w:lang w:val="en-US" w:eastAsia="zh-CN"/>
              </w:rPr>
              <w:t>2025年4月-2026年7月，分三批开展标杆示范评选。2025年4月评选第一批，2025年12月评选第二批，2026年7月评选第三批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sz w:val="28"/>
                <w:szCs w:val="28"/>
                <w:highlight w:val="none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797" w:type="dxa"/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2"/>
              </w:numPr>
              <w:autoSpaceDE w:val="0"/>
              <w:autoSpaceDN w:val="0"/>
              <w:spacing w:line="240" w:lineRule="auto"/>
              <w:ind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  <w:highlight w:val="none"/>
                <w:lang w:val="en-US" w:eastAsia="zh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>
            <w:pPr>
              <w:widowControl/>
              <w:autoSpaceDE w:val="0"/>
              <w:autoSpaceDN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  <w:t>沉淀工作经验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  <w:t>编制指南</w:t>
            </w:r>
          </w:p>
        </w:tc>
        <w:tc>
          <w:tcPr>
            <w:tcW w:w="4360" w:type="dxa"/>
            <w:shd w:val="clear" w:color="auto" w:fill="auto"/>
            <w:vAlign w:val="center"/>
          </w:tcPr>
          <w:p>
            <w:pPr>
              <w:widowControl/>
              <w:autoSpaceDE w:val="0"/>
              <w:autoSpaceDN w:val="0"/>
              <w:spacing w:line="240" w:lineRule="auto"/>
              <w:ind w:firstLine="0" w:firstLineChars="0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val="en-US" w:eastAsia="zh-CN"/>
              </w:rPr>
              <w:t>形成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  <w:t>工作总结</w:t>
            </w:r>
            <w:r>
              <w:rPr>
                <w:rFonts w:hint="eastAsia" w:ascii="仿宋_GB2312" w:hAnsi="仿宋_GB2312" w:cs="仿宋_GB2312"/>
                <w:spacing w:val="2"/>
                <w:sz w:val="28"/>
                <w:szCs w:val="28"/>
                <w:highlight w:val="none"/>
                <w:lang w:val="en-US"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  <w:t>细分行业</w:t>
            </w:r>
            <w:r>
              <w:rPr>
                <w:rFonts w:hint="eastAsia" w:ascii="仿宋_GB2312" w:hAnsi="仿宋_GB2312" w:cs="仿宋_GB2312"/>
                <w:spacing w:val="2"/>
                <w:sz w:val="28"/>
                <w:szCs w:val="28"/>
                <w:highlight w:val="none"/>
                <w:lang w:eastAsia="zh-CN"/>
              </w:rPr>
              <w:t>《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  <w:t>数字化转型指南</w:t>
            </w:r>
            <w:r>
              <w:rPr>
                <w:rFonts w:hint="eastAsia" w:ascii="仿宋_GB2312" w:hAnsi="仿宋_GB2312" w:cs="仿宋_GB2312"/>
                <w:spacing w:val="2"/>
                <w:sz w:val="28"/>
                <w:szCs w:val="28"/>
                <w:highlight w:val="none"/>
                <w:lang w:eastAsia="zh-CN"/>
              </w:rPr>
              <w:t>》</w:t>
            </w:r>
            <w:r>
              <w:rPr>
                <w:rFonts w:hint="eastAsia" w:ascii="仿宋_GB2312" w:hAnsi="仿宋_GB2312" w:cs="仿宋_GB2312"/>
                <w:spacing w:val="2"/>
                <w:sz w:val="28"/>
                <w:szCs w:val="28"/>
                <w:highlight w:val="none"/>
                <w:lang w:val="en-US" w:eastAsia="zh-CN"/>
              </w:rPr>
              <w:t>和《数字化评测指南》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  <w:lang w:eastAsia="zh-CN"/>
              </w:rPr>
              <w:t>。</w:t>
            </w:r>
          </w:p>
        </w:tc>
        <w:tc>
          <w:tcPr>
            <w:tcW w:w="3376" w:type="dxa"/>
            <w:shd w:val="clear" w:color="auto" w:fill="auto"/>
            <w:vAlign w:val="center"/>
          </w:tcPr>
          <w:p>
            <w:pPr>
              <w:widowControl/>
              <w:autoSpaceDE w:val="0"/>
              <w:autoSpaceDN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highlight w:val="none"/>
              </w:rPr>
              <w:t>市工信局</w:t>
            </w:r>
          </w:p>
        </w:tc>
        <w:tc>
          <w:tcPr>
            <w:tcW w:w="4053" w:type="dxa"/>
            <w:shd w:val="clear" w:color="auto" w:fill="auto"/>
            <w:vAlign w:val="center"/>
          </w:tcPr>
          <w:p>
            <w:pPr>
              <w:widowControl/>
              <w:autoSpaceDE w:val="0"/>
              <w:autoSpaceDN w:val="0"/>
              <w:spacing w:line="240" w:lineRule="auto"/>
              <w:ind w:firstLine="0" w:firstLineChars="0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2"/>
                <w:sz w:val="28"/>
                <w:szCs w:val="28"/>
                <w:highlight w:val="none"/>
                <w:lang w:val="en-US" w:eastAsia="zh-CN" w:bidi="ar-SA"/>
              </w:rPr>
              <w:t>2026年9月形成各细分行业</w:t>
            </w:r>
            <w:r>
              <w:rPr>
                <w:rFonts w:hint="eastAsia" w:ascii="仿宋_GB2312" w:hAnsi="仿宋_GB2312" w:cs="仿宋_GB2312"/>
                <w:snapToGrid w:val="0"/>
                <w:color w:val="000000"/>
                <w:spacing w:val="2"/>
                <w:kern w:val="2"/>
                <w:sz w:val="28"/>
                <w:szCs w:val="28"/>
                <w:highlight w:val="none"/>
                <w:lang w:val="en-US" w:eastAsia="zh-CN" w:bidi="ar-SA"/>
              </w:rPr>
              <w:t>数字化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2"/>
                <w:sz w:val="28"/>
                <w:szCs w:val="28"/>
                <w:highlight w:val="none"/>
                <w:lang w:val="en-US" w:eastAsia="zh-CN" w:bidi="ar-SA"/>
              </w:rPr>
              <w:t>转型</w:t>
            </w:r>
            <w:r>
              <w:rPr>
                <w:rFonts w:hint="eastAsia" w:ascii="仿宋_GB2312" w:hAnsi="仿宋_GB2312" w:cs="仿宋_GB2312"/>
                <w:snapToGrid w:val="0"/>
                <w:color w:val="000000"/>
                <w:spacing w:val="2"/>
                <w:kern w:val="2"/>
                <w:sz w:val="28"/>
                <w:szCs w:val="28"/>
                <w:highlight w:val="none"/>
                <w:lang w:val="en-US" w:eastAsia="zh-CN" w:bidi="ar-SA"/>
              </w:rPr>
              <w:t>指南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2"/>
                <w:sz w:val="28"/>
                <w:szCs w:val="28"/>
                <w:highlight w:val="none"/>
                <w:lang w:val="en-US" w:eastAsia="zh-CN" w:bidi="ar-SA"/>
              </w:rPr>
              <w:t>和评测指南。</w:t>
            </w:r>
          </w:p>
        </w:tc>
      </w:tr>
    </w:tbl>
    <w:p>
      <w:pPr>
        <w:ind w:firstLine="640"/>
        <w:rPr>
          <w:rFonts w:cs="Times New Roman"/>
          <w:highlight w:val="none"/>
        </w:rPr>
      </w:pPr>
    </w:p>
    <w:sectPr>
      <w:footerReference r:id="rId9" w:type="default"/>
      <w:pgSz w:w="16838" w:h="11906" w:orient="landscape"/>
      <w:pgMar w:top="1440" w:right="1080" w:bottom="1440" w:left="1080" w:header="426" w:footer="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ind w:firstLine="480"/>
      <w:jc w:val="center"/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546100</wp:posOffset>
              </wp:positionV>
              <wp:extent cx="1828800" cy="48387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838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3"/>
                            <w:ind w:firstLine="560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43pt;height:38.1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MVfJSjWAAAABwEAAA8AAAAAAAAAAQAg&#10;AAAAIgAAAGRycy9kb3ducmV2LnhtbFBLAQIUABQAAAAIAIdO4kAHXut8EAIAAAYEAAAOAAAAAAAA&#10;AAEAIAAAACUBAABkcnMvZTJvRG9jLnhtbFBLBQYAAAAABgAGAFkBAACnBQAAAAA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13"/>
                      <w:ind w:firstLine="560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8C6FF63"/>
    <w:multiLevelType w:val="singleLevel"/>
    <w:tmpl w:val="98C6FF63"/>
    <w:lvl w:ilvl="0" w:tentative="0">
      <w:start w:val="1"/>
      <w:numFmt w:val="decimal"/>
      <w:pStyle w:val="30"/>
      <w:lvlText w:val="表1-%1 "/>
      <w:lvlJc w:val="left"/>
      <w:pPr>
        <w:tabs>
          <w:tab w:val="left" w:pos="312"/>
        </w:tabs>
      </w:pPr>
      <w:rPr>
        <w:rFonts w:hint="default" w:eastAsia="仿宋_GB2312"/>
        <w:sz w:val="28"/>
        <w:szCs w:val="28"/>
      </w:rPr>
    </w:lvl>
  </w:abstractNum>
  <w:abstractNum w:abstractNumId="1">
    <w:nsid w:val="A9096A24"/>
    <w:multiLevelType w:val="singleLevel"/>
    <w:tmpl w:val="A9096A24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">
    <w:nsid w:val="E1FD0CCE"/>
    <w:multiLevelType w:val="singleLevel"/>
    <w:tmpl w:val="E1FD0CCE"/>
    <w:lvl w:ilvl="0" w:tentative="0">
      <w:start w:val="1"/>
      <w:numFmt w:val="decimal"/>
      <w:isLgl/>
      <w:suff w:val="space"/>
      <w:lvlText w:val="%1"/>
      <w:lvlJc w:val="left"/>
      <w:pPr>
        <w:ind w:left="0" w:firstLine="0"/>
      </w:pPr>
      <w:rPr>
        <w:rFonts w:hint="default" w:ascii="Times New Roman" w:hAnsi="Times New Roman" w:eastAsia="仿宋_GB2312"/>
      </w:rPr>
    </w:lvl>
  </w:abstractNum>
  <w:abstractNum w:abstractNumId="3">
    <w:nsid w:val="F774330A"/>
    <w:multiLevelType w:val="multilevel"/>
    <w:tmpl w:val="F774330A"/>
    <w:lvl w:ilvl="0" w:tentative="0">
      <w:start w:val="1"/>
      <w:numFmt w:val="decimal"/>
      <w:pStyle w:val="28"/>
      <w:lvlText w:val="19.%1 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19.%2"/>
      <w:lvlJc w:val="left"/>
      <w:pPr>
        <w:ind w:left="992" w:hanging="567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4">
    <w:nsid w:val="07FAF9C3"/>
    <w:multiLevelType w:val="multilevel"/>
    <w:tmpl w:val="07FAF9C3"/>
    <w:lvl w:ilvl="0" w:tentative="0">
      <w:start w:val="1"/>
      <w:numFmt w:val="decimal"/>
      <w:pStyle w:val="32"/>
      <w:lvlText w:val="图_x0001_-%1 "/>
      <w:lvlJc w:val="left"/>
      <w:pPr>
        <w:tabs>
          <w:tab w:val="left" w:pos="397"/>
        </w:tabs>
        <w:ind w:left="454" w:hanging="454"/>
      </w:pPr>
      <w:rPr>
        <w:rFonts w:hint="default" w:ascii="仿宋_GB2312" w:hAnsi="仿宋_GB2312" w:eastAsia="仿宋_GB2312"/>
        <w:sz w:val="32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hint="default" w:ascii="黑体" w:hAnsi="黑体" w:eastAsia="黑体"/>
      </w:rPr>
    </w:lvl>
    <w:lvl w:ilvl="2" w:tentative="0">
      <w:start w:val="1"/>
      <w:numFmt w:val="decimal"/>
      <w:lvlText w:val="图%3 "/>
      <w:lvlJc w:val="left"/>
      <w:pPr>
        <w:tabs>
          <w:tab w:val="left" w:pos="1260"/>
        </w:tabs>
        <w:ind w:left="1260" w:hanging="420"/>
      </w:pPr>
      <w:rPr>
        <w:rFonts w:hint="default" w:ascii="黑体" w:hAnsi="黑体" w:eastAsia="黑体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hint="default" w:ascii="黑体" w:hAnsi="黑体" w:eastAsia="黑体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hint="default" w:ascii="黑体" w:hAnsi="黑体" w:eastAsia="黑体"/>
      </w:rPr>
    </w:lvl>
    <w:lvl w:ilvl="5" w:tentative="0">
      <w:start w:val="1"/>
      <w:numFmt w:val="lowerRoman"/>
      <w:lvlText w:val="%6."/>
      <w:lvlJc w:val="left"/>
      <w:pPr>
        <w:tabs>
          <w:tab w:val="left" w:pos="2520"/>
        </w:tabs>
        <w:ind w:left="2520" w:hanging="420"/>
      </w:pPr>
      <w:rPr>
        <w:rFonts w:hint="default" w:ascii="黑体" w:hAnsi="黑体" w:eastAsia="黑体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hint="default" w:ascii="黑体" w:hAnsi="黑体" w:eastAsia="黑体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hint="default" w:ascii="黑体" w:hAnsi="黑体" w:eastAsia="黑体"/>
      </w:rPr>
    </w:lvl>
    <w:lvl w:ilvl="8" w:tentative="0">
      <w:start w:val="1"/>
      <w:numFmt w:val="decimal"/>
      <w:lvlText w:val="图%9 "/>
      <w:lvlJc w:val="left"/>
      <w:pPr>
        <w:tabs>
          <w:tab w:val="left" w:pos="3780"/>
        </w:tabs>
        <w:ind w:left="3780" w:hanging="420"/>
      </w:pPr>
      <w:rPr>
        <w:rFonts w:hint="default" w:ascii="黑体" w:hAnsi="黑体" w:eastAsia="黑体"/>
        <w:sz w:val="28"/>
      </w:rPr>
    </w:lvl>
  </w:abstractNum>
  <w:abstractNum w:abstractNumId="5">
    <w:nsid w:val="158267F2"/>
    <w:multiLevelType w:val="singleLevel"/>
    <w:tmpl w:val="158267F2"/>
    <w:lvl w:ilvl="0" w:tentative="0">
      <w:start w:val="1"/>
      <w:numFmt w:val="chineseCounting"/>
      <w:pStyle w:val="15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6">
    <w:nsid w:val="1F4283D2"/>
    <w:multiLevelType w:val="multilevel"/>
    <w:tmpl w:val="1F4283D2"/>
    <w:lvl w:ilvl="0" w:tentative="0">
      <w:start w:val="1"/>
      <w:numFmt w:val="chineseCounting"/>
      <w:pStyle w:val="2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 w:ascii="黑体" w:hAnsi="黑体" w:eastAsia="黑体"/>
        <w:b/>
        <w:sz w:val="32"/>
        <w:szCs w:val="32"/>
      </w:rPr>
    </w:lvl>
    <w:lvl w:ilvl="1" w:tentative="0">
      <w:start w:val="1"/>
      <w:numFmt w:val="chineseCounting"/>
      <w:suff w:val="nothing"/>
      <w:lvlText w:val="（%2）"/>
      <w:lvlJc w:val="left"/>
      <w:pPr>
        <w:tabs>
          <w:tab w:val="left" w:pos="0"/>
        </w:tabs>
        <w:ind w:left="0" w:firstLine="0"/>
      </w:pPr>
      <w:rPr>
        <w:rFonts w:hint="eastAsia" w:ascii="Times New Roman" w:hAnsi="Times New Roman" w:eastAsia="楷体_GB2312"/>
        <w:b/>
        <w:sz w:val="32"/>
        <w:szCs w:val="32"/>
      </w:rPr>
    </w:lvl>
    <w:lvl w:ilvl="2" w:tentative="0">
      <w:start w:val="1"/>
      <w:numFmt w:val="decimal"/>
      <w:pStyle w:val="4"/>
      <w:suff w:val="nothing"/>
      <w:lvlText w:val="%3."/>
      <w:lvlJc w:val="left"/>
      <w:pPr>
        <w:tabs>
          <w:tab w:val="left" w:pos="0"/>
        </w:tabs>
        <w:ind w:left="0" w:firstLine="400"/>
      </w:pPr>
      <w:rPr>
        <w:rFonts w:hint="eastAsia" w:ascii="仿宋_GB2312" w:hAnsi="仿宋_GB2312" w:eastAsia="仿宋_GB2312"/>
        <w:b/>
        <w:sz w:val="32"/>
        <w:szCs w:val="32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tabs>
          <w:tab w:val="left" w:pos="0"/>
        </w:tabs>
        <w:ind w:left="0" w:firstLine="402"/>
      </w:pPr>
      <w:rPr>
        <w:rFonts w:hint="eastAsia" w:eastAsia="仿宋_GB2312"/>
        <w:b/>
        <w:sz w:val="32"/>
        <w:szCs w:val="32"/>
      </w:rPr>
    </w:lvl>
    <w:lvl w:ilvl="4" w:tentative="0">
      <w:start w:val="1"/>
      <w:numFmt w:val="lowerLetter"/>
      <w:pStyle w:val="8"/>
      <w:suff w:val="nothing"/>
      <w:lvlText w:val="%5"/>
      <w:lvlJc w:val="left"/>
      <w:pPr>
        <w:tabs>
          <w:tab w:val="left" w:pos="0"/>
        </w:tabs>
        <w:ind w:left="0" w:firstLine="402"/>
      </w:pPr>
      <w:rPr>
        <w:rFonts w:hint="eastAsia"/>
      </w:rPr>
    </w:lvl>
    <w:lvl w:ilvl="5" w:tentative="0">
      <w:start w:val="1"/>
      <w:numFmt w:val="decimal"/>
      <w:pStyle w:val="9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10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11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2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7">
    <w:nsid w:val="4C0064BF"/>
    <w:multiLevelType w:val="multilevel"/>
    <w:tmpl w:val="4C0064BF"/>
    <w:lvl w:ilvl="0" w:tentative="0">
      <w:start w:val="1"/>
      <w:numFmt w:val="decimal"/>
      <w:pStyle w:val="35"/>
      <w:lvlText w:val="图4-%1 "/>
      <w:lvlJc w:val="center"/>
      <w:pPr>
        <w:tabs>
          <w:tab w:val="left" w:pos="0"/>
        </w:tabs>
        <w:ind w:left="0" w:firstLine="0"/>
      </w:pPr>
      <w:rPr>
        <w:rFonts w:hint="default" w:ascii="仿宋_GB2312" w:hAnsi="仿宋_GB2312" w:eastAsia="仿宋_GB2312"/>
        <w:sz w:val="32"/>
      </w:rPr>
    </w:lvl>
    <w:lvl w:ilvl="1" w:tentative="0">
      <w:start w:val="1"/>
      <w:numFmt w:val="decimal"/>
      <w:lvlText w:val="图2-%2"/>
      <w:lvlJc w:val="center"/>
      <w:pPr>
        <w:tabs>
          <w:tab w:val="left" w:pos="0"/>
        </w:tabs>
        <w:ind w:left="0" w:firstLine="0"/>
      </w:pPr>
      <w:rPr>
        <w:rFonts w:hint="default" w:ascii="仿宋_GB2312" w:hAnsi="仿宋_GB2312" w:eastAsia="仿宋_GB2312" w:cs="黑体"/>
        <w:sz w:val="32"/>
      </w:rPr>
    </w:lvl>
    <w:lvl w:ilvl="2" w:tentative="0">
      <w:start w:val="1"/>
      <w:numFmt w:val="decimal"/>
      <w:lvlText w:val="图3-%3 "/>
      <w:lvlJc w:val="center"/>
      <w:pPr>
        <w:tabs>
          <w:tab w:val="left" w:pos="0"/>
        </w:tabs>
        <w:ind w:left="0" w:firstLine="0"/>
      </w:pPr>
      <w:rPr>
        <w:rFonts w:hint="default" w:ascii="仿宋_GB2312" w:hAnsi="仿宋_GB2312" w:eastAsia="仿宋_GB2312"/>
        <w:sz w:val="32"/>
      </w:rPr>
    </w:lvl>
    <w:lvl w:ilvl="3" w:tentative="0">
      <w:start w:val="1"/>
      <w:numFmt w:val="decimal"/>
      <w:lvlText w:val="图4-%4"/>
      <w:lvlJc w:val="center"/>
      <w:pPr>
        <w:tabs>
          <w:tab w:val="left" w:pos="0"/>
        </w:tabs>
        <w:ind w:left="0" w:firstLine="0"/>
      </w:pPr>
      <w:rPr>
        <w:rFonts w:hint="default" w:ascii="仿宋_GB2312" w:hAnsi="仿宋_GB2312" w:eastAsia="仿宋_GB2312" w:cs="黑体"/>
        <w:sz w:val="32"/>
      </w:rPr>
    </w:lvl>
    <w:lvl w:ilvl="4" w:tentative="0">
      <w:start w:val="1"/>
      <w:numFmt w:val="decimal"/>
      <w:lvlText w:val="图5-%5"/>
      <w:lvlJc w:val="center"/>
      <w:pPr>
        <w:tabs>
          <w:tab w:val="left" w:pos="0"/>
        </w:tabs>
        <w:ind w:left="0" w:firstLine="0"/>
      </w:pPr>
      <w:rPr>
        <w:rFonts w:hint="default" w:ascii="仿宋_GB2312" w:hAnsi="仿宋_GB2312" w:eastAsia="仿宋_GB2312" w:cs="黑体"/>
        <w:sz w:val="32"/>
      </w:rPr>
    </w:lvl>
    <w:lvl w:ilvl="5" w:tentative="0">
      <w:start w:val="1"/>
      <w:numFmt w:val="decimal"/>
      <w:lvlText w:val="图6- %6"/>
      <w:lvlJc w:val="center"/>
      <w:pPr>
        <w:tabs>
          <w:tab w:val="left" w:pos="0"/>
        </w:tabs>
        <w:ind w:left="0" w:firstLine="0"/>
      </w:pPr>
      <w:rPr>
        <w:rFonts w:hint="default" w:ascii="仿宋_GB2312" w:hAnsi="仿宋_GB2312" w:eastAsia="仿宋_GB2312" w:cs="黑体"/>
        <w:sz w:val="32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hint="default" w:ascii="黑体" w:hAnsi="黑体" w:eastAsia="黑体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hint="default" w:ascii="黑体" w:hAnsi="黑体" w:eastAsia="黑体"/>
      </w:rPr>
    </w:lvl>
    <w:lvl w:ilvl="8" w:tentative="0">
      <w:start w:val="1"/>
      <w:numFmt w:val="decimal"/>
      <w:lvlText w:val="图%9 "/>
      <w:lvlJc w:val="left"/>
      <w:pPr>
        <w:tabs>
          <w:tab w:val="left" w:pos="3780"/>
        </w:tabs>
        <w:ind w:left="3780" w:hanging="420"/>
      </w:pPr>
      <w:rPr>
        <w:rFonts w:hint="default" w:ascii="黑体" w:hAnsi="黑体" w:eastAsia="黑体"/>
        <w:sz w:val="28"/>
      </w:rPr>
    </w:lvl>
  </w:abstractNum>
  <w:abstractNum w:abstractNumId="8">
    <w:nsid w:val="74115C83"/>
    <w:multiLevelType w:val="multilevel"/>
    <w:tmpl w:val="74115C83"/>
    <w:lvl w:ilvl="0" w:tentative="0">
      <w:start w:val="1"/>
      <w:numFmt w:val="decimal"/>
      <w:lvlText w:val="表%1 "/>
      <w:lvlJc w:val="left"/>
      <w:pPr>
        <w:tabs>
          <w:tab w:val="left" w:pos="397"/>
        </w:tabs>
        <w:ind w:left="454" w:hanging="454"/>
      </w:pPr>
      <w:rPr>
        <w:rFonts w:hint="default" w:ascii="黑体" w:hAnsi="黑体" w:eastAsia="黑体"/>
        <w:sz w:val="28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hint="default" w:ascii="黑体" w:hAnsi="黑体" w:eastAsia="黑体"/>
      </w:rPr>
    </w:lvl>
    <w:lvl w:ilvl="2" w:tentative="0">
      <w:start w:val="1"/>
      <w:numFmt w:val="decimal"/>
      <w:pStyle w:val="34"/>
      <w:lvlText w:val="图3-%3 "/>
      <w:lvlJc w:val="center"/>
      <w:pPr>
        <w:tabs>
          <w:tab w:val="left" w:pos="0"/>
        </w:tabs>
        <w:ind w:left="0" w:firstLine="0"/>
      </w:pPr>
      <w:rPr>
        <w:rFonts w:hint="default" w:ascii="仿宋_GB2312" w:hAnsi="仿宋_GB2312" w:eastAsia="仿宋_GB2312" w:cs="黑体"/>
        <w:sz w:val="32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hint="default" w:ascii="黑体" w:hAnsi="黑体" w:eastAsia="黑体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hint="default" w:ascii="黑体" w:hAnsi="黑体" w:eastAsia="黑体"/>
      </w:rPr>
    </w:lvl>
    <w:lvl w:ilvl="5" w:tentative="0">
      <w:start w:val="1"/>
      <w:numFmt w:val="lowerRoman"/>
      <w:lvlText w:val="%6."/>
      <w:lvlJc w:val="left"/>
      <w:pPr>
        <w:tabs>
          <w:tab w:val="left" w:pos="2520"/>
        </w:tabs>
        <w:ind w:left="2520" w:hanging="420"/>
      </w:pPr>
      <w:rPr>
        <w:rFonts w:hint="default" w:ascii="黑体" w:hAnsi="黑体" w:eastAsia="黑体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hint="default" w:ascii="黑体" w:hAnsi="黑体" w:eastAsia="黑体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hint="default" w:ascii="黑体" w:hAnsi="黑体" w:eastAsia="黑体"/>
      </w:rPr>
    </w:lvl>
    <w:lvl w:ilvl="8" w:tentative="0">
      <w:start w:val="1"/>
      <w:numFmt w:val="decimal"/>
      <w:lvlText w:val="图%9 "/>
      <w:lvlJc w:val="left"/>
      <w:pPr>
        <w:tabs>
          <w:tab w:val="left" w:pos="3780"/>
        </w:tabs>
        <w:ind w:left="3780" w:hanging="420"/>
      </w:pPr>
      <w:rPr>
        <w:rFonts w:hint="default" w:ascii="黑体" w:hAnsi="黑体" w:eastAsia="黑体"/>
        <w:sz w:val="28"/>
      </w:rPr>
    </w:lvl>
  </w:abstractNum>
  <w:abstractNum w:abstractNumId="9">
    <w:nsid w:val="78E03CDE"/>
    <w:multiLevelType w:val="singleLevel"/>
    <w:tmpl w:val="78E03CDE"/>
    <w:lvl w:ilvl="0" w:tentative="0">
      <w:start w:val="5"/>
      <w:numFmt w:val="decimal"/>
      <w:pStyle w:val="29"/>
      <w:lvlText w:val="图_x0001_-%1 "/>
      <w:lvlJc w:val="left"/>
      <w:pPr>
        <w:tabs>
          <w:tab w:val="left" w:pos="312"/>
        </w:tabs>
      </w:pPr>
      <w:rPr>
        <w:rFonts w:hint="default" w:eastAsia="仿宋_GB2312"/>
        <w:sz w:val="28"/>
      </w:rPr>
    </w:lvl>
  </w:abstractNum>
  <w:abstractNum w:abstractNumId="10">
    <w:nsid w:val="7AC38535"/>
    <w:multiLevelType w:val="singleLevel"/>
    <w:tmpl w:val="7AC38535"/>
    <w:lvl w:ilvl="0" w:tentative="0">
      <w:start w:val="1"/>
      <w:numFmt w:val="decimal"/>
      <w:pStyle w:val="3"/>
      <w:suff w:val="nothing"/>
      <w:lvlText w:val="%1."/>
      <w:lvlJc w:val="left"/>
      <w:pPr>
        <w:tabs>
          <w:tab w:val="left" w:pos="0"/>
        </w:tabs>
        <w:ind w:left="0" w:firstLine="40"/>
      </w:pPr>
      <w:rPr>
        <w:rFonts w:hint="default" w:eastAsia="楷体_GB2312"/>
        <w:sz w:val="32"/>
        <w:szCs w:val="32"/>
      </w:rPr>
    </w:lvl>
  </w:abstractNum>
  <w:abstractNum w:abstractNumId="11">
    <w:nsid w:val="7F8B6D78"/>
    <w:multiLevelType w:val="multilevel"/>
    <w:tmpl w:val="7F8B6D78"/>
    <w:lvl w:ilvl="0" w:tentative="0">
      <w:start w:val="1"/>
      <w:numFmt w:val="decimal"/>
      <w:pStyle w:val="33"/>
      <w:lvlText w:val="图1-%1 "/>
      <w:lvlJc w:val="center"/>
      <w:pPr>
        <w:tabs>
          <w:tab w:val="left" w:pos="0"/>
        </w:tabs>
        <w:ind w:left="0" w:firstLine="0"/>
      </w:pPr>
      <w:rPr>
        <w:rFonts w:hint="default" w:ascii="仿宋_GB2312" w:hAnsi="仿宋_GB2312" w:eastAsia="仿宋_GB2312"/>
        <w:sz w:val="32"/>
      </w:rPr>
    </w:lvl>
    <w:lvl w:ilvl="1" w:tentative="0">
      <w:start w:val="1"/>
      <w:numFmt w:val="decimal"/>
      <w:lvlText w:val="图2-%2"/>
      <w:lvlJc w:val="center"/>
      <w:pPr>
        <w:tabs>
          <w:tab w:val="left" w:pos="0"/>
        </w:tabs>
        <w:ind w:left="0" w:firstLine="0"/>
      </w:pPr>
      <w:rPr>
        <w:rFonts w:hint="default" w:ascii="仿宋_GB2312" w:hAnsi="仿宋_GB2312" w:eastAsia="仿宋_GB2312" w:cs="黑体"/>
        <w:sz w:val="32"/>
      </w:rPr>
    </w:lvl>
    <w:lvl w:ilvl="2" w:tentative="0">
      <w:start w:val="1"/>
      <w:numFmt w:val="decimal"/>
      <w:pStyle w:val="22"/>
      <w:lvlText w:val="图3-%3 "/>
      <w:lvlJc w:val="center"/>
      <w:pPr>
        <w:tabs>
          <w:tab w:val="left" w:pos="0"/>
        </w:tabs>
        <w:ind w:left="0" w:firstLine="0"/>
      </w:pPr>
      <w:rPr>
        <w:rFonts w:hint="default" w:ascii="仿宋_GB2312" w:hAnsi="仿宋_GB2312" w:eastAsia="仿宋_GB2312"/>
        <w:sz w:val="32"/>
      </w:rPr>
    </w:lvl>
    <w:lvl w:ilvl="3" w:tentative="0">
      <w:start w:val="1"/>
      <w:numFmt w:val="decimal"/>
      <w:lvlText w:val="图4-%4"/>
      <w:lvlJc w:val="center"/>
      <w:pPr>
        <w:tabs>
          <w:tab w:val="left" w:pos="0"/>
        </w:tabs>
        <w:ind w:left="0" w:firstLine="0"/>
      </w:pPr>
      <w:rPr>
        <w:rFonts w:hint="default" w:ascii="仿宋_GB2312" w:hAnsi="仿宋_GB2312" w:eastAsia="仿宋_GB2312" w:cs="黑体"/>
        <w:sz w:val="32"/>
      </w:rPr>
    </w:lvl>
    <w:lvl w:ilvl="4" w:tentative="0">
      <w:start w:val="1"/>
      <w:numFmt w:val="decimal"/>
      <w:lvlText w:val="图5-%5"/>
      <w:lvlJc w:val="center"/>
      <w:pPr>
        <w:tabs>
          <w:tab w:val="left" w:pos="0"/>
        </w:tabs>
        <w:ind w:left="0" w:firstLine="0"/>
      </w:pPr>
      <w:rPr>
        <w:rFonts w:hint="default" w:ascii="仿宋_GB2312" w:hAnsi="仿宋_GB2312" w:eastAsia="仿宋_GB2312" w:cs="黑体"/>
        <w:sz w:val="32"/>
      </w:rPr>
    </w:lvl>
    <w:lvl w:ilvl="5" w:tentative="0">
      <w:start w:val="1"/>
      <w:numFmt w:val="decimal"/>
      <w:lvlText w:val="图6- %6"/>
      <w:lvlJc w:val="center"/>
      <w:pPr>
        <w:tabs>
          <w:tab w:val="left" w:pos="0"/>
        </w:tabs>
        <w:ind w:left="0" w:firstLine="0"/>
      </w:pPr>
      <w:rPr>
        <w:rFonts w:hint="default" w:ascii="仿宋_GB2312" w:hAnsi="仿宋_GB2312" w:eastAsia="仿宋_GB2312" w:cs="黑体"/>
        <w:sz w:val="32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hint="default" w:ascii="黑体" w:hAnsi="黑体" w:eastAsia="黑体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hint="default" w:ascii="黑体" w:hAnsi="黑体" w:eastAsia="黑体"/>
      </w:rPr>
    </w:lvl>
    <w:lvl w:ilvl="8" w:tentative="0">
      <w:start w:val="1"/>
      <w:numFmt w:val="decimal"/>
      <w:lvlText w:val="图%9 "/>
      <w:lvlJc w:val="left"/>
      <w:pPr>
        <w:tabs>
          <w:tab w:val="left" w:pos="3780"/>
        </w:tabs>
        <w:ind w:left="3780" w:hanging="420"/>
      </w:pPr>
      <w:rPr>
        <w:rFonts w:hint="default" w:ascii="黑体" w:hAnsi="黑体" w:eastAsia="黑体"/>
        <w:sz w:val="28"/>
      </w:r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11"/>
  </w:num>
  <w:num w:numId="5">
    <w:abstractNumId w:val="3"/>
  </w:num>
  <w:num w:numId="6">
    <w:abstractNumId w:val="9"/>
  </w:num>
  <w:num w:numId="7">
    <w:abstractNumId w:val="0"/>
  </w:num>
  <w:num w:numId="8">
    <w:abstractNumId w:val="4"/>
  </w:num>
  <w:num w:numId="9">
    <w:abstractNumId w:val="8"/>
  </w:num>
  <w:num w:numId="10">
    <w:abstractNumId w:val="7"/>
  </w:num>
  <w:num w:numId="11">
    <w:abstractNumId w:val="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RmYzJlMTkzZmEwZTdhYzA2MzgwYzQ0YTA2YWRhNmMifQ=="/>
  </w:docVars>
  <w:rsids>
    <w:rsidRoot w:val="6DC872D2"/>
    <w:rsid w:val="00400FB8"/>
    <w:rsid w:val="006C553B"/>
    <w:rsid w:val="007236B2"/>
    <w:rsid w:val="00741152"/>
    <w:rsid w:val="007F3164"/>
    <w:rsid w:val="008916D2"/>
    <w:rsid w:val="00917487"/>
    <w:rsid w:val="009739B1"/>
    <w:rsid w:val="00A61014"/>
    <w:rsid w:val="00A96A46"/>
    <w:rsid w:val="00AE2729"/>
    <w:rsid w:val="00B36A38"/>
    <w:rsid w:val="00C53DB4"/>
    <w:rsid w:val="00EE659B"/>
    <w:rsid w:val="00EF5409"/>
    <w:rsid w:val="00FA16CA"/>
    <w:rsid w:val="01532000"/>
    <w:rsid w:val="01835A52"/>
    <w:rsid w:val="0390431D"/>
    <w:rsid w:val="04874623"/>
    <w:rsid w:val="04B87036"/>
    <w:rsid w:val="07553A8C"/>
    <w:rsid w:val="07C25B54"/>
    <w:rsid w:val="07DB3280"/>
    <w:rsid w:val="09130409"/>
    <w:rsid w:val="096F5AD2"/>
    <w:rsid w:val="09A6155E"/>
    <w:rsid w:val="09B425EB"/>
    <w:rsid w:val="0A077497"/>
    <w:rsid w:val="0A0C1212"/>
    <w:rsid w:val="0AFB3396"/>
    <w:rsid w:val="0B551789"/>
    <w:rsid w:val="0B6832EE"/>
    <w:rsid w:val="0E072991"/>
    <w:rsid w:val="10F23045"/>
    <w:rsid w:val="12881773"/>
    <w:rsid w:val="12A87D6D"/>
    <w:rsid w:val="13A170CC"/>
    <w:rsid w:val="13C4759E"/>
    <w:rsid w:val="1416124C"/>
    <w:rsid w:val="14B338CD"/>
    <w:rsid w:val="14D3586C"/>
    <w:rsid w:val="14D87832"/>
    <w:rsid w:val="15184298"/>
    <w:rsid w:val="158860E1"/>
    <w:rsid w:val="15A93E9C"/>
    <w:rsid w:val="168700BB"/>
    <w:rsid w:val="16C4588A"/>
    <w:rsid w:val="16E8087E"/>
    <w:rsid w:val="17E23D9A"/>
    <w:rsid w:val="17FB60EE"/>
    <w:rsid w:val="1863277F"/>
    <w:rsid w:val="189A4891"/>
    <w:rsid w:val="197607B7"/>
    <w:rsid w:val="197A20E8"/>
    <w:rsid w:val="19D01A27"/>
    <w:rsid w:val="1A9F7386"/>
    <w:rsid w:val="1DA8335E"/>
    <w:rsid w:val="1DB90500"/>
    <w:rsid w:val="1E496D9E"/>
    <w:rsid w:val="1E661761"/>
    <w:rsid w:val="1E8A1FEA"/>
    <w:rsid w:val="1E8D375E"/>
    <w:rsid w:val="1E912400"/>
    <w:rsid w:val="1F3F146C"/>
    <w:rsid w:val="1FEBF69F"/>
    <w:rsid w:val="203A1FE5"/>
    <w:rsid w:val="214506DC"/>
    <w:rsid w:val="22204A0C"/>
    <w:rsid w:val="227C6894"/>
    <w:rsid w:val="22896455"/>
    <w:rsid w:val="23B702F0"/>
    <w:rsid w:val="23ED25DF"/>
    <w:rsid w:val="23F152AC"/>
    <w:rsid w:val="242C6BC9"/>
    <w:rsid w:val="24A26B44"/>
    <w:rsid w:val="25FB6B32"/>
    <w:rsid w:val="278E207B"/>
    <w:rsid w:val="28175866"/>
    <w:rsid w:val="28F35A19"/>
    <w:rsid w:val="28FAC5B4"/>
    <w:rsid w:val="2968320D"/>
    <w:rsid w:val="2A281838"/>
    <w:rsid w:val="2A363B85"/>
    <w:rsid w:val="2A463335"/>
    <w:rsid w:val="2A976B6E"/>
    <w:rsid w:val="2AB4710F"/>
    <w:rsid w:val="2B804C92"/>
    <w:rsid w:val="2C0F0553"/>
    <w:rsid w:val="2C4C7E2E"/>
    <w:rsid w:val="2CEA7B2E"/>
    <w:rsid w:val="2D454BCB"/>
    <w:rsid w:val="2D7459B7"/>
    <w:rsid w:val="2D920C67"/>
    <w:rsid w:val="2DB44560"/>
    <w:rsid w:val="2DDD1740"/>
    <w:rsid w:val="2E8B77F8"/>
    <w:rsid w:val="2EB91919"/>
    <w:rsid w:val="2EDD678B"/>
    <w:rsid w:val="2F1FD9D1"/>
    <w:rsid w:val="2FDD71EF"/>
    <w:rsid w:val="30DC319E"/>
    <w:rsid w:val="3197505E"/>
    <w:rsid w:val="32EC3440"/>
    <w:rsid w:val="33407ADC"/>
    <w:rsid w:val="3353631D"/>
    <w:rsid w:val="336472EF"/>
    <w:rsid w:val="34111B3F"/>
    <w:rsid w:val="348A1D66"/>
    <w:rsid w:val="35F83DBA"/>
    <w:rsid w:val="361047E7"/>
    <w:rsid w:val="36CD4956"/>
    <w:rsid w:val="370E401E"/>
    <w:rsid w:val="3736647C"/>
    <w:rsid w:val="37EE2C66"/>
    <w:rsid w:val="38A7F140"/>
    <w:rsid w:val="39445032"/>
    <w:rsid w:val="39586DD0"/>
    <w:rsid w:val="397635EF"/>
    <w:rsid w:val="39CE1E5B"/>
    <w:rsid w:val="3A671CFE"/>
    <w:rsid w:val="3A7076EB"/>
    <w:rsid w:val="3AF74D87"/>
    <w:rsid w:val="3B4604DD"/>
    <w:rsid w:val="3BB4653A"/>
    <w:rsid w:val="3CAD3F2C"/>
    <w:rsid w:val="3CB61DED"/>
    <w:rsid w:val="3CE64E6E"/>
    <w:rsid w:val="3CFB75A6"/>
    <w:rsid w:val="3D712B95"/>
    <w:rsid w:val="3DAF29D3"/>
    <w:rsid w:val="3E2E3E54"/>
    <w:rsid w:val="3E5DF54D"/>
    <w:rsid w:val="3FAFB162"/>
    <w:rsid w:val="3FFDE146"/>
    <w:rsid w:val="40F04483"/>
    <w:rsid w:val="41393761"/>
    <w:rsid w:val="42304980"/>
    <w:rsid w:val="427F607F"/>
    <w:rsid w:val="43293A80"/>
    <w:rsid w:val="435529D5"/>
    <w:rsid w:val="44814542"/>
    <w:rsid w:val="44B114C8"/>
    <w:rsid w:val="45166CE8"/>
    <w:rsid w:val="458425CC"/>
    <w:rsid w:val="46987409"/>
    <w:rsid w:val="46B420A1"/>
    <w:rsid w:val="4886241C"/>
    <w:rsid w:val="48E05F8A"/>
    <w:rsid w:val="48F82073"/>
    <w:rsid w:val="4A046A86"/>
    <w:rsid w:val="4A7049DA"/>
    <w:rsid w:val="4B104C7A"/>
    <w:rsid w:val="4C3C0B3D"/>
    <w:rsid w:val="4CCC497C"/>
    <w:rsid w:val="4CE01D17"/>
    <w:rsid w:val="4D6640C3"/>
    <w:rsid w:val="4D7D0D82"/>
    <w:rsid w:val="4DC43A41"/>
    <w:rsid w:val="4F03473D"/>
    <w:rsid w:val="4FB014D7"/>
    <w:rsid w:val="4FD4364A"/>
    <w:rsid w:val="501473D3"/>
    <w:rsid w:val="50540069"/>
    <w:rsid w:val="50AA70C6"/>
    <w:rsid w:val="50AF24CB"/>
    <w:rsid w:val="51307C7F"/>
    <w:rsid w:val="514411E2"/>
    <w:rsid w:val="523F760A"/>
    <w:rsid w:val="527769E9"/>
    <w:rsid w:val="52B00809"/>
    <w:rsid w:val="52D30985"/>
    <w:rsid w:val="53958AA8"/>
    <w:rsid w:val="540A2287"/>
    <w:rsid w:val="54D13FE3"/>
    <w:rsid w:val="55C40E60"/>
    <w:rsid w:val="55DE68AA"/>
    <w:rsid w:val="560A7966"/>
    <w:rsid w:val="56260B83"/>
    <w:rsid w:val="56311E0D"/>
    <w:rsid w:val="568E7490"/>
    <w:rsid w:val="56AB0D99"/>
    <w:rsid w:val="56FE2C83"/>
    <w:rsid w:val="57012CEE"/>
    <w:rsid w:val="57533531"/>
    <w:rsid w:val="57FE742C"/>
    <w:rsid w:val="58BA7035"/>
    <w:rsid w:val="59165FDC"/>
    <w:rsid w:val="592D7EF5"/>
    <w:rsid w:val="5974729C"/>
    <w:rsid w:val="5A6D3901"/>
    <w:rsid w:val="5B759218"/>
    <w:rsid w:val="5B77F0B3"/>
    <w:rsid w:val="5BDB4E1A"/>
    <w:rsid w:val="5BF381B3"/>
    <w:rsid w:val="5CCA06F9"/>
    <w:rsid w:val="5D1768B0"/>
    <w:rsid w:val="5D1D0666"/>
    <w:rsid w:val="5D7D593F"/>
    <w:rsid w:val="5DC3D23F"/>
    <w:rsid w:val="5DD44111"/>
    <w:rsid w:val="5E322ED8"/>
    <w:rsid w:val="5EB36DEA"/>
    <w:rsid w:val="5FBF01F3"/>
    <w:rsid w:val="5FEFAD26"/>
    <w:rsid w:val="5FFDE3E9"/>
    <w:rsid w:val="60CF6AC5"/>
    <w:rsid w:val="61FA4264"/>
    <w:rsid w:val="625E0C2B"/>
    <w:rsid w:val="62852F94"/>
    <w:rsid w:val="653E2AE1"/>
    <w:rsid w:val="65405652"/>
    <w:rsid w:val="65AA24D9"/>
    <w:rsid w:val="65F0434C"/>
    <w:rsid w:val="663E66FF"/>
    <w:rsid w:val="66B01A20"/>
    <w:rsid w:val="66C11F13"/>
    <w:rsid w:val="66F784BE"/>
    <w:rsid w:val="6759586E"/>
    <w:rsid w:val="67B11F87"/>
    <w:rsid w:val="683B631A"/>
    <w:rsid w:val="69C765FE"/>
    <w:rsid w:val="6A692F50"/>
    <w:rsid w:val="6AFEF589"/>
    <w:rsid w:val="6B2A0C5E"/>
    <w:rsid w:val="6B747BE7"/>
    <w:rsid w:val="6BA96FAE"/>
    <w:rsid w:val="6BE7DE34"/>
    <w:rsid w:val="6DBFB246"/>
    <w:rsid w:val="6DC872D2"/>
    <w:rsid w:val="6E6D7D9C"/>
    <w:rsid w:val="6EF3404B"/>
    <w:rsid w:val="6F2D5C85"/>
    <w:rsid w:val="6F91319C"/>
    <w:rsid w:val="70B365A9"/>
    <w:rsid w:val="71C86F5A"/>
    <w:rsid w:val="72617461"/>
    <w:rsid w:val="727F0F56"/>
    <w:rsid w:val="72D22312"/>
    <w:rsid w:val="738B3892"/>
    <w:rsid w:val="74D5289F"/>
    <w:rsid w:val="75AD0D92"/>
    <w:rsid w:val="75E7AF73"/>
    <w:rsid w:val="76365E19"/>
    <w:rsid w:val="767AD80E"/>
    <w:rsid w:val="775D1D32"/>
    <w:rsid w:val="77F96541"/>
    <w:rsid w:val="77FD069C"/>
    <w:rsid w:val="780B6BD1"/>
    <w:rsid w:val="791D6370"/>
    <w:rsid w:val="7A377612"/>
    <w:rsid w:val="7A3D37B2"/>
    <w:rsid w:val="7A4F46E6"/>
    <w:rsid w:val="7AB5C3F0"/>
    <w:rsid w:val="7AEEEA24"/>
    <w:rsid w:val="7B212602"/>
    <w:rsid w:val="7B3C113C"/>
    <w:rsid w:val="7BCC882F"/>
    <w:rsid w:val="7BDF2DB0"/>
    <w:rsid w:val="7BEF2419"/>
    <w:rsid w:val="7C0B47C8"/>
    <w:rsid w:val="7C2D86A6"/>
    <w:rsid w:val="7CEE2507"/>
    <w:rsid w:val="7D23174B"/>
    <w:rsid w:val="7D7176F8"/>
    <w:rsid w:val="7DD0B48F"/>
    <w:rsid w:val="7DED9B04"/>
    <w:rsid w:val="7E174046"/>
    <w:rsid w:val="7E277888"/>
    <w:rsid w:val="7E7F38C3"/>
    <w:rsid w:val="7F00641E"/>
    <w:rsid w:val="7F476CD0"/>
    <w:rsid w:val="7F9F81F4"/>
    <w:rsid w:val="7FBB5026"/>
    <w:rsid w:val="7FBF94A2"/>
    <w:rsid w:val="7FFA5E41"/>
    <w:rsid w:val="7FFB1546"/>
    <w:rsid w:val="7FFD7C14"/>
    <w:rsid w:val="7FFFF8D3"/>
    <w:rsid w:val="95FF627D"/>
    <w:rsid w:val="9B57F625"/>
    <w:rsid w:val="ADFE6A2C"/>
    <w:rsid w:val="AF5D60E4"/>
    <w:rsid w:val="B7CB611E"/>
    <w:rsid w:val="BD836C7B"/>
    <w:rsid w:val="BE7DAA64"/>
    <w:rsid w:val="BFDB972D"/>
    <w:rsid w:val="C2BFD079"/>
    <w:rsid w:val="C78C15A0"/>
    <w:rsid w:val="CF3D8641"/>
    <w:rsid w:val="D75D74FA"/>
    <w:rsid w:val="D79FB7EF"/>
    <w:rsid w:val="DBD475C4"/>
    <w:rsid w:val="DEF79504"/>
    <w:rsid w:val="DF7B9A06"/>
    <w:rsid w:val="E57FE48D"/>
    <w:rsid w:val="E9FE0FDD"/>
    <w:rsid w:val="ED5EB86B"/>
    <w:rsid w:val="EE7F5BF6"/>
    <w:rsid w:val="EEDDFA34"/>
    <w:rsid w:val="EFCD0F0F"/>
    <w:rsid w:val="EFDB0252"/>
    <w:rsid w:val="EFEE2928"/>
    <w:rsid w:val="F6B70B8F"/>
    <w:rsid w:val="F7B908A7"/>
    <w:rsid w:val="F7FFF6F7"/>
    <w:rsid w:val="F96FEC76"/>
    <w:rsid w:val="F977E875"/>
    <w:rsid w:val="FA7537AE"/>
    <w:rsid w:val="FAF6A382"/>
    <w:rsid w:val="FBB30861"/>
    <w:rsid w:val="FBFFFAE3"/>
    <w:rsid w:val="FC7E2DAA"/>
    <w:rsid w:val="FC7F6931"/>
    <w:rsid w:val="FCFED2E3"/>
    <w:rsid w:val="FD6769B7"/>
    <w:rsid w:val="FDBF65C3"/>
    <w:rsid w:val="FDDF519F"/>
    <w:rsid w:val="FF7D00E7"/>
    <w:rsid w:val="FF7F6E86"/>
    <w:rsid w:val="FFB77E70"/>
    <w:rsid w:val="FFCA88C2"/>
    <w:rsid w:val="FFE4A6FC"/>
    <w:rsid w:val="FFFD3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560" w:lineRule="exact"/>
      <w:ind w:firstLine="880" w:firstLineChars="200"/>
      <w:jc w:val="both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36"/>
    <w:qFormat/>
    <w:uiPriority w:val="0"/>
    <w:pPr>
      <w:keepNext/>
      <w:numPr>
        <w:ilvl w:val="0"/>
        <w:numId w:val="1"/>
      </w:numPr>
      <w:ind w:firstLineChars="0"/>
      <w:outlineLvl w:val="0"/>
    </w:pPr>
    <w:rPr>
      <w:rFonts w:eastAsia="黑体"/>
      <w:b/>
      <w:bCs/>
      <w:kern w:val="44"/>
      <w:szCs w:val="44"/>
    </w:rPr>
  </w:style>
  <w:style w:type="paragraph" w:styleId="3">
    <w:name w:val="heading 2"/>
    <w:basedOn w:val="1"/>
    <w:next w:val="1"/>
    <w:link w:val="31"/>
    <w:unhideWhenUsed/>
    <w:qFormat/>
    <w:uiPriority w:val="0"/>
    <w:pPr>
      <w:keepNext/>
      <w:keepLines/>
      <w:numPr>
        <w:ilvl w:val="0"/>
        <w:numId w:val="2"/>
      </w:numPr>
      <w:ind w:firstLineChars="0"/>
      <w:outlineLvl w:val="1"/>
    </w:pPr>
    <w:rPr>
      <w:rFonts w:eastAsia="楷体_GB2312" w:cs="Times New Roman"/>
      <w:snapToGrid w:val="0"/>
      <w:color w:val="000000"/>
      <w:szCs w:val="21"/>
      <w:lang w:eastAsia="en-US"/>
    </w:rPr>
  </w:style>
  <w:style w:type="paragraph" w:styleId="4">
    <w:name w:val="heading 3"/>
    <w:basedOn w:val="1"/>
    <w:next w:val="1"/>
    <w:link w:val="26"/>
    <w:semiHidden/>
    <w:unhideWhenUsed/>
    <w:qFormat/>
    <w:uiPriority w:val="0"/>
    <w:pPr>
      <w:numPr>
        <w:ilvl w:val="2"/>
        <w:numId w:val="1"/>
      </w:numPr>
      <w:ind w:firstLine="0" w:firstLineChars="0"/>
      <w:jc w:val="left"/>
      <w:outlineLvl w:val="2"/>
    </w:pPr>
    <w:rPr>
      <w:rFonts w:hint="eastAsia" w:ascii="宋体" w:hAnsi="宋体" w:cs="Times New Roman"/>
      <w:b/>
      <w:bCs/>
      <w:kern w:val="0"/>
      <w:szCs w:val="27"/>
    </w:rPr>
  </w:style>
  <w:style w:type="paragraph" w:styleId="5">
    <w:name w:val="heading 4"/>
    <w:basedOn w:val="1"/>
    <w:next w:val="6"/>
    <w:link w:val="24"/>
    <w:semiHidden/>
    <w:unhideWhenUsed/>
    <w:qFormat/>
    <w:uiPriority w:val="0"/>
    <w:pPr>
      <w:numPr>
        <w:ilvl w:val="3"/>
        <w:numId w:val="1"/>
      </w:numPr>
      <w:ind w:firstLine="0" w:firstLineChars="0"/>
      <w:outlineLvl w:val="3"/>
    </w:pPr>
    <w:rPr>
      <w:rFonts w:ascii="楷体_GB2312" w:hAnsi="楷体_GB2312" w:cs="仿宋_GB2312"/>
      <w:b/>
      <w:szCs w:val="32"/>
    </w:rPr>
  </w:style>
  <w:style w:type="paragraph" w:styleId="8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after="290" w:line="372" w:lineRule="auto"/>
      <w:ind w:firstLine="0" w:firstLineChars="0"/>
      <w:outlineLvl w:val="4"/>
    </w:pPr>
    <w:rPr>
      <w:b/>
      <w:sz w:val="28"/>
    </w:rPr>
  </w:style>
  <w:style w:type="paragraph" w:styleId="9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after="64" w:line="317" w:lineRule="auto"/>
      <w:ind w:firstLine="0" w:firstLineChars="0"/>
      <w:outlineLvl w:val="5"/>
    </w:pPr>
    <w:rPr>
      <w:rFonts w:ascii="Arial" w:hAnsi="Arial" w:eastAsia="黑体"/>
      <w:b/>
      <w:sz w:val="24"/>
    </w:rPr>
  </w:style>
  <w:style w:type="paragraph" w:styleId="10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after="64" w:line="317" w:lineRule="auto"/>
      <w:ind w:firstLine="0" w:firstLineChars="0"/>
      <w:outlineLvl w:val="6"/>
    </w:pPr>
    <w:rPr>
      <w:b/>
      <w:sz w:val="24"/>
    </w:rPr>
  </w:style>
  <w:style w:type="paragraph" w:styleId="11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after="64" w:line="317" w:lineRule="auto"/>
      <w:ind w:firstLine="0" w:firstLineChars="0"/>
      <w:outlineLvl w:val="7"/>
    </w:pPr>
    <w:rPr>
      <w:rFonts w:ascii="Arial" w:hAnsi="Arial" w:eastAsia="黑体"/>
      <w:sz w:val="24"/>
    </w:rPr>
  </w:style>
  <w:style w:type="paragraph" w:styleId="12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after="64" w:line="317" w:lineRule="auto"/>
      <w:ind w:firstLine="0" w:firstLineChars="0"/>
      <w:outlineLvl w:val="8"/>
    </w:pPr>
    <w:rPr>
      <w:rFonts w:ascii="Arial" w:hAnsi="Arial" w:eastAsia="黑体"/>
      <w:sz w:val="21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next w:val="7"/>
    <w:link w:val="20"/>
    <w:qFormat/>
    <w:uiPriority w:val="0"/>
    <w:pPr>
      <w:ind w:firstLine="420"/>
    </w:pPr>
    <w:rPr>
      <w:rFonts w:cs="宋体"/>
    </w:rPr>
  </w:style>
  <w:style w:type="paragraph" w:styleId="7">
    <w:name w:val="List Paragraph"/>
    <w:basedOn w:val="1"/>
    <w:qFormat/>
    <w:uiPriority w:val="0"/>
    <w:pPr>
      <w:ind w:firstLine="200"/>
    </w:pPr>
  </w:style>
  <w:style w:type="paragraph" w:styleId="13">
    <w:name w:val="footer"/>
    <w:basedOn w:val="1"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1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pacing w:line="240" w:lineRule="auto"/>
    </w:pPr>
    <w:rPr>
      <w:sz w:val="18"/>
    </w:rPr>
  </w:style>
  <w:style w:type="paragraph" w:styleId="15">
    <w:name w:val="Title"/>
    <w:basedOn w:val="1"/>
    <w:qFormat/>
    <w:uiPriority w:val="0"/>
    <w:pPr>
      <w:numPr>
        <w:ilvl w:val="0"/>
        <w:numId w:val="3"/>
      </w:numPr>
      <w:spacing w:before="240" w:after="60"/>
      <w:jc w:val="center"/>
      <w:outlineLvl w:val="0"/>
    </w:pPr>
    <w:rPr>
      <w:rFonts w:ascii="Cambria" w:hAnsi="Cambria" w:eastAsia="宋体" w:cs="Times New Roman"/>
      <w:b/>
      <w:bCs/>
      <w:szCs w:val="32"/>
    </w:rPr>
  </w:style>
  <w:style w:type="table" w:styleId="17">
    <w:name w:val="Table Grid"/>
    <w:basedOn w:val="1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9">
    <w:name w:val="Strong"/>
    <w:basedOn w:val="18"/>
    <w:qFormat/>
    <w:uiPriority w:val="0"/>
    <w:rPr>
      <w:b/>
    </w:rPr>
  </w:style>
  <w:style w:type="character" w:customStyle="1" w:styleId="20">
    <w:name w:val="正文文本 字符"/>
    <w:basedOn w:val="18"/>
    <w:link w:val="6"/>
    <w:qFormat/>
    <w:uiPriority w:val="0"/>
    <w:rPr>
      <w:rFonts w:ascii="Times New Roman" w:hAnsi="Times New Roman" w:eastAsia="仿宋_GB2312" w:cs="宋体"/>
      <w:kern w:val="2"/>
      <w:sz w:val="32"/>
      <w:szCs w:val="24"/>
    </w:rPr>
  </w:style>
  <w:style w:type="paragraph" w:customStyle="1" w:styleId="21">
    <w:name w:val="表内容"/>
    <w:basedOn w:val="1"/>
    <w:qFormat/>
    <w:uiPriority w:val="0"/>
    <w:pPr>
      <w:widowControl/>
      <w:spacing w:line="360" w:lineRule="exact"/>
      <w:jc w:val="center"/>
      <w:textAlignment w:val="center"/>
    </w:pPr>
    <w:rPr>
      <w:rFonts w:hint="eastAsia" w:ascii="仿宋_GB2312" w:hAnsi="仿宋_GB2312" w:cs="Times New Roman"/>
      <w:color w:val="000000"/>
      <w:kern w:val="0"/>
      <w:sz w:val="21"/>
    </w:rPr>
  </w:style>
  <w:style w:type="paragraph" w:customStyle="1" w:styleId="22">
    <w:name w:val="图标题（图X ）"/>
    <w:basedOn w:val="1"/>
    <w:qFormat/>
    <w:uiPriority w:val="0"/>
    <w:pPr>
      <w:keepLines/>
      <w:numPr>
        <w:ilvl w:val="2"/>
        <w:numId w:val="4"/>
      </w:numPr>
      <w:tabs>
        <w:tab w:val="left" w:pos="1260"/>
      </w:tabs>
      <w:jc w:val="center"/>
    </w:pPr>
    <w:rPr>
      <w:rFonts w:hint="eastAsia" w:ascii="黑体" w:hAnsi="黑体" w:eastAsia="黑体" w:cs="楷体"/>
      <w:sz w:val="28"/>
    </w:rPr>
  </w:style>
  <w:style w:type="paragraph" w:customStyle="1" w:styleId="23">
    <w:name w:val="表内容（四号字）"/>
    <w:basedOn w:val="1"/>
    <w:next w:val="6"/>
    <w:qFormat/>
    <w:uiPriority w:val="0"/>
    <w:pPr>
      <w:widowControl/>
      <w:spacing w:line="360" w:lineRule="exact"/>
      <w:jc w:val="center"/>
      <w:textAlignment w:val="center"/>
    </w:pPr>
    <w:rPr>
      <w:rFonts w:hint="eastAsia" w:ascii="仿宋_GB2312" w:hAnsi="仿宋_GB2312" w:cs="Times New Roman"/>
      <w:color w:val="000000"/>
      <w:kern w:val="0"/>
      <w:sz w:val="28"/>
    </w:rPr>
  </w:style>
  <w:style w:type="character" w:customStyle="1" w:styleId="24">
    <w:name w:val="标题 4 字符"/>
    <w:basedOn w:val="18"/>
    <w:link w:val="5"/>
    <w:qFormat/>
    <w:uiPriority w:val="0"/>
    <w:rPr>
      <w:rFonts w:ascii="楷体_GB2312" w:hAnsi="楷体_GB2312" w:eastAsia="楷体_GB2312" w:cs="Times New Roman"/>
      <w:b/>
      <w:kern w:val="2"/>
      <w:sz w:val="32"/>
      <w:szCs w:val="24"/>
    </w:rPr>
  </w:style>
  <w:style w:type="paragraph" w:customStyle="1" w:styleId="25">
    <w:name w:val="图格式"/>
    <w:basedOn w:val="1"/>
    <w:qFormat/>
    <w:uiPriority w:val="0"/>
    <w:pPr>
      <w:spacing w:line="360" w:lineRule="auto"/>
      <w:ind w:firstLine="0" w:firstLineChars="0"/>
      <w:jc w:val="center"/>
    </w:pPr>
    <w:rPr>
      <w:rFonts w:hint="eastAsia" w:cs="宋体"/>
    </w:rPr>
  </w:style>
  <w:style w:type="character" w:customStyle="1" w:styleId="26">
    <w:name w:val="标题 3 字符"/>
    <w:basedOn w:val="18"/>
    <w:link w:val="4"/>
    <w:qFormat/>
    <w:uiPriority w:val="0"/>
    <w:rPr>
      <w:rFonts w:ascii="宋体" w:hAnsi="宋体" w:eastAsia="仿宋_GB2312" w:cs="宋体"/>
      <w:b/>
      <w:bCs/>
      <w:sz w:val="32"/>
      <w:szCs w:val="32"/>
    </w:rPr>
  </w:style>
  <w:style w:type="paragraph" w:customStyle="1" w:styleId="27">
    <w:name w:val="表内容（五号字）"/>
    <w:basedOn w:val="1"/>
    <w:qFormat/>
    <w:uiPriority w:val="0"/>
    <w:pPr>
      <w:widowControl/>
      <w:jc w:val="center"/>
      <w:textAlignment w:val="center"/>
    </w:pPr>
    <w:rPr>
      <w:rFonts w:hint="eastAsia" w:ascii="仿宋_GB2312" w:hAnsi="仿宋_GB2312" w:cs="Times New Roman"/>
      <w:color w:val="000000"/>
      <w:kern w:val="0"/>
    </w:rPr>
  </w:style>
  <w:style w:type="paragraph" w:customStyle="1" w:styleId="28">
    <w:name w:val="样式1"/>
    <w:basedOn w:val="1"/>
    <w:qFormat/>
    <w:uiPriority w:val="0"/>
    <w:pPr>
      <w:widowControl/>
      <w:numPr>
        <w:ilvl w:val="0"/>
        <w:numId w:val="5"/>
      </w:numPr>
      <w:ind w:left="0" w:firstLine="0"/>
      <w:jc w:val="left"/>
    </w:pPr>
    <w:rPr>
      <w:rFonts w:hint="eastAsia" w:ascii="宋体" w:hAnsi="宋体" w:eastAsia="宋体" w:cs="Times New Roman"/>
      <w:color w:val="000000"/>
      <w:kern w:val="0"/>
      <w:sz w:val="20"/>
      <w:szCs w:val="20"/>
    </w:rPr>
  </w:style>
  <w:style w:type="paragraph" w:customStyle="1" w:styleId="29">
    <w:name w:val="图标题"/>
    <w:basedOn w:val="1"/>
    <w:next w:val="6"/>
    <w:qFormat/>
    <w:uiPriority w:val="0"/>
    <w:pPr>
      <w:numPr>
        <w:ilvl w:val="0"/>
        <w:numId w:val="6"/>
      </w:numPr>
      <w:spacing w:line="240" w:lineRule="auto"/>
      <w:ind w:firstLine="0" w:firstLineChars="0"/>
      <w:jc w:val="center"/>
    </w:pPr>
    <w:rPr>
      <w:rFonts w:hint="eastAsia" w:cs="Times New Roman"/>
      <w:sz w:val="28"/>
      <w:szCs w:val="28"/>
    </w:rPr>
  </w:style>
  <w:style w:type="paragraph" w:customStyle="1" w:styleId="30">
    <w:name w:val="表标题1"/>
    <w:basedOn w:val="1"/>
    <w:next w:val="6"/>
    <w:qFormat/>
    <w:uiPriority w:val="0"/>
    <w:pPr>
      <w:numPr>
        <w:ilvl w:val="0"/>
        <w:numId w:val="7"/>
      </w:numPr>
      <w:spacing w:line="240" w:lineRule="auto"/>
      <w:ind w:firstLine="0" w:firstLineChars="0"/>
      <w:jc w:val="center"/>
    </w:pPr>
    <w:rPr>
      <w:rFonts w:hint="eastAsia" w:cs="Times New Roman"/>
      <w:color w:val="000000"/>
      <w:szCs w:val="32"/>
      <w:lang w:bidi="en-US"/>
    </w:rPr>
  </w:style>
  <w:style w:type="character" w:customStyle="1" w:styleId="31">
    <w:name w:val="标题 2 字符"/>
    <w:basedOn w:val="18"/>
    <w:link w:val="3"/>
    <w:qFormat/>
    <w:uiPriority w:val="9"/>
    <w:rPr>
      <w:rFonts w:ascii="Times New Roman" w:hAnsi="Times New Roman" w:eastAsia="楷体_GB2312" w:cstheme="majorBidi"/>
      <w:b/>
      <w:bCs/>
      <w:snapToGrid w:val="0"/>
      <w:color w:val="000000"/>
      <w:sz w:val="32"/>
      <w:szCs w:val="21"/>
      <w:lang w:eastAsia="en-US"/>
    </w:rPr>
  </w:style>
  <w:style w:type="paragraph" w:customStyle="1" w:styleId="32">
    <w:name w:val="图序"/>
    <w:basedOn w:val="29"/>
    <w:next w:val="1"/>
    <w:qFormat/>
    <w:uiPriority w:val="0"/>
    <w:pPr>
      <w:numPr>
        <w:ilvl w:val="0"/>
        <w:numId w:val="8"/>
      </w:numPr>
      <w:spacing w:after="50" w:afterLines="50"/>
      <w:ind w:left="0" w:firstLine="0"/>
    </w:pPr>
    <w:rPr>
      <w:sz w:val="32"/>
    </w:rPr>
  </w:style>
  <w:style w:type="paragraph" w:customStyle="1" w:styleId="33">
    <w:name w:val="图序1"/>
    <w:basedOn w:val="1"/>
    <w:next w:val="6"/>
    <w:qFormat/>
    <w:uiPriority w:val="0"/>
    <w:pPr>
      <w:numPr>
        <w:ilvl w:val="0"/>
        <w:numId w:val="4"/>
      </w:numPr>
      <w:tabs>
        <w:tab w:val="left" w:pos="312"/>
        <w:tab w:val="clear" w:pos="0"/>
      </w:tabs>
      <w:spacing w:line="240" w:lineRule="auto"/>
      <w:jc w:val="center"/>
    </w:pPr>
    <w:rPr>
      <w:rFonts w:hint="eastAsia" w:cs="Times New Roman"/>
      <w:szCs w:val="28"/>
    </w:rPr>
  </w:style>
  <w:style w:type="paragraph" w:customStyle="1" w:styleId="34">
    <w:name w:val="图序2"/>
    <w:basedOn w:val="33"/>
    <w:next w:val="1"/>
    <w:qFormat/>
    <w:uiPriority w:val="0"/>
    <w:pPr>
      <w:numPr>
        <w:ilvl w:val="2"/>
        <w:numId w:val="9"/>
      </w:numPr>
      <w:spacing w:after="50" w:afterLines="50"/>
    </w:pPr>
  </w:style>
  <w:style w:type="paragraph" w:customStyle="1" w:styleId="35">
    <w:name w:val="图序4"/>
    <w:basedOn w:val="1"/>
    <w:qFormat/>
    <w:uiPriority w:val="0"/>
    <w:pPr>
      <w:numPr>
        <w:ilvl w:val="0"/>
        <w:numId w:val="10"/>
      </w:numPr>
      <w:spacing w:line="240" w:lineRule="auto"/>
      <w:jc w:val="center"/>
    </w:pPr>
    <w:rPr>
      <w:rFonts w:hint="eastAsia"/>
    </w:rPr>
  </w:style>
  <w:style w:type="character" w:customStyle="1" w:styleId="36">
    <w:name w:val="标题 1 字符"/>
    <w:link w:val="2"/>
    <w:qFormat/>
    <w:uiPriority w:val="0"/>
    <w:rPr>
      <w:rFonts w:ascii="Times New Roman" w:hAnsi="Times New Roman" w:eastAsia="黑体" w:cs="Times New Roman"/>
      <w:kern w:val="44"/>
      <w:sz w:val="32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9</Pages>
  <Words>4521</Words>
  <Characters>4725</Characters>
  <Lines>1</Lines>
  <Paragraphs>1</Paragraphs>
  <TotalTime>11</TotalTime>
  <ScaleCrop>false</ScaleCrop>
  <LinksUpToDate>false</LinksUpToDate>
  <CharactersWithSpaces>4726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2024-08-24T17:21:00Z</dcterms:created>
  <dc:creator>梓清。</dc:creator>
  <cp:lastModifiedBy>Administrator</cp:lastModifiedBy>
  <cp:lastPrinted>2024-10-13T01:11:00Z</cp:lastPrinted>
  <dcterms:modified xsi:type="dcterms:W3CDTF">2024-10-16T06:47:59Z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  <property fmtid="{D5CDD505-2E9C-101B-9397-08002B2CF9AE}" pid="3" name="ICV">
    <vt:lpwstr>14F30F530DF5470AA7EEF7CBFAD7E3DB_13</vt:lpwstr>
  </property>
</Properties>
</file>