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D5F7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方正小标宋简体" w:hAnsi="方正小标宋简体" w:eastAsia="方正小标宋简体" w:cs="方正小标宋简体"/>
          <w:color w:val="auto"/>
          <w:sz w:val="24"/>
          <w:szCs w:val="24"/>
          <w:highlight w:val="none"/>
          <w:u w:val="none"/>
          <w:lang w:val="en-US" w:eastAsia="zh-CN"/>
        </w:rPr>
      </w:pPr>
      <w:r>
        <w:rPr>
          <w:rFonts w:hint="eastAsia" w:ascii="方正小标宋简体" w:hAnsi="方正小标宋简体" w:eastAsia="方正小标宋简体" w:cs="方正小标宋简体"/>
          <w:color w:val="auto"/>
          <w:sz w:val="24"/>
          <w:szCs w:val="24"/>
          <w:highlight w:val="none"/>
          <w:u w:val="none"/>
          <w:lang w:val="en-US" w:eastAsia="zh-CN"/>
        </w:rPr>
        <w:t>附件1</w:t>
      </w:r>
    </w:p>
    <w:p w14:paraId="25360E5F">
      <w:pPr>
        <w:keepNext w:val="0"/>
        <w:keepLines w:val="0"/>
        <w:pageBreakBefore w:val="0"/>
        <w:widowControl/>
        <w:kinsoku w:val="0"/>
        <w:wordWrap/>
        <w:overflowPunct/>
        <w:topLinePunct w:val="0"/>
        <w:autoSpaceDE w:val="0"/>
        <w:autoSpaceDN w:val="0"/>
        <w:bidi w:val="0"/>
        <w:adjustRightInd w:val="0"/>
        <w:snapToGrid w:val="0"/>
        <w:spacing w:line="580" w:lineRule="exact"/>
        <w:jc w:val="left"/>
        <w:textAlignment w:val="baseline"/>
        <w:rPr>
          <w:rFonts w:hint="default" w:ascii="方正小标宋简体" w:hAnsi="方正小标宋简体" w:eastAsia="方正小标宋简体" w:cs="方正小标宋简体"/>
          <w:color w:val="auto"/>
          <w:sz w:val="44"/>
          <w:szCs w:val="44"/>
          <w:highlight w:val="none"/>
          <w:u w:val="none"/>
          <w:lang w:val="en-US" w:eastAsia="zh-CN"/>
        </w:rPr>
      </w:pPr>
    </w:p>
    <w:p w14:paraId="1E6434EB">
      <w:pPr>
        <w:keepNext w:val="0"/>
        <w:keepLines w:val="0"/>
        <w:pageBreakBefore w:val="0"/>
        <w:widowControl/>
        <w:kinsoku w:val="0"/>
        <w:wordWrap/>
        <w:overflowPunct/>
        <w:topLinePunct w:val="0"/>
        <w:autoSpaceDE w:val="0"/>
        <w:autoSpaceDN w:val="0"/>
        <w:bidi w:val="0"/>
        <w:adjustRightInd w:val="0"/>
        <w:snapToGrid w:val="0"/>
        <w:spacing w:line="580" w:lineRule="exact"/>
        <w:jc w:val="center"/>
        <w:textAlignment w:val="baseline"/>
        <w:rPr>
          <w:rFonts w:hint="eastAsia" w:ascii="方正小标宋简体" w:hAnsi="方正小标宋简体" w:eastAsia="方正小标宋简体" w:cs="方正小标宋简体"/>
          <w:color w:val="auto"/>
          <w:sz w:val="44"/>
          <w:szCs w:val="44"/>
          <w:highlight w:val="none"/>
          <w:u w:val="none"/>
          <w:lang w:val="en-US"/>
        </w:rPr>
      </w:pPr>
      <w:r>
        <w:rPr>
          <w:rFonts w:hint="eastAsia" w:ascii="方正小标宋简体" w:hAnsi="方正小标宋简体" w:eastAsia="方正小标宋简体" w:cs="方正小标宋简体"/>
          <w:color w:val="auto"/>
          <w:sz w:val="44"/>
          <w:szCs w:val="44"/>
          <w:highlight w:val="none"/>
          <w:u w:val="none"/>
          <w:lang w:val="en-US"/>
        </w:rPr>
        <w:t>南宁市重大项目管理办法</w:t>
      </w:r>
    </w:p>
    <w:p w14:paraId="12D45BC2">
      <w:pPr>
        <w:keepNext w:val="0"/>
        <w:keepLines w:val="0"/>
        <w:pageBreakBefore w:val="0"/>
        <w:widowControl/>
        <w:kinsoku w:val="0"/>
        <w:wordWrap/>
        <w:overflowPunct/>
        <w:topLinePunct w:val="0"/>
        <w:autoSpaceDE w:val="0"/>
        <w:autoSpaceDN w:val="0"/>
        <w:bidi w:val="0"/>
        <w:adjustRightInd w:val="0"/>
        <w:snapToGrid w:val="0"/>
        <w:spacing w:line="580" w:lineRule="exact"/>
        <w:jc w:val="center"/>
        <w:textAlignment w:val="baseline"/>
        <w:rPr>
          <w:rFonts w:hint="default" w:ascii="Times New Roman" w:hAnsi="Times New Roman" w:eastAsia="仿宋_GB2312" w:cs="Times New Roman"/>
          <w:color w:val="auto"/>
          <w:sz w:val="32"/>
          <w:szCs w:val="32"/>
          <w:highlight w:val="none"/>
          <w:u w:val="none"/>
          <w:lang w:val="en-US"/>
        </w:rPr>
      </w:pPr>
      <w:r>
        <w:rPr>
          <w:rFonts w:hint="default" w:ascii="Times New Roman" w:hAnsi="Times New Roman" w:eastAsia="仿宋_GB2312" w:cs="Times New Roman"/>
          <w:color w:val="auto"/>
          <w:sz w:val="32"/>
          <w:szCs w:val="32"/>
          <w:highlight w:val="none"/>
          <w:u w:val="none"/>
          <w:lang w:val="en-US"/>
        </w:rPr>
        <w:t>（征求意见稿）</w:t>
      </w:r>
    </w:p>
    <w:p w14:paraId="69E4408A">
      <w:pPr>
        <w:pStyle w:val="2"/>
        <w:rPr>
          <w:rFonts w:hint="default"/>
          <w:highlight w:val="none"/>
          <w:u w:val="none"/>
          <w:lang w:val="en-US"/>
        </w:rPr>
      </w:pPr>
    </w:p>
    <w:p w14:paraId="60803741">
      <w:pPr>
        <w:keepNext w:val="0"/>
        <w:keepLines w:val="0"/>
        <w:pageBreakBefore w:val="0"/>
        <w:widowControl/>
        <w:kinsoku w:val="0"/>
        <w:wordWrap/>
        <w:overflowPunct/>
        <w:topLinePunct w:val="0"/>
        <w:autoSpaceDE w:val="0"/>
        <w:autoSpaceDN w:val="0"/>
        <w:bidi w:val="0"/>
        <w:adjustRightInd w:val="0"/>
        <w:snapToGrid w:val="0"/>
        <w:spacing w:line="580" w:lineRule="exact"/>
        <w:jc w:val="both"/>
        <w:textAlignment w:val="baseline"/>
        <w:rPr>
          <w:rFonts w:hint="default" w:ascii="Times New Roman" w:hAnsi="Times New Roman" w:eastAsia="仿宋_GB2312" w:cs="Times New Roman"/>
          <w:color w:val="auto"/>
          <w:sz w:val="32"/>
          <w:szCs w:val="32"/>
          <w:highlight w:val="none"/>
          <w:u w:val="none"/>
          <w:lang w:val="en-US"/>
        </w:rPr>
      </w:pPr>
    </w:p>
    <w:p w14:paraId="4C60D16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方正黑体_GBK" w:hAnsi="方正黑体_GBK" w:eastAsia="方正黑体_GBK" w:cs="方正黑体_GBK"/>
          <w:color w:val="auto"/>
          <w:sz w:val="32"/>
          <w:szCs w:val="32"/>
          <w:highlight w:val="none"/>
          <w:u w:val="none"/>
          <w:lang w:val="en-US"/>
        </w:rPr>
      </w:pPr>
      <w:bookmarkStart w:id="0" w:name="_GoBack"/>
      <w:bookmarkEnd w:id="0"/>
      <w:r>
        <w:rPr>
          <w:rFonts w:hint="eastAsia" w:ascii="方正黑体_GBK" w:hAnsi="方正黑体_GBK" w:eastAsia="方正黑体_GBK" w:cs="方正黑体_GBK"/>
          <w:color w:val="auto"/>
          <w:sz w:val="32"/>
          <w:szCs w:val="32"/>
          <w:highlight w:val="none"/>
          <w:u w:val="none"/>
          <w:lang w:val="en-US"/>
        </w:rPr>
        <w:t>第一章  总  则</w:t>
      </w:r>
    </w:p>
    <w:p w14:paraId="454D20DD">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jc w:val="both"/>
        <w:textAlignment w:val="baseline"/>
        <w:rPr>
          <w:rFonts w:hint="eastAsia" w:ascii="黑体" w:hAnsi="黑体" w:eastAsia="黑体" w:cs="黑体"/>
          <w:color w:val="auto"/>
          <w:sz w:val="32"/>
          <w:szCs w:val="32"/>
          <w:highlight w:val="none"/>
          <w:u w:val="none"/>
          <w:lang w:val="en-US"/>
        </w:rPr>
      </w:pPr>
    </w:p>
    <w:p w14:paraId="759E8A2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b/>
          <w:bCs/>
          <w:snapToGrid/>
          <w:color w:val="000000"/>
          <w:sz w:val="32"/>
          <w:szCs w:val="32"/>
          <w:highlight w:val="none"/>
          <w:u w:val="none"/>
          <w:lang w:val="en-US" w:eastAsia="zh-CN" w:bidi="ar"/>
        </w:rPr>
      </w:pPr>
      <w:r>
        <w:rPr>
          <w:rFonts w:hint="default" w:ascii="Times New Roman" w:hAnsi="Times New Roman" w:eastAsia="方正仿宋_GBK" w:cs="Times New Roman"/>
          <w:b/>
          <w:bCs/>
          <w:snapToGrid/>
          <w:color w:val="000000"/>
          <w:sz w:val="32"/>
          <w:szCs w:val="32"/>
          <w:highlight w:val="none"/>
          <w:u w:val="none"/>
          <w:lang w:val="en-US" w:eastAsia="zh-CN" w:bidi="ar"/>
        </w:rPr>
        <w:t>第一条</w:t>
      </w:r>
      <w:r>
        <w:rPr>
          <w:rFonts w:hint="default" w:ascii="Times New Roman" w:hAnsi="Times New Roman" w:eastAsia="方正仿宋_GBK" w:cs="Times New Roman"/>
          <w:b/>
          <w:bCs/>
          <w:snapToGrid/>
          <w:color w:val="000000"/>
          <w:kern w:val="0"/>
          <w:sz w:val="32"/>
          <w:szCs w:val="32"/>
          <w:highlight w:val="none"/>
          <w:u w:val="none"/>
          <w:lang w:val="en-US" w:eastAsia="zh-CN" w:bidi="ar"/>
        </w:rPr>
        <w:t xml:space="preserve"> </w:t>
      </w:r>
      <w:r>
        <w:rPr>
          <w:rFonts w:hint="default" w:ascii="Times New Roman" w:hAnsi="Times New Roman" w:eastAsia="方正仿宋_GBK" w:cs="Times New Roman"/>
          <w:color w:val="000000"/>
          <w:kern w:val="0"/>
          <w:sz w:val="32"/>
          <w:szCs w:val="32"/>
          <w:highlight w:val="none"/>
          <w:u w:val="none"/>
          <w:lang w:val="en-US" w:eastAsia="zh-CN" w:bidi="ar"/>
        </w:rPr>
        <w:t xml:space="preserve"> </w:t>
      </w:r>
      <w:r>
        <w:rPr>
          <w:rFonts w:hint="eastAsia" w:ascii="仿宋_GB2312" w:hAnsi="仿宋_GB2312" w:eastAsia="仿宋_GB2312" w:cs="仿宋_GB2312"/>
          <w:color w:val="auto"/>
          <w:sz w:val="32"/>
          <w:szCs w:val="32"/>
          <w:highlight w:val="none"/>
          <w:u w:val="none"/>
          <w:lang w:val="en-US"/>
        </w:rPr>
        <w:t>为规范和加强我市重大项目全生命周期管理，充分发挥重大项目的牵引带动作用，优化投资结构，提高投资效益，推动经济高质量发展，根据国家和自治区有关规定，结合本市实际制定本办法。</w:t>
      </w:r>
    </w:p>
    <w:p w14:paraId="73B79C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u w:val="none"/>
          <w:lang w:val="en-US"/>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二</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default" w:ascii="Times New Roman" w:hAnsi="Times New Roman" w:eastAsia="方正仿宋_GBK" w:cs="Times New Roman"/>
          <w:b/>
          <w:bCs/>
          <w:color w:val="000000"/>
          <w:kern w:val="0"/>
          <w:sz w:val="32"/>
          <w:szCs w:val="32"/>
          <w:highlight w:val="none"/>
          <w:u w:val="none"/>
          <w:lang w:val="en-US" w:eastAsia="zh-CN" w:bidi="ar"/>
        </w:rPr>
        <w:t xml:space="preserve"> </w:t>
      </w:r>
      <w:r>
        <w:rPr>
          <w:rFonts w:hint="default" w:ascii="Times New Roman" w:hAnsi="Times New Roman" w:eastAsia="方正仿宋_GBK" w:cs="Times New Roman"/>
          <w:color w:val="000000"/>
          <w:kern w:val="0"/>
          <w:sz w:val="32"/>
          <w:szCs w:val="32"/>
          <w:highlight w:val="none"/>
          <w:u w:val="none"/>
          <w:lang w:val="en-US" w:eastAsia="zh-CN" w:bidi="ar"/>
        </w:rPr>
        <w:t xml:space="preserve"> </w:t>
      </w:r>
      <w:r>
        <w:rPr>
          <w:rFonts w:hint="eastAsia" w:ascii="仿宋_GB2312" w:hAnsi="仿宋_GB2312" w:eastAsia="仿宋_GB2312" w:cs="仿宋_GB2312"/>
          <w:color w:val="auto"/>
          <w:sz w:val="32"/>
          <w:szCs w:val="32"/>
          <w:highlight w:val="none"/>
          <w:u w:val="none"/>
          <w:lang w:val="en-US"/>
        </w:rPr>
        <w:t>本办法所称南宁市重大项目，是指符合南宁市重大项目遴选标准并按本办法规定的程序确定，对国民经济和社会发展有重大影响的产业发展、科技创新、基础设施、生态环保、社会民生等领域固定资产投资项目。单纯设备购置项目原则上不作为南宁市重大项目进行管理。</w:t>
      </w:r>
    </w:p>
    <w:p w14:paraId="25733D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三</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eastAsia" w:ascii="仿宋_GB2312" w:hAnsi="仿宋_GB2312" w:eastAsia="仿宋_GB2312" w:cs="仿宋_GB2312"/>
          <w:color w:val="0070C0"/>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市直各部门按照以下职责分工，开展南宁市重大项目的管理、协调、服务工作：</w:t>
      </w:r>
    </w:p>
    <w:p w14:paraId="661DD54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6"/>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（一）市发展改革委牵头负责本办法的组织实施和全市重大项目的综合管理。包括</w:t>
      </w:r>
      <w:r>
        <w:rPr>
          <w:rFonts w:hint="eastAsia" w:ascii="仿宋_GB2312" w:hAnsi="仿宋_GB2312" w:eastAsia="仿宋_GB2312" w:cs="仿宋_GB2312"/>
          <w:color w:val="auto"/>
          <w:spacing w:val="9"/>
          <w:sz w:val="32"/>
          <w:szCs w:val="32"/>
          <w:highlight w:val="none"/>
          <w:u w:val="none"/>
        </w:rPr>
        <w:t>组织编制全市年度重大项目</w:t>
      </w:r>
      <w:r>
        <w:rPr>
          <w:rFonts w:hint="eastAsia" w:ascii="仿宋_GB2312" w:hAnsi="仿宋_GB2312" w:eastAsia="仿宋_GB2312" w:cs="仿宋_GB2312"/>
          <w:color w:val="auto"/>
          <w:spacing w:val="9"/>
          <w:sz w:val="32"/>
          <w:szCs w:val="32"/>
          <w:highlight w:val="none"/>
          <w:u w:val="none"/>
          <w:lang w:eastAsia="zh-CN"/>
        </w:rPr>
        <w:t>实施方案及项目清单</w:t>
      </w:r>
      <w:r>
        <w:rPr>
          <w:rFonts w:hint="eastAsia" w:ascii="仿宋_GB2312" w:hAnsi="仿宋_GB2312" w:eastAsia="仿宋_GB2312" w:cs="仿宋_GB2312"/>
          <w:color w:val="auto"/>
          <w:spacing w:val="9"/>
          <w:sz w:val="32"/>
          <w:szCs w:val="32"/>
          <w:highlight w:val="none"/>
          <w:u w:val="none"/>
        </w:rPr>
        <w:t>；</w:t>
      </w:r>
      <w:r>
        <w:rPr>
          <w:rFonts w:hint="eastAsia" w:ascii="仿宋_GB2312" w:hAnsi="仿宋_GB2312" w:eastAsia="仿宋_GB2312" w:cs="仿宋_GB2312"/>
          <w:color w:val="auto"/>
          <w:spacing w:val="4"/>
          <w:sz w:val="32"/>
          <w:szCs w:val="32"/>
          <w:highlight w:val="none"/>
          <w:u w:val="none"/>
        </w:rPr>
        <w:t>协调推进</w:t>
      </w:r>
      <w:r>
        <w:rPr>
          <w:rFonts w:hint="eastAsia" w:ascii="仿宋_GB2312" w:hAnsi="仿宋_GB2312" w:eastAsia="仿宋_GB2312" w:cs="仿宋_GB2312"/>
          <w:color w:val="auto"/>
          <w:spacing w:val="3"/>
          <w:sz w:val="32"/>
          <w:szCs w:val="32"/>
          <w:highlight w:val="none"/>
          <w:u w:val="none"/>
        </w:rPr>
        <w:t>项目前期工</w:t>
      </w:r>
      <w:r>
        <w:rPr>
          <w:rFonts w:hint="eastAsia" w:ascii="仿宋_GB2312" w:hAnsi="仿宋_GB2312" w:eastAsia="仿宋_GB2312" w:cs="仿宋_GB2312"/>
          <w:color w:val="auto"/>
          <w:spacing w:val="6"/>
          <w:sz w:val="32"/>
          <w:szCs w:val="32"/>
          <w:highlight w:val="none"/>
          <w:u w:val="none"/>
        </w:rPr>
        <w:t>作；</w:t>
      </w:r>
      <w:r>
        <w:rPr>
          <w:rFonts w:hint="eastAsia" w:ascii="仿宋_GB2312" w:hAnsi="仿宋_GB2312" w:eastAsia="仿宋_GB2312" w:cs="仿宋_GB2312"/>
          <w:color w:val="auto"/>
          <w:spacing w:val="9"/>
          <w:sz w:val="32"/>
          <w:szCs w:val="32"/>
          <w:highlight w:val="none"/>
          <w:u w:val="none"/>
          <w:lang w:eastAsia="zh-CN"/>
        </w:rPr>
        <w:t>统筹</w:t>
      </w:r>
      <w:r>
        <w:rPr>
          <w:rFonts w:hint="eastAsia" w:ascii="仿宋_GB2312" w:hAnsi="仿宋_GB2312" w:eastAsia="仿宋_GB2312" w:cs="仿宋_GB2312"/>
          <w:color w:val="auto"/>
          <w:spacing w:val="9"/>
          <w:sz w:val="32"/>
          <w:szCs w:val="32"/>
          <w:highlight w:val="none"/>
          <w:u w:val="none"/>
        </w:rPr>
        <w:t>项目策</w:t>
      </w:r>
      <w:r>
        <w:rPr>
          <w:rFonts w:hint="eastAsia" w:ascii="仿宋_GB2312" w:hAnsi="仿宋_GB2312" w:eastAsia="仿宋_GB2312" w:cs="仿宋_GB2312"/>
          <w:color w:val="auto"/>
          <w:spacing w:val="13"/>
          <w:sz w:val="32"/>
          <w:szCs w:val="32"/>
          <w:highlight w:val="none"/>
          <w:u w:val="none"/>
        </w:rPr>
        <w:t>划</w:t>
      </w:r>
      <w:r>
        <w:rPr>
          <w:rFonts w:hint="eastAsia" w:ascii="仿宋_GB2312" w:hAnsi="仿宋_GB2312" w:eastAsia="仿宋_GB2312" w:cs="仿宋_GB2312"/>
          <w:color w:val="auto"/>
          <w:spacing w:val="13"/>
          <w:sz w:val="32"/>
          <w:szCs w:val="32"/>
          <w:highlight w:val="none"/>
          <w:u w:val="none"/>
          <w:lang w:eastAsia="zh-CN"/>
        </w:rPr>
        <w:t>和</w:t>
      </w:r>
      <w:r>
        <w:rPr>
          <w:rFonts w:hint="eastAsia" w:ascii="仿宋_GB2312" w:hAnsi="仿宋_GB2312" w:eastAsia="仿宋_GB2312" w:cs="仿宋_GB2312"/>
          <w:color w:val="auto"/>
          <w:spacing w:val="13"/>
          <w:sz w:val="32"/>
          <w:szCs w:val="32"/>
          <w:highlight w:val="none"/>
          <w:u w:val="none"/>
        </w:rPr>
        <w:t>储备</w:t>
      </w:r>
      <w:r>
        <w:rPr>
          <w:rFonts w:hint="eastAsia" w:ascii="仿宋_GB2312" w:hAnsi="仿宋_GB2312" w:eastAsia="仿宋_GB2312" w:cs="仿宋_GB2312"/>
          <w:color w:val="auto"/>
          <w:spacing w:val="13"/>
          <w:sz w:val="32"/>
          <w:szCs w:val="32"/>
          <w:highlight w:val="none"/>
          <w:u w:val="none"/>
          <w:lang w:eastAsia="zh-CN"/>
        </w:rPr>
        <w:t>工作</w:t>
      </w:r>
      <w:r>
        <w:rPr>
          <w:rFonts w:hint="eastAsia" w:ascii="仿宋_GB2312" w:hAnsi="仿宋_GB2312" w:eastAsia="仿宋_GB2312" w:cs="仿宋_GB2312"/>
          <w:color w:val="auto"/>
          <w:spacing w:val="13"/>
          <w:sz w:val="32"/>
          <w:szCs w:val="32"/>
          <w:highlight w:val="none"/>
          <w:u w:val="none"/>
        </w:rPr>
        <w:t>；跟踪、</w:t>
      </w:r>
      <w:r>
        <w:rPr>
          <w:rFonts w:hint="eastAsia" w:ascii="仿宋_GB2312" w:hAnsi="仿宋_GB2312" w:eastAsia="仿宋_GB2312" w:cs="仿宋_GB2312"/>
          <w:color w:val="auto"/>
          <w:spacing w:val="13"/>
          <w:sz w:val="32"/>
          <w:szCs w:val="32"/>
          <w:highlight w:val="none"/>
          <w:u w:val="none"/>
          <w:lang w:eastAsia="zh-CN"/>
        </w:rPr>
        <w:t>核</w:t>
      </w:r>
      <w:r>
        <w:rPr>
          <w:rFonts w:hint="eastAsia" w:ascii="仿宋_GB2312" w:hAnsi="仿宋_GB2312" w:eastAsia="仿宋_GB2312" w:cs="仿宋_GB2312"/>
          <w:color w:val="auto"/>
          <w:spacing w:val="13"/>
          <w:sz w:val="32"/>
          <w:szCs w:val="32"/>
          <w:highlight w:val="none"/>
          <w:u w:val="none"/>
        </w:rPr>
        <w:t>查全市重大项目投资计划和</w:t>
      </w:r>
      <w:r>
        <w:rPr>
          <w:rFonts w:hint="eastAsia" w:ascii="仿宋_GB2312" w:hAnsi="仿宋_GB2312" w:eastAsia="仿宋_GB2312" w:cs="仿宋_GB2312"/>
          <w:color w:val="auto"/>
          <w:spacing w:val="13"/>
          <w:sz w:val="32"/>
          <w:szCs w:val="32"/>
          <w:highlight w:val="none"/>
          <w:u w:val="none"/>
          <w:lang w:eastAsia="zh-CN"/>
        </w:rPr>
        <w:t>建设目标任务的</w:t>
      </w:r>
      <w:r>
        <w:rPr>
          <w:rFonts w:hint="eastAsia" w:ascii="仿宋_GB2312" w:hAnsi="仿宋_GB2312" w:eastAsia="仿宋_GB2312" w:cs="仿宋_GB2312"/>
          <w:color w:val="auto"/>
          <w:spacing w:val="4"/>
          <w:sz w:val="32"/>
          <w:szCs w:val="32"/>
          <w:highlight w:val="none"/>
          <w:u w:val="none"/>
        </w:rPr>
        <w:t>执行和落实情况</w:t>
      </w:r>
      <w:r>
        <w:rPr>
          <w:rFonts w:hint="eastAsia" w:ascii="仿宋_GB2312" w:hAnsi="仿宋_GB2312" w:eastAsia="仿宋_GB2312" w:cs="仿宋_GB2312"/>
          <w:color w:val="auto"/>
          <w:spacing w:val="4"/>
          <w:sz w:val="32"/>
          <w:szCs w:val="32"/>
          <w:highlight w:val="none"/>
          <w:u w:val="none"/>
          <w:lang w:eastAsia="zh-CN"/>
        </w:rPr>
        <w:t>；做好重大项目</w:t>
      </w:r>
      <w:r>
        <w:rPr>
          <w:rFonts w:hint="eastAsia" w:ascii="仿宋_GB2312" w:hAnsi="仿宋_GB2312" w:eastAsia="仿宋_GB2312" w:cs="仿宋_GB2312"/>
          <w:color w:val="auto"/>
          <w:spacing w:val="6"/>
          <w:sz w:val="32"/>
          <w:szCs w:val="32"/>
          <w:highlight w:val="none"/>
          <w:u w:val="none"/>
        </w:rPr>
        <w:t>年度考评等工作。</w:t>
      </w:r>
    </w:p>
    <w:p w14:paraId="3A62786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0" w:firstLineChars="200"/>
        <w:jc w:val="both"/>
        <w:textAlignment w:val="baseline"/>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（二）市重点办负责南宁市重大项目可行性研究后的事项协调推进，统筹解决项目工程建设、征地拆迁等建设过程中问题，定期组织开展项目督查等工作。</w:t>
      </w:r>
    </w:p>
    <w:p w14:paraId="18A6F0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（三）行业主管部门、要素保障部门、行政审批部门、金融管理部门</w:t>
      </w:r>
      <w:r>
        <w:rPr>
          <w:rFonts w:hint="eastAsia" w:ascii="仿宋_GB2312" w:hAnsi="仿宋_GB2312" w:eastAsia="仿宋_GB2312" w:cs="仿宋_GB2312"/>
          <w:sz w:val="32"/>
          <w:szCs w:val="32"/>
          <w:highlight w:val="none"/>
          <w:u w:val="none"/>
        </w:rPr>
        <w:t>应当按照各自职责，做好</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重大项目的相关行政审批</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要素保障</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协调服务</w:t>
      </w:r>
      <w:r>
        <w:rPr>
          <w:rFonts w:hint="eastAsia" w:ascii="仿宋_GB2312" w:hAnsi="仿宋_GB2312" w:eastAsia="仿宋_GB2312" w:cs="仿宋_GB2312"/>
          <w:sz w:val="32"/>
          <w:szCs w:val="32"/>
          <w:highlight w:val="none"/>
          <w:u w:val="none"/>
          <w:lang w:eastAsia="zh-CN"/>
        </w:rPr>
        <w:t>及</w:t>
      </w:r>
      <w:r>
        <w:rPr>
          <w:rFonts w:hint="eastAsia" w:ascii="仿宋_GB2312" w:hAnsi="仿宋_GB2312" w:eastAsia="仿宋_GB2312" w:cs="仿宋_GB2312"/>
          <w:sz w:val="32"/>
          <w:szCs w:val="32"/>
          <w:highlight w:val="none"/>
          <w:u w:val="none"/>
        </w:rPr>
        <w:t>监督管理</w:t>
      </w:r>
      <w:r>
        <w:rPr>
          <w:rFonts w:hint="eastAsia" w:ascii="仿宋_GB2312" w:hAnsi="仿宋_GB2312" w:eastAsia="仿宋_GB2312" w:cs="仿宋_GB2312"/>
          <w:sz w:val="32"/>
          <w:szCs w:val="32"/>
          <w:highlight w:val="none"/>
          <w:u w:val="none"/>
          <w:lang w:eastAsia="zh-CN"/>
        </w:rPr>
        <w:t>等</w:t>
      </w:r>
      <w:r>
        <w:rPr>
          <w:rFonts w:hint="eastAsia" w:ascii="仿宋_GB2312" w:hAnsi="仿宋_GB2312" w:eastAsia="仿宋_GB2312" w:cs="仿宋_GB2312"/>
          <w:sz w:val="32"/>
          <w:szCs w:val="32"/>
          <w:highlight w:val="none"/>
          <w:u w:val="none"/>
        </w:rPr>
        <w:t>工作，督促落实相关建设标准</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行业规范等要求，同时要加大必要投入做好本领域</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重大项目谋划储备和论证等相关工作。</w:t>
      </w:r>
    </w:p>
    <w:p w14:paraId="386D6FA2">
      <w:pPr>
        <w:numPr>
          <w:ilvl w:val="0"/>
          <w:numId w:val="0"/>
        </w:numPr>
        <w:spacing w:line="560" w:lineRule="exact"/>
        <w:ind w:firstLine="640" w:firstLineChars="200"/>
        <w:jc w:val="both"/>
        <w:rPr>
          <w:rFonts w:hint="eastAsia" w:ascii="仿宋_GB2312" w:hAnsi="仿宋_GB2312" w:eastAsia="仿宋_GB2312" w:cs="仿宋_GB2312"/>
          <w:highlight w:val="none"/>
          <w:u w:val="none"/>
        </w:rPr>
      </w:pPr>
      <w:r>
        <w:rPr>
          <w:rFonts w:hint="default" w:ascii="Times New Roman" w:hAnsi="Times New Roman" w:eastAsia="方正仿宋_GBK" w:cs="Times New Roman"/>
          <w:b/>
          <w:bCs/>
          <w:snapToGrid/>
          <w:color w:val="000000"/>
          <w:spacing w:val="0"/>
          <w:sz w:val="32"/>
          <w:szCs w:val="32"/>
          <w:highlight w:val="none"/>
          <w:u w:val="none"/>
          <w:lang w:eastAsia="zh-CN" w:bidi="ar"/>
        </w:rPr>
        <w:t>第</w:t>
      </w:r>
      <w:r>
        <w:rPr>
          <w:rFonts w:hint="eastAsia" w:ascii="Times New Roman" w:hAnsi="Times New Roman" w:eastAsia="方正仿宋_GBK" w:cs="Times New Roman"/>
          <w:b/>
          <w:bCs/>
          <w:snapToGrid/>
          <w:color w:val="000000"/>
          <w:spacing w:val="0"/>
          <w:sz w:val="32"/>
          <w:szCs w:val="32"/>
          <w:highlight w:val="none"/>
          <w:u w:val="none"/>
          <w:lang w:eastAsia="zh-CN" w:bidi="ar"/>
        </w:rPr>
        <w:t>四</w:t>
      </w:r>
      <w:r>
        <w:rPr>
          <w:rFonts w:hint="default" w:ascii="Times New Roman" w:hAnsi="Times New Roman" w:eastAsia="方正仿宋_GBK" w:cs="Times New Roman"/>
          <w:b/>
          <w:bCs/>
          <w:snapToGrid/>
          <w:color w:val="000000"/>
          <w:spacing w:val="0"/>
          <w:sz w:val="32"/>
          <w:szCs w:val="32"/>
          <w:highlight w:val="none"/>
          <w:u w:val="none"/>
          <w:lang w:eastAsia="zh-CN" w:bidi="ar"/>
        </w:rPr>
        <w:t xml:space="preserve">条 </w:t>
      </w:r>
      <w:r>
        <w:rPr>
          <w:rFonts w:hint="eastAsia" w:ascii="仿宋_GB2312" w:hAnsi="仿宋_GB2312" w:eastAsia="仿宋_GB2312" w:cs="仿宋_GB2312"/>
          <w:color w:val="auto"/>
          <w:spacing w:val="13"/>
          <w:sz w:val="32"/>
          <w:szCs w:val="32"/>
          <w:highlight w:val="none"/>
          <w:u w:val="none"/>
        </w:rPr>
        <w:t xml:space="preserve"> </w:t>
      </w:r>
      <w:r>
        <w:rPr>
          <w:rFonts w:hint="eastAsia" w:ascii="仿宋_GB2312" w:hAnsi="仿宋_GB2312" w:eastAsia="仿宋_GB2312" w:cs="仿宋_GB2312"/>
          <w:color w:val="auto"/>
          <w:spacing w:val="13"/>
          <w:sz w:val="32"/>
          <w:szCs w:val="32"/>
          <w:highlight w:val="none"/>
          <w:u w:val="none"/>
          <w:lang w:eastAsia="zh-CN"/>
        </w:rPr>
        <w:t>南宁市</w:t>
      </w:r>
      <w:r>
        <w:rPr>
          <w:rFonts w:hint="eastAsia" w:ascii="仿宋_GB2312" w:hAnsi="仿宋_GB2312" w:eastAsia="仿宋_GB2312" w:cs="仿宋_GB2312"/>
          <w:color w:val="auto"/>
          <w:spacing w:val="13"/>
          <w:sz w:val="32"/>
          <w:szCs w:val="32"/>
          <w:highlight w:val="none"/>
          <w:u w:val="none"/>
        </w:rPr>
        <w:t>重大项目</w:t>
      </w:r>
      <w:r>
        <w:rPr>
          <w:rFonts w:hint="eastAsia" w:ascii="仿宋_GB2312" w:hAnsi="仿宋_GB2312" w:eastAsia="仿宋_GB2312" w:cs="仿宋_GB2312"/>
          <w:color w:val="auto"/>
          <w:spacing w:val="13"/>
          <w:sz w:val="32"/>
          <w:szCs w:val="32"/>
          <w:highlight w:val="none"/>
          <w:u w:val="none"/>
          <w:lang w:eastAsia="zh-CN"/>
        </w:rPr>
        <w:t>所属的</w:t>
      </w:r>
      <w:r>
        <w:rPr>
          <w:rFonts w:hint="eastAsia" w:ascii="仿宋_GB2312" w:hAnsi="仿宋_GB2312" w:eastAsia="仿宋_GB2312" w:cs="仿宋_GB2312"/>
          <w:color w:val="auto"/>
          <w:spacing w:val="13"/>
          <w:sz w:val="32"/>
          <w:szCs w:val="32"/>
          <w:highlight w:val="none"/>
          <w:u w:val="none"/>
        </w:rPr>
        <w:t>县（</w:t>
      </w:r>
      <w:r>
        <w:rPr>
          <w:rFonts w:hint="eastAsia" w:ascii="仿宋_GB2312" w:hAnsi="仿宋_GB2312" w:eastAsia="仿宋_GB2312" w:cs="仿宋_GB2312"/>
          <w:color w:val="auto"/>
          <w:spacing w:val="13"/>
          <w:sz w:val="32"/>
          <w:szCs w:val="32"/>
          <w:highlight w:val="none"/>
          <w:u w:val="none"/>
          <w:lang w:eastAsia="zh-CN"/>
        </w:rPr>
        <w:t>市、</w:t>
      </w:r>
      <w:r>
        <w:rPr>
          <w:rFonts w:hint="eastAsia" w:ascii="仿宋_GB2312" w:hAnsi="仿宋_GB2312" w:eastAsia="仿宋_GB2312" w:cs="仿宋_GB2312"/>
          <w:color w:val="auto"/>
          <w:spacing w:val="13"/>
          <w:sz w:val="32"/>
          <w:szCs w:val="32"/>
          <w:highlight w:val="none"/>
          <w:u w:val="none"/>
        </w:rPr>
        <w:t>区）人民政府、开发区管委会</w:t>
      </w:r>
      <w:r>
        <w:rPr>
          <w:rFonts w:hint="eastAsia" w:ascii="仿宋_GB2312" w:hAnsi="仿宋_GB2312" w:eastAsia="仿宋_GB2312" w:cs="仿宋_GB2312"/>
          <w:color w:val="auto"/>
          <w:spacing w:val="13"/>
          <w:sz w:val="32"/>
          <w:szCs w:val="32"/>
          <w:highlight w:val="none"/>
          <w:u w:val="none"/>
          <w:lang w:eastAsia="zh-CN"/>
        </w:rPr>
        <w:t>，以及相关行业主管部门，作为项目推进责任单位，应当统筹协调、服务推进项目建设，保障项目按计划开工并顺利实施。</w:t>
      </w:r>
    </w:p>
    <w:p w14:paraId="51438BA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0" w:firstLineChars="200"/>
        <w:jc w:val="both"/>
        <w:textAlignment w:val="baseline"/>
        <w:rPr>
          <w:rFonts w:hint="default" w:ascii="仿宋_GB2312" w:hAnsi="仿宋_GB2312" w:eastAsia="仿宋_GB2312" w:cs="仿宋_GB2312"/>
          <w:color w:val="auto"/>
          <w:spacing w:val="13"/>
          <w:sz w:val="32"/>
          <w:szCs w:val="32"/>
          <w:highlight w:val="none"/>
          <w:u w:val="none"/>
          <w:lang w:val="en-US" w:eastAsia="zh-CN"/>
        </w:rPr>
      </w:pPr>
      <w:r>
        <w:rPr>
          <w:rFonts w:hint="default" w:ascii="Times New Roman" w:hAnsi="Times New Roman" w:eastAsia="方正仿宋_GBK" w:cs="Times New Roman"/>
          <w:b/>
          <w:bCs/>
          <w:snapToGrid/>
          <w:color w:val="000000"/>
          <w:spacing w:val="0"/>
          <w:sz w:val="32"/>
          <w:szCs w:val="32"/>
          <w:highlight w:val="none"/>
          <w:u w:val="none"/>
          <w:lang w:eastAsia="zh-CN" w:bidi="ar"/>
        </w:rPr>
        <w:t>第</w:t>
      </w:r>
      <w:r>
        <w:rPr>
          <w:rFonts w:hint="eastAsia" w:ascii="Times New Roman" w:hAnsi="Times New Roman" w:eastAsia="方正仿宋_GBK" w:cs="Times New Roman"/>
          <w:b/>
          <w:bCs/>
          <w:snapToGrid/>
          <w:color w:val="000000"/>
          <w:spacing w:val="0"/>
          <w:sz w:val="32"/>
          <w:szCs w:val="32"/>
          <w:highlight w:val="none"/>
          <w:u w:val="none"/>
          <w:lang w:eastAsia="zh-CN" w:bidi="ar"/>
        </w:rPr>
        <w:t>五</w:t>
      </w:r>
      <w:r>
        <w:rPr>
          <w:rFonts w:hint="default" w:ascii="Times New Roman" w:hAnsi="Times New Roman" w:eastAsia="方正仿宋_GBK" w:cs="Times New Roman"/>
          <w:b/>
          <w:bCs/>
          <w:snapToGrid/>
          <w:color w:val="000000"/>
          <w:spacing w:val="0"/>
          <w:sz w:val="32"/>
          <w:szCs w:val="32"/>
          <w:highlight w:val="none"/>
          <w:u w:val="none"/>
          <w:lang w:eastAsia="zh-CN" w:bidi="ar"/>
        </w:rPr>
        <w:t>条</w:t>
      </w:r>
      <w:r>
        <w:rPr>
          <w:rFonts w:hint="eastAsia" w:ascii="仿宋_GB2312" w:hAnsi="仿宋_GB2312" w:eastAsia="仿宋_GB2312" w:cs="仿宋_GB2312"/>
          <w:color w:val="auto"/>
          <w:spacing w:val="13"/>
          <w:sz w:val="32"/>
          <w:szCs w:val="32"/>
          <w:highlight w:val="none"/>
          <w:u w:val="none"/>
          <w:lang w:val="en-US" w:eastAsia="zh-CN"/>
        </w:rPr>
        <w:t xml:space="preserve">  项目建设单位是南宁市重大项目建设管理的实施主体和第一责任人，应当按照有关规定，高标准落实项目组织实施、安全质量管理、应急处置、文明施工、绿色低碳、建筑工人权益保障等工作管理职责。</w:t>
      </w:r>
    </w:p>
    <w:p w14:paraId="417393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六</w:t>
      </w:r>
      <w:r>
        <w:rPr>
          <w:rFonts w:hint="default" w:ascii="Times New Roman" w:hAnsi="Times New Roman" w:eastAsia="方正仿宋_GBK" w:cs="Times New Roman"/>
          <w:b/>
          <w:bCs/>
          <w:snapToGrid/>
          <w:color w:val="000000"/>
          <w:sz w:val="32"/>
          <w:szCs w:val="32"/>
          <w:highlight w:val="none"/>
          <w:u w:val="none"/>
          <w:lang w:val="en-US" w:eastAsia="zh-CN" w:bidi="ar"/>
        </w:rPr>
        <w:t xml:space="preserve">条 </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重大项目实施滚动管理，</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重大项目遴选(增补)</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退出机制及其操作规程由</w:t>
      </w:r>
      <w:r>
        <w:rPr>
          <w:rFonts w:hint="eastAsia" w:ascii="仿宋_GB2312" w:hAnsi="仿宋_GB2312" w:eastAsia="仿宋_GB2312" w:cs="仿宋_GB2312"/>
          <w:sz w:val="32"/>
          <w:szCs w:val="32"/>
          <w:highlight w:val="none"/>
          <w:u w:val="none"/>
          <w:lang w:eastAsia="zh-CN"/>
        </w:rPr>
        <w:t>市</w:t>
      </w:r>
      <w:r>
        <w:rPr>
          <w:rFonts w:hint="eastAsia" w:ascii="仿宋_GB2312" w:hAnsi="仿宋_GB2312" w:eastAsia="仿宋_GB2312" w:cs="仿宋_GB2312"/>
          <w:sz w:val="32"/>
          <w:szCs w:val="32"/>
          <w:highlight w:val="none"/>
          <w:u w:val="none"/>
        </w:rPr>
        <w:t>发展改革委会同有关部门制定并根据经济社会发展需要修订。</w:t>
      </w:r>
    </w:p>
    <w:p w14:paraId="4909281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u w:val="none"/>
          <w:lang w:val="en-US"/>
        </w:rPr>
      </w:pPr>
    </w:p>
    <w:p w14:paraId="728DDB4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仿宋_GB2312" w:hAnsi="仿宋_GB2312" w:eastAsia="仿宋_GB2312" w:cs="仿宋_GB2312"/>
          <w:color w:val="auto"/>
          <w:sz w:val="32"/>
          <w:szCs w:val="32"/>
          <w:highlight w:val="none"/>
          <w:u w:val="none"/>
          <w:lang w:val="en-US"/>
        </w:rPr>
      </w:pPr>
      <w:r>
        <w:rPr>
          <w:rFonts w:hint="eastAsia" w:ascii="方正黑体_GBK" w:hAnsi="方正黑体_GBK" w:eastAsia="方正黑体_GBK" w:cs="方正黑体_GBK"/>
          <w:color w:val="auto"/>
          <w:sz w:val="32"/>
          <w:szCs w:val="32"/>
          <w:highlight w:val="none"/>
          <w:u w:val="none"/>
          <w:lang w:val="en-US" w:eastAsia="zh-CN"/>
        </w:rPr>
        <w:t xml:space="preserve">第二章  </w:t>
      </w:r>
      <w:r>
        <w:rPr>
          <w:rFonts w:hint="eastAsia" w:ascii="方正黑体_GBK" w:hAnsi="方正黑体_GBK" w:eastAsia="方正黑体_GBK" w:cs="方正黑体_GBK"/>
          <w:color w:val="auto"/>
          <w:sz w:val="32"/>
          <w:szCs w:val="32"/>
          <w:highlight w:val="none"/>
          <w:u w:val="none"/>
          <w:lang w:val="en-US"/>
        </w:rPr>
        <w:t>项目确定</w:t>
      </w:r>
    </w:p>
    <w:p w14:paraId="1663C1B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仿宋_GB2312" w:hAnsi="仿宋_GB2312" w:eastAsia="仿宋_GB2312" w:cs="仿宋_GB2312"/>
          <w:color w:val="FF0000"/>
          <w:sz w:val="32"/>
          <w:szCs w:val="32"/>
          <w:highlight w:val="none"/>
          <w:u w:val="none"/>
          <w:lang w:val="en-US" w:eastAsia="zh-CN"/>
        </w:rPr>
      </w:pPr>
    </w:p>
    <w:p w14:paraId="0BCDB90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u w:val="none"/>
          <w:lang w:val="en-US"/>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七</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eastAsia" w:ascii="仿宋_GB2312" w:hAnsi="仿宋_GB2312" w:eastAsia="仿宋_GB2312" w:cs="仿宋_GB2312"/>
          <w:color w:val="auto"/>
          <w:sz w:val="32"/>
          <w:szCs w:val="32"/>
          <w:highlight w:val="none"/>
          <w:u w:val="none"/>
          <w:lang w:val="en-US"/>
        </w:rPr>
        <w:t xml:space="preserve"> </w:t>
      </w:r>
      <w:r>
        <w:rPr>
          <w:rFonts w:hint="eastAsia" w:ascii="仿宋_GB2312" w:hAnsi="仿宋_GB2312" w:eastAsia="仿宋_GB2312" w:cs="仿宋_GB2312"/>
          <w:color w:val="auto"/>
          <w:sz w:val="32"/>
          <w:szCs w:val="32"/>
          <w:highlight w:val="none"/>
          <w:u w:val="none"/>
          <w:lang w:val="en-US" w:eastAsia="zh-CN"/>
        </w:rPr>
        <w:t xml:space="preserve"> 南宁</w:t>
      </w:r>
      <w:r>
        <w:rPr>
          <w:rFonts w:hint="eastAsia" w:ascii="仿宋_GB2312" w:hAnsi="仿宋_GB2312" w:eastAsia="仿宋_GB2312" w:cs="仿宋_GB2312"/>
          <w:color w:val="auto"/>
          <w:sz w:val="32"/>
          <w:szCs w:val="32"/>
          <w:highlight w:val="none"/>
          <w:u w:val="none"/>
          <w:lang w:val="en-US"/>
        </w:rPr>
        <w:t>市重大项目</w:t>
      </w:r>
      <w:r>
        <w:rPr>
          <w:rFonts w:hint="eastAsia" w:ascii="仿宋_GB2312" w:hAnsi="仿宋_GB2312" w:eastAsia="仿宋_GB2312" w:cs="仿宋_GB2312"/>
          <w:color w:val="auto"/>
          <w:sz w:val="32"/>
          <w:szCs w:val="32"/>
          <w:highlight w:val="none"/>
          <w:u w:val="none"/>
          <w:lang w:val="en-US" w:eastAsia="zh-CN"/>
        </w:rPr>
        <w:t>须</w:t>
      </w:r>
      <w:r>
        <w:rPr>
          <w:rFonts w:hint="eastAsia" w:ascii="仿宋_GB2312" w:hAnsi="仿宋_GB2312" w:eastAsia="仿宋_GB2312" w:cs="仿宋_GB2312"/>
          <w:color w:val="auto"/>
          <w:sz w:val="32"/>
          <w:szCs w:val="32"/>
          <w:highlight w:val="none"/>
          <w:u w:val="none"/>
          <w:lang w:val="en-US"/>
        </w:rPr>
        <w:t>符合</w:t>
      </w:r>
      <w:r>
        <w:rPr>
          <w:rFonts w:hint="eastAsia" w:ascii="仿宋_GB2312" w:hAnsi="仿宋_GB2312" w:eastAsia="仿宋_GB2312" w:cs="仿宋_GB2312"/>
          <w:color w:val="auto"/>
          <w:sz w:val="32"/>
          <w:szCs w:val="32"/>
          <w:highlight w:val="none"/>
          <w:u w:val="none"/>
          <w:lang w:val="en-US" w:eastAsia="zh-CN"/>
        </w:rPr>
        <w:t>国家、自治区和南宁市相关规划、产业政策，</w:t>
      </w:r>
      <w:r>
        <w:rPr>
          <w:rFonts w:hint="eastAsia" w:ascii="仿宋_GB2312" w:hAnsi="仿宋_GB2312" w:eastAsia="仿宋_GB2312" w:cs="仿宋_GB2312"/>
          <w:color w:val="auto"/>
          <w:sz w:val="32"/>
          <w:szCs w:val="32"/>
          <w:highlight w:val="none"/>
          <w:u w:val="none"/>
          <w:lang w:val="en-US"/>
        </w:rPr>
        <w:t>符合自然资源、生态环保、节能降碳、安全生产</w:t>
      </w:r>
      <w:r>
        <w:rPr>
          <w:rFonts w:hint="eastAsia" w:ascii="仿宋_GB2312" w:hAnsi="仿宋_GB2312" w:eastAsia="仿宋_GB2312" w:cs="仿宋_GB2312"/>
          <w:color w:val="auto"/>
          <w:sz w:val="32"/>
          <w:szCs w:val="32"/>
          <w:highlight w:val="none"/>
          <w:u w:val="none"/>
          <w:lang w:val="en-US" w:eastAsia="zh-CN"/>
        </w:rPr>
        <w:t>、国防安全等方面的</w:t>
      </w:r>
      <w:r>
        <w:rPr>
          <w:rFonts w:hint="eastAsia" w:ascii="仿宋_GB2312" w:hAnsi="仿宋_GB2312" w:eastAsia="仿宋_GB2312" w:cs="仿宋_GB2312"/>
          <w:color w:val="auto"/>
          <w:sz w:val="32"/>
          <w:szCs w:val="32"/>
          <w:highlight w:val="none"/>
          <w:u w:val="none"/>
          <w:lang w:val="en-US"/>
        </w:rPr>
        <w:t>标准和要求。</w:t>
      </w:r>
    </w:p>
    <w:p w14:paraId="3765F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eastAsia="zh-CN" w:bidi="ar"/>
        </w:rPr>
        <w:t>八</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重大项目根据项目前期工作</w:t>
      </w:r>
      <w:r>
        <w:rPr>
          <w:rFonts w:hint="eastAsia" w:ascii="仿宋_GB2312" w:hAnsi="仿宋_GB2312" w:eastAsia="仿宋_GB2312" w:cs="仿宋_GB2312"/>
          <w:sz w:val="32"/>
          <w:szCs w:val="32"/>
          <w:highlight w:val="none"/>
          <w:u w:val="none"/>
          <w:lang w:eastAsia="zh-CN"/>
        </w:rPr>
        <w:t>进展</w:t>
      </w:r>
      <w:r>
        <w:rPr>
          <w:rFonts w:hint="eastAsia" w:ascii="仿宋_GB2312" w:hAnsi="仿宋_GB2312" w:eastAsia="仿宋_GB2312" w:cs="仿宋_GB2312"/>
          <w:sz w:val="32"/>
          <w:szCs w:val="32"/>
          <w:highlight w:val="none"/>
          <w:u w:val="none"/>
        </w:rPr>
        <w:t>情况和建设进度计划，按照预备</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新开工</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续建</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竣工</w:t>
      </w:r>
      <w:r>
        <w:rPr>
          <w:rFonts w:hint="eastAsia" w:ascii="仿宋_GB2312" w:hAnsi="仿宋_GB2312" w:eastAsia="仿宋_GB2312" w:cs="仿宋_GB2312"/>
          <w:sz w:val="32"/>
          <w:szCs w:val="32"/>
          <w:highlight w:val="none"/>
          <w:u w:val="none"/>
          <w:lang w:eastAsia="zh-CN"/>
        </w:rPr>
        <w:t>（投产）</w:t>
      </w:r>
      <w:r>
        <w:rPr>
          <w:rFonts w:hint="eastAsia" w:ascii="仿宋_GB2312" w:hAnsi="仿宋_GB2312" w:eastAsia="仿宋_GB2312" w:cs="仿宋_GB2312"/>
          <w:sz w:val="32"/>
          <w:szCs w:val="32"/>
          <w:highlight w:val="none"/>
          <w:u w:val="none"/>
        </w:rPr>
        <w:t>等四类实行分阶段管理，明确开竣工时间</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投资计划</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前期工作进度等年度工作目标。</w:t>
      </w:r>
    </w:p>
    <w:p w14:paraId="70D6EA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预备项目是指已经开展部分前期工作，力争当年开工的项目；新开工项目是指已基本完成前期工作</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计划当年开工的项目；续建项目是指上一年度已开工在建且建设进度正常的项目；竣工</w:t>
      </w:r>
      <w:r>
        <w:rPr>
          <w:rFonts w:hint="eastAsia" w:ascii="仿宋_GB2312" w:hAnsi="仿宋_GB2312" w:eastAsia="仿宋_GB2312" w:cs="仿宋_GB2312"/>
          <w:sz w:val="32"/>
          <w:szCs w:val="32"/>
          <w:highlight w:val="none"/>
          <w:u w:val="none"/>
          <w:lang w:eastAsia="zh-CN"/>
        </w:rPr>
        <w:t>（投产）</w:t>
      </w:r>
      <w:r>
        <w:rPr>
          <w:rFonts w:hint="eastAsia" w:ascii="仿宋_GB2312" w:hAnsi="仿宋_GB2312" w:eastAsia="仿宋_GB2312" w:cs="仿宋_GB2312"/>
          <w:sz w:val="32"/>
          <w:szCs w:val="32"/>
          <w:highlight w:val="none"/>
          <w:u w:val="none"/>
        </w:rPr>
        <w:t>项目是指建设进度正常，计划当年竣工</w:t>
      </w:r>
      <w:r>
        <w:rPr>
          <w:rFonts w:hint="eastAsia" w:ascii="仿宋_GB2312" w:hAnsi="仿宋_GB2312" w:eastAsia="仿宋_GB2312" w:cs="仿宋_GB2312"/>
          <w:sz w:val="32"/>
          <w:szCs w:val="32"/>
          <w:highlight w:val="none"/>
          <w:u w:val="none"/>
          <w:lang w:eastAsia="zh-CN"/>
        </w:rPr>
        <w:t>（投产）</w:t>
      </w:r>
      <w:r>
        <w:rPr>
          <w:rFonts w:hint="eastAsia" w:ascii="仿宋_GB2312" w:hAnsi="仿宋_GB2312" w:eastAsia="仿宋_GB2312" w:cs="仿宋_GB2312"/>
          <w:sz w:val="32"/>
          <w:szCs w:val="32"/>
          <w:highlight w:val="none"/>
          <w:u w:val="none"/>
        </w:rPr>
        <w:t>的项目。</w:t>
      </w:r>
    </w:p>
    <w:p w14:paraId="180843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九</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重大项目按照下列程序确定：</w:t>
      </w:r>
    </w:p>
    <w:p w14:paraId="05664660">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highlight w:val="none"/>
          <w:u w:val="none"/>
        </w:rPr>
      </w:pPr>
      <w:r>
        <w:rPr>
          <w:rFonts w:hint="eastAsia" w:ascii="仿宋_GB2312" w:hAnsi="仿宋_GB2312" w:eastAsia="仿宋_GB2312" w:cs="仿宋_GB2312"/>
          <w:sz w:val="32"/>
          <w:szCs w:val="32"/>
          <w:highlight w:val="none"/>
          <w:u w:val="none"/>
          <w:lang w:eastAsia="zh-CN"/>
        </w:rPr>
        <w:t>（一）市直有关部门、各县（市、区）人民政府、开发区管委会和</w:t>
      </w:r>
      <w:r>
        <w:rPr>
          <w:rFonts w:hint="eastAsia" w:ascii="仿宋_GB2312" w:hAnsi="仿宋_GB2312" w:eastAsia="仿宋_GB2312" w:cs="仿宋_GB2312"/>
          <w:sz w:val="32"/>
          <w:szCs w:val="32"/>
          <w:highlight w:val="none"/>
          <w:u w:val="none"/>
          <w:lang w:val="en-US" w:eastAsia="zh-CN"/>
        </w:rPr>
        <w:t>市属国有企业</w:t>
      </w:r>
      <w:r>
        <w:rPr>
          <w:rFonts w:hint="eastAsia" w:ascii="仿宋_GB2312" w:hAnsi="仿宋_GB2312" w:eastAsia="仿宋_GB2312" w:cs="仿宋_GB2312"/>
          <w:sz w:val="32"/>
          <w:szCs w:val="32"/>
          <w:highlight w:val="none"/>
          <w:u w:val="none"/>
          <w:lang w:eastAsia="zh-CN"/>
        </w:rPr>
        <w:t>根据项目</w:t>
      </w:r>
      <w:r>
        <w:rPr>
          <w:rFonts w:hint="eastAsia" w:ascii="仿宋_GB2312" w:hAnsi="仿宋_GB2312" w:eastAsia="仿宋_GB2312" w:cs="仿宋_GB2312"/>
          <w:sz w:val="32"/>
          <w:szCs w:val="32"/>
          <w:highlight w:val="none"/>
          <w:u w:val="none"/>
        </w:rPr>
        <w:t>属地原则和隶属关系，按照</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重大项目遴选标准审核筛选，原则上于每年第四季度向</w:t>
      </w:r>
      <w:r>
        <w:rPr>
          <w:rFonts w:hint="eastAsia" w:ascii="仿宋_GB2312" w:hAnsi="仿宋_GB2312" w:eastAsia="仿宋_GB2312" w:cs="仿宋_GB2312"/>
          <w:sz w:val="32"/>
          <w:szCs w:val="32"/>
          <w:highlight w:val="none"/>
          <w:u w:val="none"/>
          <w:lang w:eastAsia="zh-CN"/>
        </w:rPr>
        <w:t>市</w:t>
      </w:r>
      <w:r>
        <w:rPr>
          <w:rFonts w:hint="eastAsia" w:ascii="仿宋_GB2312" w:hAnsi="仿宋_GB2312" w:eastAsia="仿宋_GB2312" w:cs="仿宋_GB2312"/>
          <w:sz w:val="32"/>
          <w:szCs w:val="32"/>
          <w:highlight w:val="none"/>
          <w:u w:val="none"/>
        </w:rPr>
        <w:t>发展改革委提出列入下一年度</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重大项目建议清单。建议清单项目应当根据项目实施情况从本年度</w:t>
      </w:r>
      <w:r>
        <w:rPr>
          <w:rFonts w:hint="eastAsia" w:ascii="仿宋_GB2312" w:hAnsi="仿宋_GB2312" w:eastAsia="仿宋_GB2312" w:cs="仿宋_GB2312"/>
          <w:sz w:val="32"/>
          <w:szCs w:val="32"/>
          <w:highlight w:val="none"/>
          <w:u w:val="none"/>
          <w:lang w:eastAsia="zh-CN"/>
        </w:rPr>
        <w:t>南宁市重大</w:t>
      </w:r>
      <w:r>
        <w:rPr>
          <w:rFonts w:hint="eastAsia" w:ascii="仿宋_GB2312" w:hAnsi="仿宋_GB2312" w:eastAsia="仿宋_GB2312" w:cs="仿宋_GB2312"/>
          <w:sz w:val="32"/>
          <w:szCs w:val="32"/>
          <w:highlight w:val="none"/>
          <w:u w:val="none"/>
        </w:rPr>
        <w:t>项目中结转，</w:t>
      </w:r>
      <w:r>
        <w:rPr>
          <w:rFonts w:hint="eastAsia" w:ascii="仿宋_GB2312" w:hAnsi="仿宋_GB2312" w:eastAsia="仿宋_GB2312" w:cs="仿宋_GB2312"/>
          <w:sz w:val="32"/>
          <w:szCs w:val="32"/>
          <w:highlight w:val="none"/>
          <w:u w:val="none"/>
          <w:lang w:eastAsia="zh-CN"/>
        </w:rPr>
        <w:t>或者</w:t>
      </w:r>
      <w:r>
        <w:rPr>
          <w:rFonts w:hint="eastAsia" w:ascii="仿宋_GB2312" w:hAnsi="仿宋_GB2312" w:eastAsia="仿宋_GB2312" w:cs="仿宋_GB2312"/>
          <w:sz w:val="32"/>
          <w:szCs w:val="32"/>
          <w:highlight w:val="none"/>
          <w:u w:val="none"/>
        </w:rPr>
        <w:t>按照遴选标准和操作规程新增；本年度符合结转条件的项目，原则上应当纳入下一年度</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重大项目建议清单，不纳入的应当予以书面说明；</w:t>
      </w:r>
    </w:p>
    <w:p w14:paraId="10E246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（二）市</w:t>
      </w:r>
      <w:r>
        <w:rPr>
          <w:rFonts w:hint="eastAsia" w:ascii="仿宋_GB2312" w:hAnsi="仿宋_GB2312" w:eastAsia="仿宋_GB2312" w:cs="仿宋_GB2312"/>
          <w:sz w:val="32"/>
          <w:szCs w:val="32"/>
          <w:highlight w:val="none"/>
          <w:u w:val="none"/>
        </w:rPr>
        <w:t>发展改革委会同</w:t>
      </w:r>
      <w:r>
        <w:rPr>
          <w:rFonts w:hint="eastAsia" w:ascii="仿宋_GB2312" w:hAnsi="仿宋_GB2312" w:eastAsia="仿宋_GB2312" w:cs="仿宋_GB2312"/>
          <w:sz w:val="32"/>
          <w:szCs w:val="32"/>
          <w:highlight w:val="none"/>
          <w:u w:val="none"/>
          <w:lang w:eastAsia="zh-CN"/>
        </w:rPr>
        <w:t>市</w:t>
      </w:r>
      <w:r>
        <w:rPr>
          <w:rFonts w:hint="eastAsia" w:ascii="仿宋_GB2312" w:hAnsi="仿宋_GB2312" w:eastAsia="仿宋_GB2312" w:cs="仿宋_GB2312"/>
          <w:sz w:val="32"/>
          <w:szCs w:val="32"/>
          <w:highlight w:val="none"/>
          <w:u w:val="none"/>
        </w:rPr>
        <w:t>财政</w:t>
      </w:r>
      <w:r>
        <w:rPr>
          <w:rFonts w:hint="eastAsia" w:ascii="仿宋_GB2312" w:hAnsi="仿宋_GB2312" w:eastAsia="仿宋_GB2312" w:cs="仿宋_GB2312"/>
          <w:sz w:val="32"/>
          <w:szCs w:val="32"/>
          <w:highlight w:val="none"/>
          <w:u w:val="none"/>
          <w:lang w:eastAsia="zh-CN"/>
        </w:rPr>
        <w:t>局、</w:t>
      </w:r>
      <w:r>
        <w:rPr>
          <w:rFonts w:hint="eastAsia" w:ascii="仿宋_GB2312" w:hAnsi="仿宋_GB2312" w:eastAsia="仿宋_GB2312" w:cs="仿宋_GB2312"/>
          <w:sz w:val="32"/>
          <w:szCs w:val="32"/>
          <w:highlight w:val="none"/>
          <w:u w:val="none"/>
        </w:rPr>
        <w:t>自然资源</w:t>
      </w:r>
      <w:r>
        <w:rPr>
          <w:rFonts w:hint="eastAsia" w:ascii="仿宋_GB2312" w:hAnsi="仿宋_GB2312" w:eastAsia="仿宋_GB2312" w:cs="仿宋_GB2312"/>
          <w:sz w:val="32"/>
          <w:szCs w:val="32"/>
          <w:highlight w:val="none"/>
          <w:u w:val="none"/>
          <w:lang w:eastAsia="zh-CN"/>
        </w:rPr>
        <w:t>局、</w:t>
      </w:r>
      <w:r>
        <w:rPr>
          <w:rFonts w:hint="eastAsia" w:ascii="仿宋_GB2312" w:hAnsi="仿宋_GB2312" w:eastAsia="仿宋_GB2312" w:cs="仿宋_GB2312"/>
          <w:sz w:val="32"/>
          <w:szCs w:val="32"/>
          <w:highlight w:val="none"/>
          <w:u w:val="none"/>
        </w:rPr>
        <w:t>生态环境</w:t>
      </w:r>
      <w:r>
        <w:rPr>
          <w:rFonts w:hint="eastAsia" w:ascii="仿宋_GB2312" w:hAnsi="仿宋_GB2312" w:eastAsia="仿宋_GB2312" w:cs="仿宋_GB2312"/>
          <w:sz w:val="32"/>
          <w:szCs w:val="32"/>
          <w:highlight w:val="none"/>
          <w:u w:val="none"/>
          <w:lang w:eastAsia="zh-CN"/>
        </w:rPr>
        <w:t>局、</w:t>
      </w:r>
      <w:r>
        <w:rPr>
          <w:rFonts w:hint="eastAsia" w:ascii="仿宋_GB2312" w:hAnsi="仿宋_GB2312" w:eastAsia="仿宋_GB2312" w:cs="仿宋_GB2312"/>
          <w:sz w:val="32"/>
          <w:szCs w:val="32"/>
          <w:highlight w:val="none"/>
          <w:u w:val="none"/>
        </w:rPr>
        <w:t>水利</w:t>
      </w:r>
      <w:r>
        <w:rPr>
          <w:rFonts w:hint="eastAsia" w:ascii="仿宋_GB2312" w:hAnsi="仿宋_GB2312" w:eastAsia="仿宋_GB2312" w:cs="仿宋_GB2312"/>
          <w:sz w:val="32"/>
          <w:szCs w:val="32"/>
          <w:highlight w:val="none"/>
          <w:u w:val="none"/>
          <w:lang w:eastAsia="zh-CN"/>
        </w:rPr>
        <w:t>局、</w:t>
      </w:r>
      <w:r>
        <w:rPr>
          <w:rFonts w:hint="eastAsia" w:ascii="仿宋_GB2312" w:hAnsi="仿宋_GB2312" w:eastAsia="仿宋_GB2312" w:cs="仿宋_GB2312"/>
          <w:sz w:val="32"/>
          <w:szCs w:val="32"/>
          <w:highlight w:val="none"/>
          <w:u w:val="none"/>
        </w:rPr>
        <w:t>林业局等要素保障部门以及相关行业管理部门，根据项目实施情况，资源环境要素保障和承载能力等因素对纳入清单的项目进行审核；</w:t>
      </w:r>
    </w:p>
    <w:p w14:paraId="250382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lang w:eastAsia="zh-CN"/>
        </w:rPr>
        <w:t>（三）南宁市</w:t>
      </w:r>
      <w:r>
        <w:rPr>
          <w:rFonts w:hint="eastAsia" w:ascii="仿宋_GB2312" w:hAnsi="仿宋_GB2312" w:eastAsia="仿宋_GB2312" w:cs="仿宋_GB2312"/>
          <w:sz w:val="32"/>
          <w:szCs w:val="32"/>
          <w:highlight w:val="none"/>
          <w:u w:val="none"/>
        </w:rPr>
        <w:t>重大项目建设实施方案经批准后，以</w:t>
      </w:r>
      <w:r>
        <w:rPr>
          <w:rFonts w:hint="eastAsia" w:ascii="仿宋_GB2312" w:hAnsi="仿宋_GB2312" w:eastAsia="仿宋_GB2312" w:cs="仿宋_GB2312"/>
          <w:sz w:val="32"/>
          <w:szCs w:val="32"/>
          <w:highlight w:val="none"/>
          <w:u w:val="none"/>
          <w:lang w:eastAsia="zh-CN"/>
        </w:rPr>
        <w:t>南宁</w:t>
      </w:r>
      <w:r>
        <w:rPr>
          <w:rFonts w:hint="eastAsia" w:ascii="仿宋_GB2312" w:hAnsi="仿宋_GB2312" w:eastAsia="仿宋_GB2312" w:cs="仿宋_GB2312"/>
          <w:sz w:val="32"/>
          <w:szCs w:val="32"/>
          <w:highlight w:val="none"/>
          <w:u w:val="none"/>
        </w:rPr>
        <w:t>市人民政府名义下发实施</w:t>
      </w:r>
      <w:r>
        <w:rPr>
          <w:rFonts w:hint="eastAsia" w:ascii="仿宋_GB2312" w:hAnsi="仿宋_GB2312" w:eastAsia="仿宋_GB2312" w:cs="仿宋_GB2312"/>
          <w:sz w:val="32"/>
          <w:szCs w:val="32"/>
          <w:highlight w:val="none"/>
          <w:u w:val="none"/>
          <w:lang w:eastAsia="zh-CN"/>
        </w:rPr>
        <w:t>；</w:t>
      </w:r>
    </w:p>
    <w:p w14:paraId="40D67C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四</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原则上</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重大项目在每年第二</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三季度各增补一次。</w:t>
      </w:r>
      <w:r>
        <w:rPr>
          <w:rFonts w:hint="eastAsia" w:ascii="仿宋_GB2312" w:hAnsi="仿宋_GB2312" w:eastAsia="仿宋_GB2312" w:cs="仿宋_GB2312"/>
          <w:sz w:val="32"/>
          <w:szCs w:val="32"/>
          <w:highlight w:val="none"/>
          <w:u w:val="none"/>
          <w:lang w:eastAsia="zh-CN"/>
        </w:rPr>
        <w:t>市</w:t>
      </w:r>
      <w:r>
        <w:rPr>
          <w:rFonts w:hint="eastAsia" w:ascii="仿宋_GB2312" w:hAnsi="仿宋_GB2312" w:eastAsia="仿宋_GB2312" w:cs="仿宋_GB2312"/>
          <w:sz w:val="32"/>
          <w:szCs w:val="32"/>
          <w:highlight w:val="none"/>
          <w:u w:val="none"/>
        </w:rPr>
        <w:t>发展改革委会同有关部门按照遴选标准审核筛选滚动增补项目</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每批次的</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重大项目清单经</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人民政府批准后由</w:t>
      </w:r>
      <w:r>
        <w:rPr>
          <w:rFonts w:hint="eastAsia" w:ascii="仿宋_GB2312" w:hAnsi="仿宋_GB2312" w:eastAsia="仿宋_GB2312" w:cs="仿宋_GB2312"/>
          <w:sz w:val="32"/>
          <w:szCs w:val="32"/>
          <w:highlight w:val="none"/>
          <w:u w:val="none"/>
          <w:lang w:eastAsia="zh-CN"/>
        </w:rPr>
        <w:t>市发展和改革委员会</w:t>
      </w:r>
      <w:r>
        <w:rPr>
          <w:rFonts w:hint="eastAsia" w:ascii="仿宋_GB2312" w:hAnsi="仿宋_GB2312" w:eastAsia="仿宋_GB2312" w:cs="仿宋_GB2312"/>
          <w:sz w:val="32"/>
          <w:szCs w:val="32"/>
          <w:highlight w:val="none"/>
          <w:u w:val="none"/>
        </w:rPr>
        <w:t>印发；</w:t>
      </w:r>
    </w:p>
    <w:p w14:paraId="30B9AE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五</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对因政策变动以及项目业主投资意愿</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投资计划变化等因素，导致无法继续实施的项目，应当按退出机制及时办理。</w:t>
      </w:r>
    </w:p>
    <w:p w14:paraId="2C5EA9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val="en-US" w:eastAsia="zh-CN" w:bidi="ar"/>
        </w:rPr>
        <w:t>第十条</w:t>
      </w: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重大项目应当按规定办理审批(核准</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备案),以及节能审查</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环境影响评价</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取水许可</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水土保持方案审批</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排污许可</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社会稳定风险评估等相关手续。</w:t>
      </w:r>
    </w:p>
    <w:p w14:paraId="6776A29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u w:val="none"/>
          <w:lang w:val="en-US" w:eastAsia="zh-CN"/>
        </w:rPr>
      </w:pPr>
    </w:p>
    <w:p w14:paraId="7C9146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仿宋_GB2312" w:hAnsi="仿宋_GB2312" w:eastAsia="仿宋_GB2312" w:cs="仿宋_GB2312"/>
          <w:color w:val="auto"/>
          <w:sz w:val="32"/>
          <w:szCs w:val="32"/>
          <w:highlight w:val="none"/>
          <w:u w:val="none"/>
          <w:lang w:val="en-US"/>
        </w:rPr>
      </w:pPr>
      <w:r>
        <w:rPr>
          <w:rFonts w:hint="eastAsia" w:ascii="方正黑体_GBK" w:hAnsi="方正黑体_GBK" w:eastAsia="方正黑体_GBK" w:cs="方正黑体_GBK"/>
          <w:color w:val="auto"/>
          <w:sz w:val="32"/>
          <w:szCs w:val="32"/>
          <w:highlight w:val="none"/>
          <w:u w:val="none"/>
          <w:lang w:val="en-US" w:eastAsia="zh-CN"/>
        </w:rPr>
        <w:t xml:space="preserve">第三章 </w:t>
      </w:r>
      <w:r>
        <w:rPr>
          <w:rFonts w:hint="eastAsia" w:ascii="方正黑体_GBK" w:hAnsi="方正黑体_GBK" w:eastAsia="方正黑体_GBK" w:cs="方正黑体_GBK"/>
          <w:color w:val="auto"/>
          <w:sz w:val="32"/>
          <w:szCs w:val="32"/>
          <w:highlight w:val="none"/>
          <w:u w:val="none"/>
          <w:lang w:val="en-US"/>
        </w:rPr>
        <w:t xml:space="preserve"> 服务保障</w:t>
      </w:r>
    </w:p>
    <w:p w14:paraId="2440198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仿宋_GB2312" w:hAnsi="仿宋_GB2312" w:eastAsia="仿宋_GB2312" w:cs="仿宋_GB2312"/>
          <w:color w:val="FF0000"/>
          <w:spacing w:val="13"/>
          <w:sz w:val="31"/>
          <w:szCs w:val="31"/>
          <w:highlight w:val="none"/>
          <w:u w:val="none"/>
          <w:lang w:val="en-US" w:eastAsia="zh-CN"/>
        </w:rPr>
      </w:pPr>
    </w:p>
    <w:p w14:paraId="3DBAA5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default" w:ascii="Times New Roman" w:hAnsi="Times New Roman" w:eastAsia="方正仿宋_GBK" w:cs="Times New Roman"/>
          <w:b/>
          <w:bCs/>
          <w:snapToGrid/>
          <w:color w:val="000000"/>
          <w:sz w:val="32"/>
          <w:szCs w:val="32"/>
          <w:highlight w:val="none"/>
          <w:u w:val="none"/>
          <w:lang w:val="en-US" w:eastAsia="zh-CN" w:bidi="ar"/>
        </w:rPr>
        <w:t>第十</w:t>
      </w:r>
      <w:r>
        <w:rPr>
          <w:rFonts w:hint="eastAsia" w:ascii="Times New Roman" w:hAnsi="Times New Roman" w:eastAsia="方正仿宋_GBK" w:cs="Times New Roman"/>
          <w:b/>
          <w:bCs/>
          <w:snapToGrid/>
          <w:color w:val="000000"/>
          <w:sz w:val="32"/>
          <w:szCs w:val="32"/>
          <w:highlight w:val="none"/>
          <w:u w:val="none"/>
          <w:lang w:val="en-US" w:eastAsia="zh-CN" w:bidi="ar"/>
        </w:rPr>
        <w:t>一</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eastAsia" w:ascii="仿宋_GB2312" w:hAnsi="仿宋_GB2312" w:eastAsia="仿宋_GB2312" w:cs="仿宋_GB2312"/>
          <w:color w:val="auto"/>
          <w:sz w:val="32"/>
          <w:szCs w:val="32"/>
          <w:highlight w:val="none"/>
          <w:u w:val="none"/>
          <w:lang w:val="en-US" w:eastAsia="zh-CN"/>
        </w:rPr>
        <w:t xml:space="preserve">  南宁市</w:t>
      </w:r>
      <w:r>
        <w:rPr>
          <w:rFonts w:hint="eastAsia" w:ascii="仿宋_GB2312" w:hAnsi="仿宋_GB2312" w:eastAsia="仿宋_GB2312" w:cs="仿宋_GB2312"/>
          <w:sz w:val="32"/>
          <w:szCs w:val="32"/>
          <w:highlight w:val="none"/>
          <w:u w:val="none"/>
        </w:rPr>
        <w:t>重大项目所在地的人民政府</w:t>
      </w:r>
      <w:r>
        <w:rPr>
          <w:rFonts w:hint="eastAsia" w:ascii="仿宋_GB2312" w:hAnsi="仿宋_GB2312" w:eastAsia="仿宋_GB2312" w:cs="仿宋_GB2312"/>
          <w:sz w:val="32"/>
          <w:szCs w:val="32"/>
          <w:highlight w:val="none"/>
          <w:u w:val="none"/>
          <w:lang w:eastAsia="zh-CN"/>
        </w:rPr>
        <w:t>、开发区管委</w:t>
      </w:r>
      <w:r>
        <w:rPr>
          <w:rFonts w:hint="eastAsia" w:ascii="仿宋_GB2312" w:hAnsi="仿宋_GB2312" w:eastAsia="仿宋_GB2312" w:cs="仿宋_GB2312"/>
          <w:sz w:val="32"/>
          <w:szCs w:val="32"/>
          <w:highlight w:val="none"/>
          <w:u w:val="none"/>
        </w:rPr>
        <w:t>应当协调加快用地(水域使用)</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房屋征收和补偿等</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重大项目开工前各项准备工作，为项目建设创造良好条件。</w:t>
      </w:r>
    </w:p>
    <w:p w14:paraId="079D36F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13"/>
          <w:sz w:val="31"/>
          <w:szCs w:val="31"/>
          <w:highlight w:val="none"/>
          <w:u w:val="none"/>
        </w:rPr>
      </w:pPr>
      <w:r>
        <w:rPr>
          <w:rFonts w:hint="eastAsia" w:ascii="Times New Roman" w:hAnsi="Times New Roman" w:eastAsia="方正仿宋_GBK" w:cs="Times New Roman"/>
          <w:b/>
          <w:bCs/>
          <w:snapToGrid/>
          <w:color w:val="000000"/>
          <w:sz w:val="32"/>
          <w:szCs w:val="32"/>
          <w:highlight w:val="none"/>
          <w:u w:val="none"/>
          <w:lang w:val="en-US" w:eastAsia="zh-CN" w:bidi="ar"/>
        </w:rPr>
        <w:t>第十二条</w:t>
      </w:r>
      <w:r>
        <w:rPr>
          <w:rFonts w:hint="eastAsia" w:ascii="仿宋_GB2312" w:hAnsi="仿宋_GB2312" w:eastAsia="仿宋_GB2312" w:cs="仿宋_GB2312"/>
          <w:color w:val="auto"/>
          <w:sz w:val="32"/>
          <w:szCs w:val="32"/>
          <w:highlight w:val="none"/>
          <w:u w:val="none"/>
          <w:lang w:val="en-US"/>
        </w:rPr>
        <w:t xml:space="preserve"> </w:t>
      </w:r>
      <w:r>
        <w:rPr>
          <w:rFonts w:hint="eastAsia" w:ascii="仿宋_GB2312" w:hAnsi="仿宋_GB2312" w:eastAsia="仿宋_GB2312" w:cs="仿宋_GB2312"/>
          <w:color w:val="auto"/>
          <w:sz w:val="32"/>
          <w:szCs w:val="32"/>
          <w:highlight w:val="none"/>
          <w:u w:val="none"/>
          <w:lang w:val="en-US" w:eastAsia="zh-CN"/>
        </w:rPr>
        <w:t xml:space="preserve"> 各县（市、区）、开发区、市直有关</w:t>
      </w:r>
      <w:r>
        <w:rPr>
          <w:rFonts w:hint="eastAsia" w:ascii="仿宋_GB2312" w:hAnsi="仿宋_GB2312" w:eastAsia="仿宋_GB2312" w:cs="仿宋_GB2312"/>
          <w:color w:val="auto"/>
          <w:spacing w:val="13"/>
          <w:sz w:val="31"/>
          <w:szCs w:val="31"/>
          <w:highlight w:val="none"/>
          <w:u w:val="none"/>
        </w:rPr>
        <w:t>行政审批部门应当建立</w:t>
      </w:r>
      <w:r>
        <w:rPr>
          <w:rFonts w:hint="eastAsia" w:ascii="仿宋_GB2312" w:hAnsi="仿宋_GB2312" w:eastAsia="仿宋_GB2312" w:cs="仿宋_GB2312"/>
          <w:color w:val="auto"/>
          <w:spacing w:val="13"/>
          <w:sz w:val="31"/>
          <w:szCs w:val="31"/>
          <w:highlight w:val="none"/>
          <w:u w:val="none"/>
          <w:lang w:eastAsia="zh-CN"/>
        </w:rPr>
        <w:t>南宁市</w:t>
      </w:r>
      <w:r>
        <w:rPr>
          <w:rFonts w:hint="eastAsia" w:ascii="仿宋_GB2312" w:hAnsi="仿宋_GB2312" w:eastAsia="仿宋_GB2312" w:cs="仿宋_GB2312"/>
          <w:color w:val="auto"/>
          <w:spacing w:val="13"/>
          <w:sz w:val="31"/>
          <w:szCs w:val="31"/>
          <w:highlight w:val="none"/>
          <w:u w:val="none"/>
        </w:rPr>
        <w:t>重大项目审批“绿色通道”，简化审批流程，优化审批手续，压缩审批时限。相关要素保障部门按照节约、集约的原则，积极支持</w:t>
      </w:r>
      <w:r>
        <w:rPr>
          <w:rFonts w:hint="eastAsia" w:ascii="仿宋_GB2312" w:hAnsi="仿宋_GB2312" w:eastAsia="仿宋_GB2312" w:cs="仿宋_GB2312"/>
          <w:color w:val="auto"/>
          <w:spacing w:val="13"/>
          <w:sz w:val="31"/>
          <w:szCs w:val="31"/>
          <w:highlight w:val="none"/>
          <w:u w:val="none"/>
          <w:lang w:eastAsia="zh-CN"/>
        </w:rPr>
        <w:t>南宁市</w:t>
      </w:r>
      <w:r>
        <w:rPr>
          <w:rFonts w:hint="eastAsia" w:ascii="仿宋_GB2312" w:hAnsi="仿宋_GB2312" w:eastAsia="仿宋_GB2312" w:cs="仿宋_GB2312"/>
          <w:color w:val="auto"/>
          <w:spacing w:val="13"/>
          <w:sz w:val="31"/>
          <w:szCs w:val="31"/>
          <w:highlight w:val="none"/>
          <w:u w:val="none"/>
        </w:rPr>
        <w:t>重大项目新增建设用地、林地使用、海域使用、取水许可、能源消费、碳排放、污染物排放等要素合法合理需求，做好相关审批和许可工作。其中列入自治区重大项目新增建设用地计划指标、林地定额指标由自治区层面统筹保障；项目耕地占补平衡优先使用项目所在地县级补充耕地指标，县级无法满足需求的，在市域内按规定和程序统筹落实。</w:t>
      </w:r>
    </w:p>
    <w:p w14:paraId="1150A8B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13"/>
          <w:sz w:val="31"/>
          <w:szCs w:val="31"/>
          <w:highlight w:val="none"/>
          <w:u w:val="none"/>
        </w:rPr>
      </w:pPr>
      <w:r>
        <w:rPr>
          <w:rFonts w:hint="eastAsia" w:ascii="Times New Roman" w:hAnsi="Times New Roman" w:eastAsia="方正仿宋_GBK" w:cs="Times New Roman"/>
          <w:b/>
          <w:bCs/>
          <w:snapToGrid/>
          <w:color w:val="000000"/>
          <w:sz w:val="32"/>
          <w:szCs w:val="32"/>
          <w:highlight w:val="none"/>
          <w:u w:val="none"/>
          <w:lang w:val="en-US" w:eastAsia="zh-CN" w:bidi="ar"/>
        </w:rPr>
        <w:t>第</w:t>
      </w:r>
      <w:r>
        <w:rPr>
          <w:rFonts w:hint="default" w:ascii="Times New Roman" w:hAnsi="Times New Roman" w:eastAsia="方正仿宋_GBK" w:cs="Times New Roman"/>
          <w:b/>
          <w:bCs/>
          <w:snapToGrid/>
          <w:color w:val="000000"/>
          <w:sz w:val="32"/>
          <w:szCs w:val="32"/>
          <w:highlight w:val="none"/>
          <w:u w:val="none"/>
          <w:lang w:val="en-US" w:eastAsia="zh-CN" w:bidi="ar"/>
        </w:rPr>
        <w:t>十</w:t>
      </w:r>
      <w:r>
        <w:rPr>
          <w:rFonts w:hint="eastAsia" w:ascii="Times New Roman" w:hAnsi="Times New Roman" w:eastAsia="方正仿宋_GBK" w:cs="Times New Roman"/>
          <w:b/>
          <w:bCs/>
          <w:snapToGrid/>
          <w:color w:val="000000"/>
          <w:sz w:val="32"/>
          <w:szCs w:val="32"/>
          <w:highlight w:val="none"/>
          <w:u w:val="none"/>
          <w:lang w:val="en-US" w:eastAsia="zh-CN" w:bidi="ar"/>
        </w:rPr>
        <w:t>三</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eastAsia" w:ascii="仿宋_GB2312" w:hAnsi="仿宋_GB2312" w:eastAsia="仿宋_GB2312" w:cs="仿宋_GB2312"/>
          <w:color w:val="auto"/>
          <w:spacing w:val="13"/>
          <w:sz w:val="31"/>
          <w:szCs w:val="31"/>
          <w:highlight w:val="none"/>
          <w:u w:val="none"/>
        </w:rPr>
        <w:t xml:space="preserve">   各级各部门争取上级各类财政性资金、安排本级财政专项资金时，积极保障南宁市重大项目资金需求。积极为南宁市重大项目搭建投融资对接平台，向金融机构和民间资本推介</w:t>
      </w:r>
      <w:r>
        <w:rPr>
          <w:rFonts w:hint="eastAsia" w:ascii="仿宋_GB2312" w:hAnsi="仿宋_GB2312" w:eastAsia="仿宋_GB2312" w:cs="仿宋_GB2312"/>
          <w:color w:val="auto"/>
          <w:spacing w:val="13"/>
          <w:sz w:val="31"/>
          <w:szCs w:val="31"/>
          <w:highlight w:val="none"/>
          <w:u w:val="none"/>
          <w:lang w:eastAsia="zh-CN"/>
        </w:rPr>
        <w:t>，</w:t>
      </w:r>
      <w:r>
        <w:rPr>
          <w:rFonts w:hint="eastAsia" w:ascii="仿宋_GB2312" w:hAnsi="仿宋_GB2312" w:eastAsia="仿宋_GB2312" w:cs="仿宋_GB2312"/>
          <w:color w:val="auto"/>
          <w:spacing w:val="13"/>
          <w:sz w:val="31"/>
          <w:szCs w:val="31"/>
          <w:highlight w:val="none"/>
          <w:u w:val="none"/>
        </w:rPr>
        <w:t>鼓励民营企业积极参与南宁市重大项目建设。</w:t>
      </w:r>
      <w:r>
        <w:rPr>
          <w:rFonts w:hint="eastAsia" w:ascii="仿宋_GB2312" w:hAnsi="仿宋_GB2312" w:eastAsia="仿宋_GB2312" w:cs="仿宋_GB2312"/>
          <w:color w:val="auto"/>
          <w:spacing w:val="7"/>
          <w:sz w:val="31"/>
          <w:szCs w:val="31"/>
          <w:highlight w:val="none"/>
          <w:u w:val="none"/>
        </w:rPr>
        <w:t>要引导辖区内保险机构为重大项目提供保险服务方案，降低工程项目风险。</w:t>
      </w:r>
      <w:r>
        <w:rPr>
          <w:rFonts w:hint="eastAsia" w:ascii="仿宋_GB2312" w:hAnsi="仿宋_GB2312" w:eastAsia="仿宋_GB2312" w:cs="仿宋_GB2312"/>
          <w:color w:val="auto"/>
          <w:spacing w:val="13"/>
          <w:sz w:val="31"/>
          <w:szCs w:val="31"/>
          <w:highlight w:val="none"/>
          <w:u w:val="none"/>
        </w:rPr>
        <w:t>财政部门应当根据经批准的预算，及时、足额拨付南宁市重大项目政府投资资金。</w:t>
      </w:r>
    </w:p>
    <w:p w14:paraId="3D1F890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13"/>
          <w:sz w:val="31"/>
          <w:szCs w:val="31"/>
          <w:highlight w:val="none"/>
          <w:u w:val="none"/>
        </w:rPr>
      </w:pPr>
      <w:r>
        <w:rPr>
          <w:rFonts w:hint="default" w:ascii="Times New Roman" w:hAnsi="Times New Roman" w:eastAsia="方正仿宋_GBK" w:cs="Times New Roman"/>
          <w:b/>
          <w:bCs/>
          <w:snapToGrid/>
          <w:color w:val="000000"/>
          <w:spacing w:val="0"/>
          <w:sz w:val="32"/>
          <w:szCs w:val="32"/>
          <w:highlight w:val="none"/>
          <w:u w:val="none"/>
          <w:lang w:eastAsia="zh-CN" w:bidi="ar"/>
        </w:rPr>
        <w:t>第十</w:t>
      </w:r>
      <w:r>
        <w:rPr>
          <w:rFonts w:hint="eastAsia" w:ascii="Times New Roman" w:hAnsi="Times New Roman" w:eastAsia="方正仿宋_GBK" w:cs="Times New Roman"/>
          <w:b/>
          <w:bCs/>
          <w:snapToGrid/>
          <w:color w:val="000000"/>
          <w:spacing w:val="0"/>
          <w:sz w:val="32"/>
          <w:szCs w:val="32"/>
          <w:highlight w:val="none"/>
          <w:u w:val="none"/>
          <w:lang w:val="en-US" w:eastAsia="zh-CN" w:bidi="ar"/>
        </w:rPr>
        <w:t>四</w:t>
      </w:r>
      <w:r>
        <w:rPr>
          <w:rFonts w:hint="default" w:ascii="Times New Roman" w:hAnsi="Times New Roman" w:eastAsia="方正仿宋_GBK" w:cs="Times New Roman"/>
          <w:b/>
          <w:bCs/>
          <w:snapToGrid/>
          <w:color w:val="000000"/>
          <w:spacing w:val="0"/>
          <w:sz w:val="32"/>
          <w:szCs w:val="32"/>
          <w:highlight w:val="none"/>
          <w:u w:val="none"/>
          <w:lang w:eastAsia="zh-CN" w:bidi="ar"/>
        </w:rPr>
        <w:t>条</w:t>
      </w:r>
      <w:r>
        <w:rPr>
          <w:rFonts w:hint="eastAsia" w:ascii="仿宋_GB2312" w:hAnsi="仿宋_GB2312" w:eastAsia="仿宋_GB2312" w:cs="仿宋_GB2312"/>
          <w:color w:val="auto"/>
          <w:spacing w:val="13"/>
          <w:sz w:val="31"/>
          <w:szCs w:val="31"/>
          <w:highlight w:val="none"/>
          <w:u w:val="none"/>
        </w:rPr>
        <w:t xml:space="preserve">  加强项目配套保障。市级重大项目直接配套的项目，应当按照项目的建设进度，落实建设资金，完善审批手续，同步实施，同步投入使用。</w:t>
      </w:r>
    </w:p>
    <w:p w14:paraId="53E9274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仿宋_GB2312" w:hAnsi="仿宋_GB2312" w:eastAsia="仿宋_GB2312" w:cs="仿宋_GB2312"/>
          <w:color w:val="auto"/>
          <w:spacing w:val="13"/>
          <w:sz w:val="31"/>
          <w:szCs w:val="31"/>
          <w:highlight w:val="none"/>
          <w:u w:val="none"/>
          <w:lang w:eastAsia="zh-CN"/>
        </w:rPr>
      </w:pPr>
      <w:r>
        <w:rPr>
          <w:rFonts w:hint="eastAsia" w:ascii="仿宋_GB2312" w:hAnsi="仿宋_GB2312" w:eastAsia="仿宋_GB2312" w:cs="仿宋_GB2312"/>
          <w:color w:val="auto"/>
          <w:spacing w:val="13"/>
          <w:sz w:val="31"/>
          <w:szCs w:val="31"/>
          <w:highlight w:val="none"/>
          <w:u w:val="none"/>
        </w:rPr>
        <w:t>项目所在县（区）人民政府、开发区管委会是项目征地拆迁安置和环境整治工作的责任主体，应当按期交付项目建设用地，抓好项目施工现场和周边环境综合整治。交通、邮政、通信、供水、供电、供气、供热等单位，应当优先</w:t>
      </w:r>
      <w:r>
        <w:rPr>
          <w:rFonts w:hint="eastAsia" w:ascii="仿宋_GB2312" w:hAnsi="仿宋_GB2312" w:eastAsia="仿宋_GB2312" w:cs="仿宋_GB2312"/>
          <w:color w:val="auto"/>
          <w:spacing w:val="13"/>
          <w:sz w:val="31"/>
          <w:szCs w:val="31"/>
          <w:highlight w:val="none"/>
          <w:u w:val="none"/>
          <w:lang w:eastAsia="zh-CN"/>
        </w:rPr>
        <w:t>保障南宁市</w:t>
      </w:r>
      <w:r>
        <w:rPr>
          <w:rFonts w:hint="eastAsia" w:ascii="仿宋_GB2312" w:hAnsi="仿宋_GB2312" w:eastAsia="仿宋_GB2312" w:cs="仿宋_GB2312"/>
          <w:color w:val="auto"/>
          <w:spacing w:val="13"/>
          <w:sz w:val="31"/>
          <w:szCs w:val="31"/>
          <w:highlight w:val="none"/>
          <w:u w:val="none"/>
        </w:rPr>
        <w:t>重大项目建设需要和项目建成投产、使用的配套需要，并按照相关政策优先给予适当补贴</w:t>
      </w:r>
      <w:r>
        <w:rPr>
          <w:rFonts w:hint="eastAsia" w:ascii="仿宋_GB2312" w:hAnsi="仿宋_GB2312" w:eastAsia="仿宋_GB2312" w:cs="仿宋_GB2312"/>
          <w:color w:val="auto"/>
          <w:spacing w:val="13"/>
          <w:sz w:val="31"/>
          <w:szCs w:val="31"/>
          <w:highlight w:val="none"/>
          <w:u w:val="none"/>
          <w:lang w:eastAsia="zh-CN"/>
        </w:rPr>
        <w:t>。</w:t>
      </w:r>
    </w:p>
    <w:p w14:paraId="2D51D9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十五条</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u w:val="none"/>
          <w:lang w:val="en-US"/>
        </w:rPr>
        <w:t xml:space="preserve"> </w:t>
      </w:r>
      <w:r>
        <w:rPr>
          <w:rFonts w:hint="eastAsia" w:ascii="仿宋_GB2312" w:hAnsi="仿宋_GB2312" w:eastAsia="仿宋_GB2312" w:cs="仿宋_GB2312"/>
          <w:sz w:val="32"/>
          <w:szCs w:val="32"/>
          <w:highlight w:val="none"/>
          <w:u w:val="none"/>
        </w:rPr>
        <w:t>对已开展水土保持</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矿产压覆</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地质灾害危险性</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洪水影响等事项区域评价(评估)的区域，</w:t>
      </w:r>
      <w:r>
        <w:rPr>
          <w:rFonts w:hint="eastAsia" w:ascii="仿宋_GB2312" w:hAnsi="仿宋_GB2312" w:eastAsia="仿宋_GB2312" w:cs="仿宋_GB2312"/>
          <w:sz w:val="32"/>
          <w:szCs w:val="32"/>
          <w:highlight w:val="none"/>
          <w:u w:val="none"/>
          <w:lang w:eastAsia="zh-CN"/>
        </w:rPr>
        <w:t>在评估成果有效期内选址该区域的南宁市重大项目，可简化办理相关手续，可以不再单独进行评价(评估)，另有规定除外。</w:t>
      </w:r>
      <w:r>
        <w:rPr>
          <w:rFonts w:hint="eastAsia" w:ascii="仿宋_GB2312" w:hAnsi="仿宋_GB2312" w:eastAsia="仿宋_GB2312" w:cs="仿宋_GB2312"/>
          <w:sz w:val="32"/>
          <w:szCs w:val="32"/>
          <w:highlight w:val="none"/>
          <w:u w:val="none"/>
        </w:rPr>
        <w:t>鼓励</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重大项目开展多评合一。</w:t>
      </w:r>
    </w:p>
    <w:p w14:paraId="3BAF0F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Times New Roman" w:hAnsi="Times New Roman" w:eastAsia="方正仿宋_GBK" w:cs="Times New Roman"/>
          <w:b/>
          <w:bCs/>
          <w:snapToGrid/>
          <w:color w:val="000000"/>
          <w:sz w:val="32"/>
          <w:szCs w:val="32"/>
          <w:highlight w:val="none"/>
          <w:u w:val="none"/>
          <w:lang w:val="en-US" w:eastAsia="zh-CN" w:bidi="ar"/>
        </w:rPr>
        <w:t>第十六条</w:t>
      </w:r>
      <w:r>
        <w:rPr>
          <w:rFonts w:hint="eastAsia" w:ascii="仿宋_GB2312" w:hAnsi="仿宋_GB2312" w:eastAsia="仿宋_GB2312" w:cs="仿宋_GB2312"/>
          <w:color w:val="auto"/>
          <w:sz w:val="32"/>
          <w:szCs w:val="32"/>
          <w:highlight w:val="none"/>
          <w:u w:val="none"/>
          <w:lang w:val="en-US"/>
        </w:rPr>
        <w:t xml:space="preserve"> </w:t>
      </w:r>
      <w:r>
        <w:rPr>
          <w:rFonts w:hint="eastAsia" w:ascii="仿宋_GB2312" w:hAnsi="仿宋_GB2312" w:eastAsia="仿宋_GB2312" w:cs="仿宋_GB2312"/>
          <w:color w:val="auto"/>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重大项目确有必要穿越，跨越或者并行既有油气</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水</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电力</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通讯等管线以及公路</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铁路</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轨道</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航道等设施的，有关主管部门和有关产权单位应当在保障既有设施安全的前提下，依照国家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自治区和</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有关规定给予积极支持和协助。</w:t>
      </w:r>
    </w:p>
    <w:p w14:paraId="220A79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rPr>
      </w:pPr>
      <w:r>
        <w:rPr>
          <w:rFonts w:hint="eastAsia" w:ascii="Times New Roman" w:hAnsi="Times New Roman" w:eastAsia="方正仿宋_GBK" w:cs="Times New Roman"/>
          <w:b/>
          <w:bCs/>
          <w:snapToGrid/>
          <w:color w:val="000000"/>
          <w:sz w:val="32"/>
          <w:szCs w:val="32"/>
          <w:highlight w:val="none"/>
          <w:u w:val="none"/>
          <w:lang w:val="en-US" w:eastAsia="zh-CN" w:bidi="ar"/>
        </w:rPr>
        <w:t>第十七条</w:t>
      </w:r>
      <w:r>
        <w:rPr>
          <w:rFonts w:hint="eastAsia" w:ascii="仿宋_GB2312" w:hAnsi="仿宋_GB2312" w:eastAsia="仿宋_GB2312" w:cs="仿宋_GB2312"/>
          <w:color w:val="000000"/>
          <w:sz w:val="32"/>
          <w:szCs w:val="32"/>
          <w:highlight w:val="none"/>
          <w:u w:val="none"/>
          <w:lang w:val="en-US"/>
        </w:rPr>
        <w:t xml:space="preserve"> </w:t>
      </w:r>
      <w:r>
        <w:rPr>
          <w:rFonts w:hint="eastAsia" w:ascii="仿宋_GB2312" w:hAnsi="仿宋_GB2312" w:eastAsia="仿宋_GB2312" w:cs="仿宋_GB2312"/>
          <w:color w:val="000000"/>
          <w:sz w:val="32"/>
          <w:szCs w:val="32"/>
          <w:highlight w:val="none"/>
          <w:u w:val="none"/>
          <w:lang w:val="en-US" w:eastAsia="zh-CN"/>
        </w:rPr>
        <w:t xml:space="preserve"> 各级新闻媒体、</w:t>
      </w:r>
      <w:r>
        <w:rPr>
          <w:rFonts w:hint="eastAsia" w:ascii="仿宋_GB2312" w:hAnsi="仿宋_GB2312" w:eastAsia="仿宋_GB2312" w:cs="仿宋_GB2312"/>
          <w:sz w:val="32"/>
          <w:szCs w:val="32"/>
          <w:highlight w:val="none"/>
          <w:u w:val="none"/>
        </w:rPr>
        <w:t>项目推进责任单位应当积极主动宣传</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重大项目建设成效，为</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重大项目建设营造良好氛围。</w:t>
      </w:r>
    </w:p>
    <w:p w14:paraId="7F222C2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u w:val="none"/>
          <w:lang w:val="en-US"/>
        </w:rPr>
      </w:pPr>
    </w:p>
    <w:p w14:paraId="78B8586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仿宋_GB2312" w:hAnsi="仿宋_GB2312" w:eastAsia="仿宋_GB2312" w:cs="仿宋_GB2312"/>
          <w:color w:val="auto"/>
          <w:sz w:val="32"/>
          <w:szCs w:val="32"/>
          <w:highlight w:val="none"/>
          <w:u w:val="none"/>
          <w:lang w:val="en-US"/>
        </w:rPr>
      </w:pPr>
      <w:r>
        <w:rPr>
          <w:rFonts w:hint="eastAsia" w:ascii="方正黑体_GBK" w:hAnsi="方正黑体_GBK" w:eastAsia="方正黑体_GBK" w:cs="方正黑体_GBK"/>
          <w:color w:val="auto"/>
          <w:sz w:val="32"/>
          <w:szCs w:val="32"/>
          <w:highlight w:val="none"/>
          <w:u w:val="none"/>
          <w:lang w:val="en-US"/>
        </w:rPr>
        <w:t xml:space="preserve">第四章 </w:t>
      </w:r>
      <w:r>
        <w:rPr>
          <w:rFonts w:hint="eastAsia" w:ascii="方正黑体_GBK" w:hAnsi="方正黑体_GBK" w:eastAsia="方正黑体_GBK" w:cs="方正黑体_GBK"/>
          <w:color w:val="auto"/>
          <w:sz w:val="32"/>
          <w:szCs w:val="32"/>
          <w:highlight w:val="none"/>
          <w:u w:val="none"/>
          <w:lang w:val="en-US" w:eastAsia="zh-CN"/>
        </w:rPr>
        <w:t xml:space="preserve"> </w:t>
      </w:r>
      <w:r>
        <w:rPr>
          <w:rFonts w:hint="eastAsia" w:ascii="方正黑体_GBK" w:hAnsi="方正黑体_GBK" w:eastAsia="方正黑体_GBK" w:cs="方正黑体_GBK"/>
          <w:color w:val="auto"/>
          <w:sz w:val="32"/>
          <w:szCs w:val="32"/>
          <w:highlight w:val="none"/>
          <w:u w:val="none"/>
          <w:lang w:val="en-US"/>
        </w:rPr>
        <w:t>组织实施</w:t>
      </w:r>
    </w:p>
    <w:p w14:paraId="34878F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70C0"/>
          <w:sz w:val="32"/>
          <w:szCs w:val="32"/>
          <w:highlight w:val="none"/>
          <w:u w:val="none"/>
          <w:lang w:val="en-US" w:eastAsia="zh-CN"/>
        </w:rPr>
      </w:pPr>
    </w:p>
    <w:p w14:paraId="6FBA5B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十八</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重大项目实行进度目标责任制。</w:t>
      </w:r>
      <w:r>
        <w:rPr>
          <w:rFonts w:hint="eastAsia" w:ascii="仿宋_GB2312" w:hAnsi="仿宋_GB2312" w:eastAsia="仿宋_GB2312" w:cs="仿宋_GB2312"/>
          <w:sz w:val="32"/>
          <w:szCs w:val="32"/>
          <w:highlight w:val="none"/>
          <w:u w:val="none"/>
          <w:lang w:eastAsia="zh-CN"/>
        </w:rPr>
        <w:t>项目</w:t>
      </w:r>
      <w:r>
        <w:rPr>
          <w:rFonts w:hint="eastAsia" w:ascii="仿宋_GB2312" w:hAnsi="仿宋_GB2312" w:eastAsia="仿宋_GB2312" w:cs="仿宋_GB2312"/>
          <w:sz w:val="32"/>
          <w:szCs w:val="32"/>
          <w:highlight w:val="none"/>
          <w:u w:val="none"/>
        </w:rPr>
        <w:t>推进责任单位</w:t>
      </w:r>
      <w:r>
        <w:rPr>
          <w:rFonts w:hint="eastAsia" w:ascii="仿宋_GB2312" w:hAnsi="仿宋_GB2312" w:eastAsia="仿宋_GB2312" w:cs="仿宋_GB2312"/>
          <w:sz w:val="32"/>
          <w:szCs w:val="32"/>
          <w:highlight w:val="none"/>
          <w:u w:val="none"/>
          <w:lang w:eastAsia="zh-CN"/>
        </w:rPr>
        <w:t>的</w:t>
      </w:r>
      <w:r>
        <w:rPr>
          <w:rFonts w:hint="eastAsia" w:ascii="仿宋_GB2312" w:hAnsi="仿宋_GB2312" w:eastAsia="仿宋_GB2312" w:cs="仿宋_GB2312"/>
          <w:sz w:val="32"/>
          <w:szCs w:val="32"/>
          <w:highlight w:val="none"/>
          <w:u w:val="none"/>
        </w:rPr>
        <w:t>主要负责人为第一责任人，分管负责人为直接责任人。项目建设单位应根据南宁市重大项目建设计划要求，高质量完成工程投资和形象进度任务。</w:t>
      </w:r>
    </w:p>
    <w:p w14:paraId="2C7890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十九</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重大项目应当依法落实项目法人责任制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招标投标制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工程监理制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合同管理制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质量终身责任追究制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资本金制度等项目管理制度。</w:t>
      </w:r>
    </w:p>
    <w:p w14:paraId="322EE7A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z w:val="31"/>
          <w:szCs w:val="31"/>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第二十条</w:t>
      </w:r>
      <w:r>
        <w:rPr>
          <w:rFonts w:hint="eastAsia" w:ascii="仿宋_GB2312" w:hAnsi="仿宋_GB2312" w:eastAsia="仿宋_GB2312" w:cs="仿宋_GB2312"/>
          <w:b w:val="0"/>
          <w:bCs w:val="0"/>
          <w:sz w:val="32"/>
          <w:szCs w:val="32"/>
          <w:highlight w:val="none"/>
          <w:u w:val="none"/>
          <w:lang w:val="en-US" w:eastAsia="zh-CN"/>
        </w:rPr>
        <w:t xml:space="preserve">  </w:t>
      </w:r>
      <w:r>
        <w:rPr>
          <w:rFonts w:hint="eastAsia" w:ascii="仿宋_GB2312" w:hAnsi="仿宋_GB2312" w:eastAsia="仿宋_GB2312" w:cs="仿宋_GB2312"/>
          <w:color w:val="auto"/>
          <w:spacing w:val="1"/>
          <w:sz w:val="31"/>
          <w:szCs w:val="31"/>
          <w:highlight w:val="none"/>
          <w:u w:val="none"/>
        </w:rPr>
        <w:t>建立</w:t>
      </w:r>
      <w:r>
        <w:rPr>
          <w:rFonts w:hint="eastAsia" w:ascii="仿宋_GB2312" w:hAnsi="仿宋_GB2312" w:eastAsia="仿宋_GB2312" w:cs="仿宋_GB2312"/>
          <w:color w:val="auto"/>
          <w:spacing w:val="1"/>
          <w:sz w:val="31"/>
          <w:szCs w:val="31"/>
          <w:highlight w:val="none"/>
          <w:u w:val="none"/>
          <w:lang w:eastAsia="zh-CN"/>
        </w:rPr>
        <w:t>南宁市</w:t>
      </w:r>
      <w:r>
        <w:rPr>
          <w:rFonts w:hint="eastAsia" w:ascii="仿宋_GB2312" w:hAnsi="仿宋_GB2312" w:eastAsia="仿宋_GB2312" w:cs="仿宋_GB2312"/>
          <w:color w:val="auto"/>
          <w:spacing w:val="1"/>
          <w:sz w:val="31"/>
          <w:szCs w:val="31"/>
          <w:highlight w:val="none"/>
          <w:u w:val="none"/>
        </w:rPr>
        <w:t>重大项目县（</w:t>
      </w:r>
      <w:r>
        <w:rPr>
          <w:rFonts w:hint="eastAsia" w:ascii="仿宋_GB2312" w:hAnsi="仿宋_GB2312" w:eastAsia="仿宋_GB2312" w:cs="仿宋_GB2312"/>
          <w:color w:val="auto"/>
          <w:spacing w:val="1"/>
          <w:sz w:val="31"/>
          <w:szCs w:val="31"/>
          <w:highlight w:val="none"/>
          <w:u w:val="none"/>
          <w:lang w:eastAsia="zh-CN"/>
        </w:rPr>
        <w:t>市、</w:t>
      </w:r>
      <w:r>
        <w:rPr>
          <w:rFonts w:hint="eastAsia" w:ascii="仿宋_GB2312" w:hAnsi="仿宋_GB2312" w:eastAsia="仿宋_GB2312" w:cs="仿宋_GB2312"/>
          <w:color w:val="auto"/>
          <w:sz w:val="31"/>
          <w:szCs w:val="31"/>
          <w:highlight w:val="none"/>
          <w:u w:val="none"/>
        </w:rPr>
        <w:t>区）、</w:t>
      </w:r>
      <w:r>
        <w:rPr>
          <w:rFonts w:hint="eastAsia" w:ascii="仿宋_GB2312" w:hAnsi="仿宋_GB2312" w:eastAsia="仿宋_GB2312" w:cs="仿宋_GB2312"/>
          <w:color w:val="auto"/>
          <w:spacing w:val="6"/>
          <w:sz w:val="31"/>
          <w:szCs w:val="31"/>
          <w:highlight w:val="none"/>
          <w:u w:val="none"/>
        </w:rPr>
        <w:t>开发区</w:t>
      </w:r>
      <w:r>
        <w:rPr>
          <w:rFonts w:hint="eastAsia" w:ascii="仿宋_GB2312" w:hAnsi="仿宋_GB2312" w:eastAsia="仿宋_GB2312" w:cs="仿宋_GB2312"/>
          <w:color w:val="auto"/>
          <w:spacing w:val="6"/>
          <w:sz w:val="31"/>
          <w:szCs w:val="31"/>
          <w:highlight w:val="none"/>
          <w:u w:val="none"/>
          <w:lang w:eastAsia="zh-CN"/>
        </w:rPr>
        <w:t>—</w:t>
      </w:r>
      <w:r>
        <w:rPr>
          <w:rFonts w:hint="eastAsia" w:ascii="仿宋_GB2312" w:hAnsi="仿宋_GB2312" w:eastAsia="仿宋_GB2312" w:cs="仿宋_GB2312"/>
          <w:color w:val="auto"/>
          <w:spacing w:val="6"/>
          <w:sz w:val="31"/>
          <w:szCs w:val="31"/>
          <w:highlight w:val="none"/>
          <w:u w:val="none"/>
        </w:rPr>
        <w:t>市直部门—市领导三级协调机制。</w:t>
      </w:r>
    </w:p>
    <w:p w14:paraId="32F1945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0" w:firstLineChars="200"/>
        <w:jc w:val="both"/>
        <w:textAlignment w:val="baseline"/>
        <w:rPr>
          <w:rFonts w:hint="eastAsia" w:ascii="仿宋_GB2312" w:hAnsi="仿宋_GB2312" w:eastAsia="仿宋_GB2312" w:cs="仿宋_GB2312"/>
          <w:color w:val="auto"/>
          <w:sz w:val="31"/>
          <w:szCs w:val="31"/>
          <w:highlight w:val="none"/>
          <w:u w:val="none"/>
          <w:lang w:eastAsia="zh-CN"/>
        </w:rPr>
      </w:pPr>
      <w:r>
        <w:rPr>
          <w:rFonts w:hint="eastAsia" w:ascii="仿宋_GB2312" w:hAnsi="仿宋_GB2312" w:eastAsia="仿宋_GB2312" w:cs="仿宋_GB2312"/>
          <w:color w:val="auto"/>
          <w:spacing w:val="10"/>
          <w:sz w:val="31"/>
          <w:szCs w:val="31"/>
          <w:highlight w:val="none"/>
          <w:u w:val="none"/>
        </w:rPr>
        <w:t>（</w:t>
      </w:r>
      <w:r>
        <w:rPr>
          <w:rFonts w:hint="eastAsia" w:ascii="仿宋_GB2312" w:hAnsi="仿宋_GB2312" w:eastAsia="仿宋_GB2312" w:cs="仿宋_GB2312"/>
          <w:color w:val="auto"/>
          <w:spacing w:val="-60"/>
          <w:sz w:val="31"/>
          <w:szCs w:val="31"/>
          <w:highlight w:val="none"/>
          <w:u w:val="none"/>
        </w:rPr>
        <w:t xml:space="preserve"> </w:t>
      </w:r>
      <w:r>
        <w:rPr>
          <w:rFonts w:hint="eastAsia" w:ascii="仿宋_GB2312" w:hAnsi="仿宋_GB2312" w:eastAsia="仿宋_GB2312" w:cs="仿宋_GB2312"/>
          <w:color w:val="auto"/>
          <w:spacing w:val="10"/>
          <w:sz w:val="31"/>
          <w:szCs w:val="31"/>
          <w:highlight w:val="none"/>
          <w:u w:val="none"/>
        </w:rPr>
        <w:t>一）</w:t>
      </w:r>
      <w:r>
        <w:rPr>
          <w:rFonts w:hint="eastAsia" w:ascii="仿宋_GB2312" w:hAnsi="仿宋_GB2312" w:eastAsia="仿宋_GB2312" w:cs="仿宋_GB2312"/>
          <w:color w:val="auto"/>
          <w:spacing w:val="10"/>
          <w:sz w:val="31"/>
          <w:szCs w:val="31"/>
          <w:highlight w:val="none"/>
          <w:u w:val="none"/>
          <w:lang w:eastAsia="zh-CN"/>
        </w:rPr>
        <w:t>各</w:t>
      </w:r>
      <w:r>
        <w:rPr>
          <w:rFonts w:hint="eastAsia" w:ascii="仿宋_GB2312" w:hAnsi="仿宋_GB2312" w:eastAsia="仿宋_GB2312" w:cs="仿宋_GB2312"/>
          <w:color w:val="auto"/>
          <w:spacing w:val="10"/>
          <w:sz w:val="31"/>
          <w:szCs w:val="31"/>
          <w:highlight w:val="none"/>
          <w:u w:val="none"/>
        </w:rPr>
        <w:t>县（区）人民政府、开发区管委会</w:t>
      </w:r>
      <w:r>
        <w:rPr>
          <w:rFonts w:hint="eastAsia" w:ascii="仿宋_GB2312" w:hAnsi="仿宋_GB2312" w:eastAsia="仿宋_GB2312" w:cs="仿宋_GB2312"/>
          <w:color w:val="auto"/>
          <w:spacing w:val="3"/>
          <w:sz w:val="31"/>
          <w:szCs w:val="31"/>
          <w:highlight w:val="none"/>
          <w:u w:val="none"/>
        </w:rPr>
        <w:t>及时协调解决属于本地区</w:t>
      </w:r>
      <w:r>
        <w:rPr>
          <w:rFonts w:hint="eastAsia" w:ascii="仿宋_GB2312" w:hAnsi="仿宋_GB2312" w:eastAsia="仿宋_GB2312" w:cs="仿宋_GB2312"/>
          <w:color w:val="auto"/>
          <w:spacing w:val="2"/>
          <w:sz w:val="31"/>
          <w:szCs w:val="31"/>
          <w:highlight w:val="none"/>
          <w:u w:val="none"/>
          <w:lang w:eastAsia="zh-CN"/>
        </w:rPr>
        <w:t>南宁市重大项目建设过程中出现</w:t>
      </w:r>
      <w:r>
        <w:rPr>
          <w:rFonts w:hint="eastAsia" w:ascii="仿宋_GB2312" w:hAnsi="仿宋_GB2312" w:eastAsia="仿宋_GB2312" w:cs="仿宋_GB2312"/>
          <w:color w:val="auto"/>
          <w:spacing w:val="2"/>
          <w:sz w:val="31"/>
          <w:szCs w:val="31"/>
          <w:highlight w:val="none"/>
          <w:u w:val="none"/>
        </w:rPr>
        <w:t>的突出问题</w:t>
      </w:r>
      <w:r>
        <w:rPr>
          <w:rFonts w:hint="eastAsia" w:ascii="仿宋_GB2312" w:hAnsi="仿宋_GB2312" w:eastAsia="仿宋_GB2312" w:cs="仿宋_GB2312"/>
          <w:color w:val="auto"/>
          <w:spacing w:val="2"/>
          <w:sz w:val="31"/>
          <w:szCs w:val="31"/>
          <w:highlight w:val="none"/>
          <w:u w:val="none"/>
          <w:lang w:eastAsia="zh-CN"/>
        </w:rPr>
        <w:t>；</w:t>
      </w:r>
    </w:p>
    <w:p w14:paraId="45EF7AB8">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right="0" w:firstLine="628" w:firstLineChars="200"/>
        <w:jc w:val="both"/>
        <w:textAlignment w:val="baseline"/>
        <w:rPr>
          <w:rFonts w:hint="eastAsia" w:ascii="仿宋_GB2312" w:hAnsi="仿宋_GB2312" w:eastAsia="仿宋_GB2312" w:cs="仿宋_GB2312"/>
          <w:color w:val="auto"/>
          <w:spacing w:val="5"/>
          <w:sz w:val="31"/>
          <w:szCs w:val="31"/>
          <w:highlight w:val="none"/>
          <w:u w:val="none"/>
          <w:lang w:eastAsia="zh-CN"/>
        </w:rPr>
      </w:pPr>
      <w:r>
        <w:rPr>
          <w:rFonts w:hint="eastAsia" w:ascii="仿宋_GB2312" w:hAnsi="仿宋_GB2312" w:eastAsia="仿宋_GB2312" w:cs="仿宋_GB2312"/>
          <w:color w:val="auto"/>
          <w:spacing w:val="2"/>
          <w:sz w:val="31"/>
          <w:szCs w:val="31"/>
          <w:highlight w:val="none"/>
          <w:u w:val="none"/>
          <w:lang w:eastAsia="zh-CN"/>
        </w:rPr>
        <w:t>市发展改革委、市重点办及相关</w:t>
      </w:r>
      <w:r>
        <w:rPr>
          <w:rFonts w:hint="eastAsia" w:ascii="仿宋_GB2312" w:hAnsi="仿宋_GB2312" w:eastAsia="仿宋_GB2312" w:cs="仿宋_GB2312"/>
          <w:color w:val="auto"/>
          <w:spacing w:val="2"/>
          <w:sz w:val="31"/>
          <w:szCs w:val="31"/>
          <w:highlight w:val="none"/>
          <w:u w:val="none"/>
        </w:rPr>
        <w:t>市直行业行政主管部门</w:t>
      </w:r>
      <w:r>
        <w:rPr>
          <w:rFonts w:hint="eastAsia" w:ascii="仿宋_GB2312" w:hAnsi="仿宋_GB2312" w:eastAsia="仿宋_GB2312" w:cs="仿宋_GB2312"/>
          <w:color w:val="auto"/>
          <w:spacing w:val="2"/>
          <w:sz w:val="31"/>
          <w:szCs w:val="31"/>
          <w:highlight w:val="none"/>
          <w:u w:val="none"/>
          <w:lang w:eastAsia="zh-CN"/>
        </w:rPr>
        <w:t>应当定期或不定期召开南宁市重大项目建设协调会，协调项目前期工作以及</w:t>
      </w:r>
      <w:r>
        <w:rPr>
          <w:rFonts w:hint="eastAsia" w:ascii="仿宋_GB2312" w:hAnsi="仿宋_GB2312" w:eastAsia="仿宋_GB2312" w:cs="仿宋_GB2312"/>
          <w:color w:val="auto"/>
          <w:spacing w:val="4"/>
          <w:sz w:val="31"/>
          <w:szCs w:val="31"/>
          <w:highlight w:val="none"/>
          <w:u w:val="none"/>
        </w:rPr>
        <w:t>征地</w:t>
      </w:r>
      <w:r>
        <w:rPr>
          <w:rFonts w:hint="eastAsia" w:ascii="仿宋_GB2312" w:hAnsi="仿宋_GB2312" w:eastAsia="仿宋_GB2312" w:cs="仿宋_GB2312"/>
          <w:color w:val="auto"/>
          <w:spacing w:val="5"/>
          <w:sz w:val="31"/>
          <w:szCs w:val="31"/>
          <w:highlight w:val="none"/>
          <w:u w:val="none"/>
        </w:rPr>
        <w:t>拆迁、</w:t>
      </w:r>
      <w:r>
        <w:rPr>
          <w:rFonts w:hint="eastAsia" w:ascii="仿宋_GB2312" w:hAnsi="仿宋_GB2312" w:eastAsia="仿宋_GB2312" w:cs="仿宋_GB2312"/>
          <w:color w:val="auto"/>
          <w:spacing w:val="5"/>
          <w:sz w:val="31"/>
          <w:szCs w:val="31"/>
          <w:highlight w:val="none"/>
          <w:u w:val="none"/>
          <w:lang w:eastAsia="zh-CN"/>
        </w:rPr>
        <w:t>工程</w:t>
      </w:r>
      <w:r>
        <w:rPr>
          <w:rFonts w:hint="eastAsia" w:ascii="仿宋_GB2312" w:hAnsi="仿宋_GB2312" w:eastAsia="仿宋_GB2312" w:cs="仿宋_GB2312"/>
          <w:color w:val="auto"/>
          <w:spacing w:val="5"/>
          <w:sz w:val="31"/>
          <w:szCs w:val="31"/>
          <w:highlight w:val="none"/>
          <w:u w:val="none"/>
        </w:rPr>
        <w:t>建设等方面</w:t>
      </w:r>
      <w:r>
        <w:rPr>
          <w:rFonts w:hint="eastAsia" w:ascii="仿宋_GB2312" w:hAnsi="仿宋_GB2312" w:eastAsia="仿宋_GB2312" w:cs="仿宋_GB2312"/>
          <w:color w:val="auto"/>
          <w:spacing w:val="5"/>
          <w:sz w:val="31"/>
          <w:szCs w:val="31"/>
          <w:highlight w:val="none"/>
          <w:u w:val="none"/>
          <w:lang w:eastAsia="zh-CN"/>
        </w:rPr>
        <w:t>的</w:t>
      </w:r>
      <w:r>
        <w:rPr>
          <w:rFonts w:hint="eastAsia" w:ascii="仿宋_GB2312" w:hAnsi="仿宋_GB2312" w:eastAsia="仿宋_GB2312" w:cs="仿宋_GB2312"/>
          <w:color w:val="auto"/>
          <w:spacing w:val="5"/>
          <w:sz w:val="31"/>
          <w:szCs w:val="31"/>
          <w:highlight w:val="none"/>
          <w:u w:val="none"/>
        </w:rPr>
        <w:t>问题</w:t>
      </w:r>
      <w:r>
        <w:rPr>
          <w:rFonts w:hint="eastAsia" w:ascii="仿宋_GB2312" w:hAnsi="仿宋_GB2312" w:eastAsia="仿宋_GB2312" w:cs="仿宋_GB2312"/>
          <w:color w:val="auto"/>
          <w:spacing w:val="5"/>
          <w:sz w:val="31"/>
          <w:szCs w:val="31"/>
          <w:highlight w:val="none"/>
          <w:u w:val="none"/>
          <w:lang w:eastAsia="zh-CN"/>
        </w:rPr>
        <w:t>；</w:t>
      </w:r>
    </w:p>
    <w:p w14:paraId="4D22F8D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rPr>
          <w:rFonts w:hint="eastAsia" w:ascii="仿宋_GB2312" w:hAnsi="仿宋_GB2312" w:eastAsia="仿宋_GB2312" w:cs="仿宋_GB2312"/>
          <w:color w:val="auto"/>
          <w:sz w:val="31"/>
          <w:szCs w:val="31"/>
          <w:highlight w:val="none"/>
          <w:u w:val="none"/>
        </w:rPr>
      </w:pPr>
      <w:r>
        <w:rPr>
          <w:rFonts w:hint="eastAsia" w:ascii="仿宋_GB2312" w:hAnsi="仿宋_GB2312" w:eastAsia="仿宋_GB2312" w:cs="仿宋_GB2312"/>
          <w:color w:val="auto"/>
          <w:spacing w:val="13"/>
          <w:sz w:val="31"/>
          <w:szCs w:val="31"/>
          <w:highlight w:val="none"/>
          <w:u w:val="none"/>
        </w:rPr>
        <w:t>（三）</w:t>
      </w:r>
      <w:r>
        <w:rPr>
          <w:rFonts w:hint="eastAsia" w:ascii="仿宋_GB2312" w:hAnsi="仿宋_GB2312" w:eastAsia="仿宋_GB2312" w:cs="仿宋_GB2312"/>
          <w:color w:val="auto"/>
          <w:spacing w:val="13"/>
          <w:sz w:val="31"/>
          <w:szCs w:val="31"/>
          <w:highlight w:val="none"/>
          <w:u w:val="none"/>
          <w:lang w:eastAsia="zh-CN"/>
        </w:rPr>
        <w:t>从南宁市重大项目中选取符合条件的项目，纳入市领导联系服务重大项目工作机制进行管理；</w:t>
      </w:r>
    </w:p>
    <w:p w14:paraId="6159DEB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6" w:firstLineChars="200"/>
        <w:jc w:val="both"/>
        <w:textAlignment w:val="baseline"/>
        <w:rPr>
          <w:rFonts w:hint="eastAsia" w:ascii="仿宋_GB2312" w:hAnsi="仿宋_GB2312" w:eastAsia="仿宋_GB2312" w:cs="仿宋_GB2312"/>
          <w:color w:val="auto"/>
          <w:spacing w:val="5"/>
          <w:sz w:val="31"/>
          <w:szCs w:val="31"/>
          <w:highlight w:val="none"/>
          <w:u w:val="none"/>
        </w:rPr>
      </w:pPr>
      <w:r>
        <w:rPr>
          <w:rFonts w:hint="eastAsia" w:ascii="仿宋_GB2312" w:hAnsi="仿宋_GB2312" w:eastAsia="仿宋_GB2312" w:cs="仿宋_GB2312"/>
          <w:color w:val="auto"/>
          <w:spacing w:val="9"/>
          <w:sz w:val="31"/>
          <w:szCs w:val="31"/>
          <w:highlight w:val="none"/>
          <w:u w:val="none"/>
        </w:rPr>
        <w:t>（四）涉及</w:t>
      </w:r>
      <w:r>
        <w:rPr>
          <w:rFonts w:hint="eastAsia" w:ascii="仿宋_GB2312" w:hAnsi="仿宋_GB2312" w:eastAsia="仿宋_GB2312" w:cs="仿宋_GB2312"/>
          <w:color w:val="auto"/>
          <w:spacing w:val="9"/>
          <w:sz w:val="31"/>
          <w:szCs w:val="31"/>
          <w:highlight w:val="none"/>
          <w:u w:val="none"/>
          <w:lang w:eastAsia="zh-CN"/>
        </w:rPr>
        <w:t>国家、</w:t>
      </w:r>
      <w:r>
        <w:rPr>
          <w:rFonts w:hint="eastAsia" w:ascii="仿宋_GB2312" w:hAnsi="仿宋_GB2312" w:eastAsia="仿宋_GB2312" w:cs="仿宋_GB2312"/>
          <w:color w:val="auto"/>
          <w:spacing w:val="9"/>
          <w:sz w:val="31"/>
          <w:szCs w:val="31"/>
          <w:highlight w:val="none"/>
          <w:u w:val="none"/>
        </w:rPr>
        <w:t>自治区层面协调的问题，</w:t>
      </w:r>
      <w:r>
        <w:rPr>
          <w:rFonts w:hint="eastAsia" w:ascii="仿宋_GB2312" w:hAnsi="仿宋_GB2312" w:eastAsia="仿宋_GB2312" w:cs="仿宋_GB2312"/>
          <w:color w:val="auto"/>
          <w:spacing w:val="-76"/>
          <w:sz w:val="31"/>
          <w:szCs w:val="31"/>
          <w:highlight w:val="none"/>
          <w:u w:val="none"/>
        </w:rPr>
        <w:t xml:space="preserve"> </w:t>
      </w:r>
      <w:r>
        <w:rPr>
          <w:rFonts w:hint="eastAsia" w:ascii="仿宋_GB2312" w:hAnsi="仿宋_GB2312" w:eastAsia="仿宋_GB2312" w:cs="仿宋_GB2312"/>
          <w:color w:val="auto"/>
          <w:spacing w:val="9"/>
          <w:sz w:val="31"/>
          <w:szCs w:val="31"/>
          <w:highlight w:val="none"/>
          <w:u w:val="none"/>
        </w:rPr>
        <w:t>由市发展改革</w:t>
      </w:r>
      <w:r>
        <w:rPr>
          <w:rFonts w:hint="eastAsia" w:ascii="仿宋_GB2312" w:hAnsi="仿宋_GB2312" w:eastAsia="仿宋_GB2312" w:cs="仿宋_GB2312"/>
          <w:color w:val="auto"/>
          <w:spacing w:val="9"/>
          <w:sz w:val="31"/>
          <w:szCs w:val="31"/>
          <w:highlight w:val="none"/>
          <w:u w:val="none"/>
          <w:lang w:eastAsia="zh-CN"/>
        </w:rPr>
        <w:t>委收集</w:t>
      </w:r>
      <w:r>
        <w:rPr>
          <w:rFonts w:hint="eastAsia" w:ascii="仿宋_GB2312" w:hAnsi="仿宋_GB2312" w:eastAsia="仿宋_GB2312" w:cs="仿宋_GB2312"/>
          <w:color w:val="auto"/>
          <w:spacing w:val="5"/>
          <w:sz w:val="31"/>
          <w:szCs w:val="31"/>
          <w:highlight w:val="none"/>
          <w:u w:val="none"/>
        </w:rPr>
        <w:t>汇总报自治区</w:t>
      </w:r>
      <w:r>
        <w:rPr>
          <w:rFonts w:hint="eastAsia" w:ascii="仿宋_GB2312" w:hAnsi="仿宋_GB2312" w:eastAsia="仿宋_GB2312" w:cs="仿宋_GB2312"/>
          <w:color w:val="auto"/>
          <w:spacing w:val="5"/>
          <w:sz w:val="31"/>
          <w:szCs w:val="31"/>
          <w:highlight w:val="none"/>
          <w:u w:val="none"/>
          <w:lang w:eastAsia="zh-CN"/>
        </w:rPr>
        <w:t>相关机制</w:t>
      </w:r>
      <w:r>
        <w:rPr>
          <w:rFonts w:hint="eastAsia" w:ascii="仿宋_GB2312" w:hAnsi="仿宋_GB2312" w:eastAsia="仿宋_GB2312" w:cs="仿宋_GB2312"/>
          <w:color w:val="auto"/>
          <w:spacing w:val="5"/>
          <w:sz w:val="31"/>
          <w:szCs w:val="31"/>
          <w:highlight w:val="none"/>
          <w:u w:val="none"/>
        </w:rPr>
        <w:t>协调。</w:t>
      </w:r>
    </w:p>
    <w:p w14:paraId="3C5739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default" w:ascii="Times New Roman" w:hAnsi="Times New Roman" w:eastAsia="方正仿宋_GBK" w:cs="Times New Roman"/>
          <w:b/>
          <w:bCs/>
          <w:snapToGrid/>
          <w:sz w:val="32"/>
          <w:szCs w:val="32"/>
          <w:highlight w:val="none"/>
          <w:u w:val="none"/>
          <w:lang w:eastAsia="zh-CN" w:bidi="ar"/>
        </w:rPr>
        <w:t>第二十</w:t>
      </w:r>
      <w:r>
        <w:rPr>
          <w:rFonts w:hint="eastAsia" w:ascii="Times New Roman" w:hAnsi="Times New Roman" w:eastAsia="方正仿宋_GBK" w:cs="Times New Roman"/>
          <w:b/>
          <w:bCs/>
          <w:snapToGrid/>
          <w:sz w:val="32"/>
          <w:szCs w:val="32"/>
          <w:highlight w:val="none"/>
          <w:u w:val="none"/>
          <w:lang w:val="en-US" w:eastAsia="zh-CN" w:bidi="ar"/>
        </w:rPr>
        <w:t>一</w:t>
      </w:r>
      <w:r>
        <w:rPr>
          <w:rFonts w:hint="default" w:ascii="Times New Roman" w:hAnsi="Times New Roman" w:eastAsia="方正仿宋_GBK" w:cs="Times New Roman"/>
          <w:b/>
          <w:bCs/>
          <w:snapToGrid/>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重大项目应当按照经审批(核准</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备案)的建设内容</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建设规模</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建设标准</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建设工期等组织实施，项目年度投资计划应当与建设工期相匹配</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拟变更建设地点或者拟对建设内容</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建设规模</w:t>
      </w:r>
      <w:r>
        <w:rPr>
          <w:rFonts w:hint="eastAsia" w:ascii="仿宋_GB2312" w:hAnsi="仿宋_GB2312" w:eastAsia="仿宋_GB2312" w:cs="仿宋_GB2312"/>
          <w:sz w:val="32"/>
          <w:szCs w:val="32"/>
          <w:highlight w:val="none"/>
          <w:u w:val="none"/>
          <w:lang w:eastAsia="zh-CN"/>
        </w:rPr>
        <w:t>、投资规模等作变更的，</w:t>
      </w:r>
      <w:r>
        <w:rPr>
          <w:rFonts w:hint="eastAsia" w:ascii="仿宋_GB2312" w:hAnsi="仿宋_GB2312" w:eastAsia="仿宋_GB2312" w:cs="仿宋_GB2312"/>
          <w:sz w:val="32"/>
          <w:szCs w:val="32"/>
          <w:highlight w:val="none"/>
          <w:u w:val="none"/>
        </w:rPr>
        <w:t>应当依照法律法规和国家</w:t>
      </w:r>
      <w:r>
        <w:rPr>
          <w:rFonts w:hint="eastAsia" w:ascii="仿宋_GB2312" w:hAnsi="仿宋_GB2312" w:eastAsia="仿宋_GB2312" w:cs="仿宋_GB2312"/>
          <w:sz w:val="32"/>
          <w:szCs w:val="32"/>
          <w:highlight w:val="none"/>
          <w:u w:val="none"/>
          <w:lang w:eastAsia="zh-CN"/>
        </w:rPr>
        <w:t>、自治区、南宁市</w:t>
      </w:r>
      <w:r>
        <w:rPr>
          <w:rFonts w:hint="eastAsia" w:ascii="仿宋_GB2312" w:hAnsi="仿宋_GB2312" w:eastAsia="仿宋_GB2312" w:cs="仿宋_GB2312"/>
          <w:sz w:val="32"/>
          <w:szCs w:val="32"/>
          <w:highlight w:val="none"/>
          <w:u w:val="none"/>
        </w:rPr>
        <w:t>有关规定办理，变更结果应当报</w:t>
      </w:r>
      <w:r>
        <w:rPr>
          <w:rFonts w:hint="eastAsia" w:ascii="仿宋_GB2312" w:hAnsi="仿宋_GB2312" w:eastAsia="仿宋_GB2312" w:cs="仿宋_GB2312"/>
          <w:sz w:val="32"/>
          <w:szCs w:val="32"/>
          <w:highlight w:val="none"/>
          <w:u w:val="none"/>
          <w:lang w:eastAsia="zh-CN"/>
        </w:rPr>
        <w:t>市</w:t>
      </w:r>
      <w:r>
        <w:rPr>
          <w:rFonts w:hint="eastAsia" w:ascii="仿宋_GB2312" w:hAnsi="仿宋_GB2312" w:eastAsia="仿宋_GB2312" w:cs="仿宋_GB2312"/>
          <w:sz w:val="32"/>
          <w:szCs w:val="32"/>
          <w:highlight w:val="none"/>
          <w:u w:val="none"/>
        </w:rPr>
        <w:t>发展改革委。</w:t>
      </w:r>
    </w:p>
    <w:p w14:paraId="0570529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第二十</w:t>
      </w:r>
      <w:r>
        <w:rPr>
          <w:rFonts w:hint="eastAsia" w:ascii="Times New Roman" w:hAnsi="Times New Roman" w:eastAsia="方正仿宋_GBK" w:cs="Times New Roman"/>
          <w:b/>
          <w:bCs/>
          <w:snapToGrid/>
          <w:color w:val="000000"/>
          <w:sz w:val="32"/>
          <w:szCs w:val="32"/>
          <w:highlight w:val="none"/>
          <w:u w:val="none"/>
          <w:lang w:val="en-US" w:eastAsia="zh-CN" w:bidi="ar"/>
        </w:rPr>
        <w:t>二</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val="0"/>
          <w:bCs w:val="0"/>
          <w:sz w:val="32"/>
          <w:szCs w:val="32"/>
          <w:highlight w:val="none"/>
          <w:u w:val="none"/>
          <w:lang w:val="en-US" w:eastAsia="zh-CN"/>
        </w:rPr>
        <w:t xml:space="preserve"> </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项目推进</w:t>
      </w:r>
      <w:r>
        <w:rPr>
          <w:rFonts w:hint="eastAsia" w:ascii="仿宋_GB2312" w:hAnsi="仿宋_GB2312" w:eastAsia="仿宋_GB2312" w:cs="仿宋_GB2312"/>
          <w:sz w:val="32"/>
          <w:szCs w:val="32"/>
          <w:highlight w:val="none"/>
          <w:u w:val="none"/>
        </w:rPr>
        <w:t>责任单位应当每月向</w:t>
      </w:r>
      <w:r>
        <w:rPr>
          <w:rFonts w:hint="eastAsia" w:ascii="仿宋_GB2312" w:hAnsi="仿宋_GB2312" w:eastAsia="仿宋_GB2312" w:cs="仿宋_GB2312"/>
          <w:sz w:val="32"/>
          <w:szCs w:val="32"/>
          <w:highlight w:val="none"/>
          <w:u w:val="none"/>
          <w:lang w:eastAsia="zh-CN"/>
        </w:rPr>
        <w:t>市</w:t>
      </w:r>
      <w:r>
        <w:rPr>
          <w:rFonts w:hint="eastAsia" w:ascii="仿宋_GB2312" w:hAnsi="仿宋_GB2312" w:eastAsia="仿宋_GB2312" w:cs="仿宋_GB2312"/>
          <w:sz w:val="32"/>
          <w:szCs w:val="32"/>
          <w:highlight w:val="none"/>
          <w:u w:val="none"/>
        </w:rPr>
        <w:t>发展改革委如实</w:t>
      </w:r>
      <w:r>
        <w:rPr>
          <w:rFonts w:hint="eastAsia" w:ascii="仿宋_GB2312" w:hAnsi="仿宋_GB2312" w:eastAsia="仿宋_GB2312" w:cs="仿宋_GB2312"/>
          <w:sz w:val="32"/>
          <w:szCs w:val="32"/>
          <w:highlight w:val="none"/>
          <w:u w:val="none"/>
          <w:lang w:eastAsia="zh-CN"/>
        </w:rPr>
        <w:t>报送</w:t>
      </w:r>
      <w:r>
        <w:rPr>
          <w:rFonts w:hint="eastAsia" w:ascii="仿宋_GB2312" w:hAnsi="仿宋_GB2312" w:eastAsia="仿宋_GB2312" w:cs="仿宋_GB2312"/>
          <w:sz w:val="32"/>
          <w:szCs w:val="32"/>
          <w:highlight w:val="none"/>
          <w:u w:val="none"/>
        </w:rPr>
        <w:t>项目进展情况，存在问题和工作建议等有关信息。</w:t>
      </w:r>
    </w:p>
    <w:p w14:paraId="042177F5">
      <w:pPr>
        <w:pStyle w:val="5"/>
        <w:keepNext w:val="0"/>
        <w:keepLines w:val="0"/>
        <w:pageBreakBefore w:val="0"/>
        <w:widowControl/>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s="仿宋_GB2312"/>
          <w:color w:val="auto"/>
          <w:spacing w:val="7"/>
          <w:sz w:val="31"/>
          <w:szCs w:val="31"/>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第二十</w:t>
      </w:r>
      <w:r>
        <w:rPr>
          <w:rFonts w:hint="eastAsia" w:ascii="Times New Roman" w:hAnsi="Times New Roman" w:eastAsia="方正仿宋_GBK" w:cs="Times New Roman"/>
          <w:b/>
          <w:bCs/>
          <w:snapToGrid/>
          <w:color w:val="000000"/>
          <w:sz w:val="32"/>
          <w:szCs w:val="32"/>
          <w:highlight w:val="none"/>
          <w:u w:val="none"/>
          <w:lang w:val="en-US" w:eastAsia="zh-CN" w:bidi="ar"/>
        </w:rPr>
        <w:t>三</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val="0"/>
          <w:bCs w:val="0"/>
          <w:sz w:val="32"/>
          <w:szCs w:val="32"/>
          <w:highlight w:val="none"/>
          <w:u w:val="none"/>
          <w:lang w:val="en-US" w:eastAsia="zh-CN"/>
        </w:rPr>
        <w:t xml:space="preserve"> </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color w:val="auto"/>
          <w:spacing w:val="7"/>
          <w:sz w:val="31"/>
          <w:szCs w:val="31"/>
          <w:highlight w:val="none"/>
          <w:u w:val="none"/>
        </w:rPr>
        <w:t>市发展改革委应当采用线上和线下相结合的方式，加强对南宁市重大项目实施情况的监测、分析和调度，牵头开展督导服务。</w:t>
      </w:r>
    </w:p>
    <w:p w14:paraId="3023F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第二十</w:t>
      </w:r>
      <w:r>
        <w:rPr>
          <w:rFonts w:hint="eastAsia" w:ascii="Times New Roman" w:hAnsi="Times New Roman" w:eastAsia="方正仿宋_GBK" w:cs="Times New Roman"/>
          <w:b/>
          <w:bCs/>
          <w:snapToGrid/>
          <w:color w:val="000000"/>
          <w:sz w:val="32"/>
          <w:szCs w:val="32"/>
          <w:highlight w:val="none"/>
          <w:u w:val="none"/>
          <w:lang w:val="en-US" w:eastAsia="zh-CN" w:bidi="ar"/>
        </w:rPr>
        <w:t>四</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重大项目的竣工验收，按照国家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自治区</w:t>
      </w:r>
      <w:r>
        <w:rPr>
          <w:rFonts w:hint="eastAsia" w:ascii="仿宋_GB2312" w:hAnsi="仿宋_GB2312" w:eastAsia="仿宋_GB2312" w:cs="仿宋_GB2312"/>
          <w:sz w:val="32"/>
          <w:szCs w:val="32"/>
          <w:highlight w:val="none"/>
          <w:u w:val="none"/>
          <w:lang w:eastAsia="zh-CN"/>
        </w:rPr>
        <w:t>及本市</w:t>
      </w:r>
      <w:r>
        <w:rPr>
          <w:rFonts w:hint="eastAsia" w:ascii="仿宋_GB2312" w:hAnsi="仿宋_GB2312" w:eastAsia="仿宋_GB2312" w:cs="仿宋_GB2312"/>
          <w:sz w:val="32"/>
          <w:szCs w:val="32"/>
          <w:highlight w:val="none"/>
          <w:u w:val="none"/>
        </w:rPr>
        <w:t>有关规定执行。</w:t>
      </w:r>
    </w:p>
    <w:p w14:paraId="5CDF00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eastAsia="zh-CN" w:bidi="ar"/>
        </w:rPr>
        <w:t>二十</w:t>
      </w:r>
      <w:r>
        <w:rPr>
          <w:rFonts w:hint="eastAsia" w:ascii="Times New Roman" w:hAnsi="Times New Roman" w:eastAsia="方正仿宋_GBK" w:cs="Times New Roman"/>
          <w:b/>
          <w:bCs/>
          <w:snapToGrid/>
          <w:color w:val="000000"/>
          <w:sz w:val="32"/>
          <w:szCs w:val="32"/>
          <w:highlight w:val="none"/>
          <w:u w:val="none"/>
          <w:lang w:val="en-US" w:eastAsia="zh-CN" w:bidi="ar"/>
        </w:rPr>
        <w:t>五</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rPr>
        <w:t>政府投资的</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重大项目，在项目验收合格并投入使用一段时间后，由投资主管部门会同有关部门选取具有代表性的项目进行后评价。项目后评价工作按照国家和自治区有关规定开展。</w:t>
      </w:r>
    </w:p>
    <w:p w14:paraId="5AC8DF0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仿宋_GB2312" w:hAnsi="仿宋_GB2312" w:eastAsia="仿宋_GB2312" w:cs="仿宋_GB2312"/>
          <w:color w:val="auto"/>
          <w:sz w:val="32"/>
          <w:szCs w:val="32"/>
          <w:highlight w:val="none"/>
          <w:u w:val="none"/>
          <w:lang w:val="en-US"/>
        </w:rPr>
      </w:pPr>
    </w:p>
    <w:p w14:paraId="2475AFF3">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rPr>
        <w:t xml:space="preserve"> </w:t>
      </w:r>
      <w:r>
        <w:rPr>
          <w:rFonts w:hint="eastAsia" w:ascii="方正黑体_GBK" w:hAnsi="方正黑体_GBK" w:eastAsia="方正黑体_GBK" w:cs="方正黑体_GBK"/>
          <w:color w:val="auto"/>
          <w:sz w:val="32"/>
          <w:szCs w:val="32"/>
          <w:highlight w:val="none"/>
          <w:u w:val="none"/>
          <w:lang w:val="en-US" w:eastAsia="zh-CN"/>
        </w:rPr>
        <w:t>奖惩管理</w:t>
      </w:r>
    </w:p>
    <w:p w14:paraId="64F7D975">
      <w:pPr>
        <w:pStyle w:val="2"/>
        <w:numPr>
          <w:ilvl w:val="0"/>
          <w:numId w:val="0"/>
        </w:numPr>
        <w:rPr>
          <w:rFonts w:hint="eastAsia"/>
          <w:highlight w:val="none"/>
          <w:lang w:val="en-US" w:eastAsia="zh-CN"/>
        </w:rPr>
      </w:pPr>
    </w:p>
    <w:p w14:paraId="517BBD0B">
      <w:pPr>
        <w:keepNext w:val="0"/>
        <w:keepLines w:val="0"/>
        <w:widowControl/>
        <w:suppressLineNumbers w:val="0"/>
        <w:spacing w:line="560" w:lineRule="exact"/>
        <w:ind w:firstLine="640" w:firstLineChars="200"/>
        <w:jc w:val="both"/>
        <w:rPr>
          <w:rFonts w:hint="eastAsia" w:ascii="仿宋_GB2312" w:hAnsi="仿宋_GB2312" w:eastAsia="仿宋_GB2312" w:cs="仿宋_GB2312"/>
          <w:sz w:val="32"/>
          <w:szCs w:val="32"/>
          <w:highlight w:val="none"/>
          <w:lang w:eastAsia="zh-CN" w:bidi="ar"/>
        </w:rPr>
      </w:pPr>
      <w:r>
        <w:rPr>
          <w:rFonts w:hint="default" w:ascii="Times New Roman" w:hAnsi="Times New Roman" w:eastAsia="方正仿宋_GBK" w:cs="Times New Roman"/>
          <w:b/>
          <w:bCs/>
          <w:snapToGrid/>
          <w:color w:val="000000"/>
          <w:sz w:val="32"/>
          <w:szCs w:val="32"/>
          <w:highlight w:val="none"/>
          <w:u w:val="none"/>
          <w:lang w:val="en-US"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二十六</w:t>
      </w:r>
      <w:r>
        <w:rPr>
          <w:rFonts w:hint="default" w:ascii="Times New Roman" w:hAnsi="Times New Roman" w:eastAsia="方正仿宋_GBK" w:cs="Times New Roman"/>
          <w:b/>
          <w:bCs/>
          <w:snapToGrid/>
          <w:color w:val="000000"/>
          <w:sz w:val="32"/>
          <w:szCs w:val="32"/>
          <w:highlight w:val="none"/>
          <w:u w:val="none"/>
          <w:lang w:val="en-US" w:eastAsia="zh-CN" w:bidi="ar"/>
        </w:rPr>
        <w:t>条</w:t>
      </w:r>
      <w:r>
        <w:rPr>
          <w:rFonts w:hint="eastAsia" w:ascii="仿宋_GB2312" w:hAnsi="仿宋_GB2312" w:eastAsia="仿宋_GB2312" w:cs="仿宋_GB2312"/>
          <w:b w:val="0"/>
          <w:bCs w:val="0"/>
          <w:snapToGrid w:val="0"/>
          <w:color w:val="000000"/>
          <w:kern w:val="0"/>
          <w:sz w:val="32"/>
          <w:szCs w:val="32"/>
          <w:highlight w:val="none"/>
          <w:u w:val="none"/>
          <w:lang w:val="en-US" w:eastAsia="zh-CN" w:bidi="ar"/>
        </w:rPr>
        <w:t xml:space="preserve">  </w:t>
      </w:r>
      <w:r>
        <w:rPr>
          <w:rFonts w:hint="eastAsia" w:ascii="仿宋_GB2312" w:hAnsi="仿宋_GB2312" w:eastAsia="仿宋_GB2312" w:cs="仿宋_GB2312"/>
          <w:snapToGrid w:val="0"/>
          <w:color w:val="000000"/>
          <w:kern w:val="0"/>
          <w:sz w:val="32"/>
          <w:szCs w:val="32"/>
          <w:highlight w:val="none"/>
          <w:lang w:val="en-US" w:eastAsia="zh-CN" w:bidi="ar"/>
        </w:rPr>
        <w:t>对南宁市重大项目建设管理工作成效开展评估，对推进有力、完成良好的项目，按程序作为典型案例推荐至自治区发展改革委，并作为典型经验在全市宣传推广。</w:t>
      </w:r>
    </w:p>
    <w:p w14:paraId="469D7A2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FF0000"/>
          <w:sz w:val="31"/>
          <w:szCs w:val="31"/>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二十七</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bCs/>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val="en-US" w:eastAsia="zh-CN"/>
        </w:rPr>
        <w:t>市直有关行业主管部门、各县（市、区）人民政府、各开发区管委会、市属国有企业推进全市重大项目建设和管理的工作和成效，纳入其年度绩效考核范畴。</w:t>
      </w:r>
    </w:p>
    <w:p w14:paraId="29FF79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二十八</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b w:val="0"/>
          <w:bCs w:val="0"/>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val="en-US" w:eastAsia="zh-CN"/>
        </w:rPr>
        <w:t>市</w:t>
      </w:r>
      <w:r>
        <w:rPr>
          <w:rFonts w:hint="eastAsia" w:ascii="仿宋_GB2312" w:hAnsi="仿宋_GB2312" w:eastAsia="仿宋_GB2312" w:cs="仿宋_GB2312"/>
          <w:sz w:val="32"/>
          <w:szCs w:val="32"/>
          <w:highlight w:val="none"/>
          <w:u w:val="none"/>
        </w:rPr>
        <w:t>发展改革委</w:t>
      </w:r>
      <w:r>
        <w:rPr>
          <w:rFonts w:hint="eastAsia" w:ascii="仿宋_GB2312" w:hAnsi="仿宋_GB2312" w:eastAsia="仿宋_GB2312" w:cs="仿宋_GB2312"/>
          <w:sz w:val="32"/>
          <w:szCs w:val="32"/>
          <w:highlight w:val="none"/>
          <w:u w:val="none"/>
          <w:lang w:eastAsia="zh-CN"/>
        </w:rPr>
        <w:t>根据南宁市</w:t>
      </w:r>
      <w:r>
        <w:rPr>
          <w:rFonts w:hint="eastAsia" w:ascii="仿宋_GB2312" w:hAnsi="仿宋_GB2312" w:eastAsia="仿宋_GB2312" w:cs="仿宋_GB2312"/>
          <w:sz w:val="32"/>
          <w:szCs w:val="32"/>
          <w:highlight w:val="none"/>
          <w:u w:val="none"/>
        </w:rPr>
        <w:t>重大项目推进情况，对项目推进</w:t>
      </w:r>
      <w:r>
        <w:rPr>
          <w:rFonts w:hint="eastAsia" w:ascii="仿宋_GB2312" w:hAnsi="仿宋_GB2312" w:eastAsia="仿宋_GB2312" w:cs="仿宋_GB2312"/>
          <w:sz w:val="32"/>
          <w:szCs w:val="32"/>
          <w:highlight w:val="none"/>
          <w:u w:val="none"/>
          <w:lang w:eastAsia="zh-CN"/>
        </w:rPr>
        <w:t>进展</w:t>
      </w:r>
      <w:r>
        <w:rPr>
          <w:rFonts w:hint="eastAsia" w:ascii="仿宋_GB2312" w:hAnsi="仿宋_GB2312" w:eastAsia="仿宋_GB2312" w:cs="仿宋_GB2312"/>
          <w:sz w:val="32"/>
          <w:szCs w:val="32"/>
          <w:highlight w:val="none"/>
          <w:u w:val="none"/>
        </w:rPr>
        <w:t>缓慢</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投资计划完成率严重滞后</w:t>
      </w:r>
      <w:r>
        <w:rPr>
          <w:rFonts w:hint="eastAsia" w:ascii="仿宋_GB2312" w:hAnsi="仿宋_GB2312" w:eastAsia="仿宋_GB2312" w:cs="仿宋_GB2312"/>
          <w:sz w:val="32"/>
          <w:szCs w:val="32"/>
          <w:highlight w:val="none"/>
          <w:u w:val="none"/>
          <w:lang w:eastAsia="zh-CN"/>
        </w:rPr>
        <w:t>或者</w:t>
      </w:r>
      <w:r>
        <w:rPr>
          <w:rFonts w:hint="eastAsia" w:ascii="仿宋_GB2312" w:hAnsi="仿宋_GB2312" w:eastAsia="仿宋_GB2312" w:cs="仿宋_GB2312"/>
          <w:sz w:val="32"/>
          <w:szCs w:val="32"/>
          <w:highlight w:val="none"/>
          <w:u w:val="none"/>
        </w:rPr>
        <w:t>存在其他重大问题的项目推进责任单位，按</w:t>
      </w:r>
      <w:r>
        <w:rPr>
          <w:rFonts w:hint="eastAsia" w:ascii="仿宋_GB2312" w:hAnsi="仿宋_GB2312" w:eastAsia="仿宋_GB2312" w:cs="仿宋_GB2312"/>
          <w:sz w:val="32"/>
          <w:szCs w:val="32"/>
          <w:highlight w:val="none"/>
          <w:u w:val="none"/>
          <w:lang w:eastAsia="zh-CN"/>
        </w:rPr>
        <w:t>照有关规定进行</w:t>
      </w:r>
      <w:r>
        <w:rPr>
          <w:rFonts w:hint="eastAsia" w:ascii="仿宋_GB2312" w:hAnsi="仿宋_GB2312" w:eastAsia="仿宋_GB2312" w:cs="仿宋_GB2312"/>
          <w:sz w:val="32"/>
          <w:szCs w:val="32"/>
          <w:highlight w:val="none"/>
          <w:u w:val="none"/>
        </w:rPr>
        <w:t>提醒。</w:t>
      </w:r>
    </w:p>
    <w:p w14:paraId="476BC5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w:t>
      </w:r>
      <w:r>
        <w:rPr>
          <w:rFonts w:hint="eastAsia" w:ascii="Times New Roman" w:hAnsi="Times New Roman" w:eastAsia="方正仿宋_GBK" w:cs="Times New Roman"/>
          <w:b/>
          <w:bCs/>
          <w:snapToGrid/>
          <w:color w:val="000000"/>
          <w:sz w:val="32"/>
          <w:szCs w:val="32"/>
          <w:highlight w:val="none"/>
          <w:u w:val="none"/>
          <w:lang w:val="en-US" w:eastAsia="zh-CN" w:bidi="ar"/>
        </w:rPr>
        <w:t>二十九</w:t>
      </w:r>
      <w:r>
        <w:rPr>
          <w:rFonts w:hint="default" w:ascii="Times New Roman" w:hAnsi="Times New Roman" w:eastAsia="方正仿宋_GBK" w:cs="Times New Roman"/>
          <w:b/>
          <w:bCs/>
          <w:snapToGrid/>
          <w:color w:val="000000"/>
          <w:sz w:val="32"/>
          <w:szCs w:val="32"/>
          <w:highlight w:val="none"/>
          <w:u w:val="none"/>
          <w:lang w:eastAsia="zh-CN" w:bidi="ar"/>
        </w:rPr>
        <w:t>条</w:t>
      </w:r>
      <w:r>
        <w:rPr>
          <w:rFonts w:hint="eastAsia" w:ascii="仿宋_GB2312" w:hAnsi="仿宋_GB2312" w:eastAsia="仿宋_GB2312" w:cs="仿宋_GB2312"/>
          <w:sz w:val="32"/>
          <w:szCs w:val="32"/>
          <w:highlight w:val="none"/>
          <w:u w:val="none"/>
        </w:rPr>
        <w:t xml:space="preserve"> </w:t>
      </w:r>
      <w:r>
        <w:rPr>
          <w:rFonts w:hint="eastAsia" w:ascii="仿宋_GB2312" w:hAnsi="仿宋_GB2312" w:eastAsia="仿宋_GB2312" w:cs="仿宋_GB2312"/>
          <w:sz w:val="32"/>
          <w:szCs w:val="32"/>
          <w:highlight w:val="none"/>
          <w:u w:val="none"/>
          <w:lang w:val="en-US" w:eastAsia="zh-CN"/>
        </w:rPr>
        <w:t xml:space="preserve"> 南宁市重大项目在</w:t>
      </w:r>
      <w:r>
        <w:rPr>
          <w:rFonts w:hint="eastAsia" w:ascii="仿宋_GB2312" w:hAnsi="仿宋_GB2312" w:eastAsia="仿宋_GB2312" w:cs="仿宋_GB2312"/>
          <w:sz w:val="32"/>
          <w:szCs w:val="32"/>
          <w:highlight w:val="none"/>
          <w:u w:val="none"/>
        </w:rPr>
        <w:t>实施过程中出现以下情形的，</w:t>
      </w:r>
      <w:r>
        <w:rPr>
          <w:rFonts w:hint="eastAsia" w:ascii="仿宋_GB2312" w:hAnsi="仿宋_GB2312" w:eastAsia="仿宋_GB2312" w:cs="仿宋_GB2312"/>
          <w:sz w:val="32"/>
          <w:szCs w:val="32"/>
          <w:highlight w:val="none"/>
          <w:u w:val="none"/>
          <w:lang w:eastAsia="zh-CN"/>
        </w:rPr>
        <w:t>按规定程序</w:t>
      </w:r>
      <w:r>
        <w:rPr>
          <w:rFonts w:hint="eastAsia" w:ascii="仿宋_GB2312" w:hAnsi="仿宋_GB2312" w:eastAsia="仿宋_GB2312" w:cs="仿宋_GB2312"/>
          <w:sz w:val="32"/>
          <w:szCs w:val="32"/>
          <w:highlight w:val="none"/>
          <w:u w:val="none"/>
        </w:rPr>
        <w:t>调整退出</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重大项目清单，有关部门停止按</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重大项目安排资金</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用地</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用林</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用</w:t>
      </w:r>
      <w:r>
        <w:rPr>
          <w:rFonts w:hint="eastAsia" w:ascii="仿宋_GB2312" w:hAnsi="仿宋_GB2312" w:eastAsia="仿宋_GB2312" w:cs="仿宋_GB2312"/>
          <w:sz w:val="32"/>
          <w:szCs w:val="32"/>
          <w:highlight w:val="none"/>
          <w:u w:val="none"/>
          <w:lang w:eastAsia="zh-CN"/>
        </w:rPr>
        <w:t>水、</w:t>
      </w:r>
      <w:r>
        <w:rPr>
          <w:rFonts w:hint="eastAsia" w:ascii="仿宋_GB2312" w:hAnsi="仿宋_GB2312" w:eastAsia="仿宋_GB2312" w:cs="仿宋_GB2312"/>
          <w:sz w:val="32"/>
          <w:szCs w:val="32"/>
          <w:highlight w:val="none"/>
          <w:u w:val="none"/>
        </w:rPr>
        <w:t>污染物排放等要素指标，已安排的从下一年度要素指标安排中根据实际情况扣减：</w:t>
      </w:r>
    </w:p>
    <w:p w14:paraId="4C7A38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（一）</w:t>
      </w:r>
      <w:r>
        <w:rPr>
          <w:rFonts w:hint="eastAsia" w:ascii="仿宋_GB2312" w:hAnsi="仿宋_GB2312" w:eastAsia="仿宋_GB2312" w:cs="仿宋_GB2312"/>
          <w:sz w:val="32"/>
          <w:szCs w:val="32"/>
          <w:highlight w:val="none"/>
          <w:u w:val="none"/>
        </w:rPr>
        <w:t>项目推进过程中因项目业主自身原因导致被认定为闲置土地或低效用地的；</w:t>
      </w:r>
    </w:p>
    <w:p w14:paraId="44800C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（二）</w:t>
      </w:r>
      <w:r>
        <w:rPr>
          <w:rFonts w:hint="eastAsia" w:ascii="仿宋_GB2312" w:hAnsi="仿宋_GB2312" w:eastAsia="仿宋_GB2312" w:cs="仿宋_GB2312"/>
          <w:sz w:val="32"/>
          <w:szCs w:val="32"/>
          <w:highlight w:val="none"/>
          <w:u w:val="none"/>
        </w:rPr>
        <w:t>项目推进过程中出现重大工程质量问题，安全责任事故，重大环境污染事故并造成重大影响的；</w:t>
      </w:r>
    </w:p>
    <w:p w14:paraId="2FFBD6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（三）</w:t>
      </w:r>
      <w:r>
        <w:rPr>
          <w:rFonts w:hint="eastAsia" w:ascii="仿宋_GB2312" w:hAnsi="仿宋_GB2312" w:eastAsia="仿宋_GB2312" w:cs="仿宋_GB2312"/>
          <w:sz w:val="32"/>
          <w:szCs w:val="32"/>
          <w:highlight w:val="none"/>
          <w:u w:val="none"/>
        </w:rPr>
        <w:t>项目申报材料以及项目进展等信息存在弄虚作假等行为且情节严重的；</w:t>
      </w:r>
    </w:p>
    <w:p w14:paraId="297AFD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FF0000"/>
          <w:spacing w:val="13"/>
          <w:sz w:val="31"/>
          <w:szCs w:val="31"/>
          <w:highlight w:val="none"/>
          <w:u w:val="none"/>
        </w:rPr>
      </w:pPr>
      <w:r>
        <w:rPr>
          <w:rFonts w:hint="eastAsia" w:ascii="仿宋_GB2312" w:hAnsi="仿宋_GB2312" w:eastAsia="仿宋_GB2312" w:cs="仿宋_GB2312"/>
          <w:sz w:val="32"/>
          <w:szCs w:val="32"/>
          <w:highlight w:val="none"/>
          <w:u w:val="none"/>
          <w:lang w:eastAsia="zh-CN"/>
        </w:rPr>
        <w:t>（四）</w:t>
      </w:r>
      <w:r>
        <w:rPr>
          <w:rFonts w:hint="eastAsia" w:ascii="仿宋_GB2312" w:hAnsi="仿宋_GB2312" w:eastAsia="仿宋_GB2312" w:cs="仿宋_GB2312"/>
          <w:sz w:val="32"/>
          <w:szCs w:val="32"/>
          <w:highlight w:val="none"/>
          <w:u w:val="none"/>
        </w:rPr>
        <w:t>其他违反法律法规和国家，自治区</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有关规定情形的。</w:t>
      </w:r>
    </w:p>
    <w:p w14:paraId="19060D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default" w:ascii="Times New Roman" w:hAnsi="Times New Roman" w:eastAsia="方正仿宋_GBK" w:cs="Times New Roman"/>
          <w:b/>
          <w:bCs/>
          <w:snapToGrid/>
          <w:color w:val="000000"/>
          <w:sz w:val="32"/>
          <w:szCs w:val="32"/>
          <w:highlight w:val="none"/>
          <w:u w:val="none"/>
          <w:lang w:eastAsia="zh-CN" w:bidi="ar"/>
        </w:rPr>
        <w:t>第三十条</w:t>
      </w: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及各</w:t>
      </w:r>
      <w:r>
        <w:rPr>
          <w:rFonts w:hint="eastAsia" w:ascii="仿宋_GB2312" w:hAnsi="仿宋_GB2312" w:eastAsia="仿宋_GB2312" w:cs="仿宋_GB2312"/>
          <w:sz w:val="32"/>
          <w:szCs w:val="32"/>
          <w:highlight w:val="none"/>
          <w:u w:val="none"/>
          <w:lang w:eastAsia="zh-CN"/>
        </w:rPr>
        <w:t>县（市、区）</w:t>
      </w:r>
      <w:r>
        <w:rPr>
          <w:rFonts w:hint="eastAsia" w:ascii="仿宋_GB2312" w:hAnsi="仿宋_GB2312" w:eastAsia="仿宋_GB2312" w:cs="仿宋_GB2312"/>
          <w:sz w:val="32"/>
          <w:szCs w:val="32"/>
          <w:highlight w:val="none"/>
          <w:u w:val="none"/>
        </w:rPr>
        <w:t>有关部门或个人有下列行为之一的，由本级人民政府或上级主管部门责令改正，并依照有关规定处理；涉嫌犯罪的，依法移送司法机关处理：</w:t>
      </w:r>
    </w:p>
    <w:p w14:paraId="2A4F54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（一）</w:t>
      </w:r>
      <w:r>
        <w:rPr>
          <w:rFonts w:hint="eastAsia" w:ascii="仿宋_GB2312" w:hAnsi="仿宋_GB2312" w:eastAsia="仿宋_GB2312" w:cs="仿宋_GB2312"/>
          <w:sz w:val="32"/>
          <w:szCs w:val="32"/>
          <w:highlight w:val="none"/>
          <w:u w:val="none"/>
        </w:rPr>
        <w:t>违法干预</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重大项目招标投标的；</w:t>
      </w:r>
    </w:p>
    <w:p w14:paraId="496820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（二）</w:t>
      </w:r>
      <w:r>
        <w:rPr>
          <w:rFonts w:hint="eastAsia" w:ascii="仿宋_GB2312" w:hAnsi="仿宋_GB2312" w:eastAsia="仿宋_GB2312" w:cs="仿宋_GB2312"/>
          <w:sz w:val="32"/>
          <w:szCs w:val="32"/>
          <w:highlight w:val="none"/>
          <w:u w:val="none"/>
        </w:rPr>
        <w:t>转移，侵占，挪用</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重大项目建设资金的；</w:t>
      </w:r>
    </w:p>
    <w:p w14:paraId="5E8117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（三）</w:t>
      </w:r>
      <w:r>
        <w:rPr>
          <w:rFonts w:hint="eastAsia" w:ascii="仿宋_GB2312" w:hAnsi="仿宋_GB2312" w:eastAsia="仿宋_GB2312" w:cs="仿宋_GB2312"/>
          <w:sz w:val="32"/>
          <w:szCs w:val="32"/>
          <w:highlight w:val="none"/>
          <w:u w:val="none"/>
        </w:rPr>
        <w:t>无故或以不正当理由延迟拨付</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重大项目财政资金，严重影响施工进度的；</w:t>
      </w:r>
    </w:p>
    <w:p w14:paraId="068704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（四）</w:t>
      </w:r>
      <w:r>
        <w:rPr>
          <w:rFonts w:hint="eastAsia" w:ascii="仿宋_GB2312" w:hAnsi="仿宋_GB2312" w:eastAsia="仿宋_GB2312" w:cs="仿宋_GB2312"/>
          <w:sz w:val="32"/>
          <w:szCs w:val="32"/>
          <w:highlight w:val="none"/>
          <w:u w:val="none"/>
        </w:rPr>
        <w:t>无故延迟或无正当理由拒绝办理</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重大项目行政许可和相关审批手续，影响项目实施的；</w:t>
      </w:r>
    </w:p>
    <w:p w14:paraId="085220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（五）</w:t>
      </w:r>
      <w:r>
        <w:rPr>
          <w:rFonts w:hint="eastAsia" w:ascii="仿宋_GB2312" w:hAnsi="仿宋_GB2312" w:eastAsia="仿宋_GB2312" w:cs="仿宋_GB2312"/>
          <w:sz w:val="32"/>
          <w:szCs w:val="32"/>
          <w:highlight w:val="none"/>
          <w:u w:val="none"/>
        </w:rPr>
        <w:t>违反国家</w:t>
      </w:r>
      <w:r>
        <w:rPr>
          <w:rFonts w:hint="eastAsia" w:ascii="仿宋_GB2312" w:hAnsi="仿宋_GB2312" w:eastAsia="仿宋_GB2312" w:cs="仿宋_GB2312"/>
          <w:sz w:val="32"/>
          <w:szCs w:val="32"/>
          <w:highlight w:val="none"/>
          <w:u w:val="none"/>
          <w:lang w:eastAsia="zh-CN"/>
        </w:rPr>
        <w:t>，自治区和南宁市</w:t>
      </w:r>
      <w:r>
        <w:rPr>
          <w:rFonts w:hint="eastAsia" w:ascii="仿宋_GB2312" w:hAnsi="仿宋_GB2312" w:eastAsia="仿宋_GB2312" w:cs="仿宋_GB2312"/>
          <w:sz w:val="32"/>
          <w:szCs w:val="32"/>
          <w:highlight w:val="none"/>
          <w:u w:val="none"/>
        </w:rPr>
        <w:t>有关规定，擅自对</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重大项目收费，摊派，罚款的；</w:t>
      </w:r>
    </w:p>
    <w:p w14:paraId="7D8AC8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（六）</w:t>
      </w:r>
      <w:r>
        <w:rPr>
          <w:rFonts w:hint="eastAsia" w:ascii="仿宋_GB2312" w:hAnsi="仿宋_GB2312" w:eastAsia="仿宋_GB2312" w:cs="仿宋_GB2312"/>
          <w:sz w:val="32"/>
          <w:szCs w:val="32"/>
          <w:highlight w:val="none"/>
          <w:u w:val="none"/>
        </w:rPr>
        <w:t>由于其他玩忽职守，滥用职权，徇私舞弊行为，影响</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重大项目实施的。</w:t>
      </w:r>
    </w:p>
    <w:p w14:paraId="454EB6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70C0"/>
          <w:sz w:val="32"/>
          <w:szCs w:val="32"/>
          <w:highlight w:val="none"/>
          <w:u w:val="none"/>
          <w:lang w:val="en-US" w:eastAsia="zh-CN"/>
        </w:rPr>
      </w:pPr>
    </w:p>
    <w:p w14:paraId="58E2395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方正黑体_GBK" w:hAnsi="方正黑体_GBK" w:eastAsia="方正黑体_GBK" w:cs="方正黑体_GBK"/>
          <w:color w:val="auto"/>
          <w:sz w:val="32"/>
          <w:szCs w:val="32"/>
          <w:highlight w:val="none"/>
          <w:u w:val="none"/>
          <w:lang w:val="en-US"/>
        </w:rPr>
      </w:pPr>
      <w:r>
        <w:rPr>
          <w:rFonts w:hint="eastAsia" w:ascii="方正黑体_GBK" w:hAnsi="方正黑体_GBK" w:eastAsia="方正黑体_GBK" w:cs="方正黑体_GBK"/>
          <w:color w:val="auto"/>
          <w:sz w:val="32"/>
          <w:szCs w:val="32"/>
          <w:highlight w:val="none"/>
          <w:u w:val="none"/>
          <w:lang w:val="en-US"/>
        </w:rPr>
        <w:t>第六章  附  则</w:t>
      </w:r>
    </w:p>
    <w:p w14:paraId="26E2C72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color w:val="auto"/>
          <w:sz w:val="32"/>
          <w:szCs w:val="32"/>
          <w:highlight w:val="none"/>
          <w:u w:val="none"/>
          <w:lang w:val="en-US"/>
        </w:rPr>
      </w:pPr>
    </w:p>
    <w:p w14:paraId="332146FC">
      <w:pPr>
        <w:pStyle w:val="2"/>
        <w:jc w:val="both"/>
        <w:rPr>
          <w:rFonts w:hint="eastAsia"/>
          <w:highlight w:val="none"/>
          <w:lang w:val="en-US"/>
        </w:rPr>
      </w:pPr>
    </w:p>
    <w:p w14:paraId="09DFC9A0">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Times New Roman" w:hAnsi="Times New Roman" w:eastAsia="方正仿宋_GBK" w:cs="Times New Roman"/>
          <w:b/>
          <w:bCs/>
          <w:snapToGrid/>
          <w:color w:val="000000"/>
          <w:sz w:val="32"/>
          <w:szCs w:val="32"/>
          <w:highlight w:val="none"/>
          <w:u w:val="none"/>
          <w:lang w:val="en-US" w:eastAsia="zh-CN" w:bidi="ar"/>
        </w:rPr>
        <w:t>第</w:t>
      </w:r>
      <w:r>
        <w:rPr>
          <w:rFonts w:hint="default" w:ascii="Times New Roman" w:hAnsi="Times New Roman" w:eastAsia="方正仿宋_GBK" w:cs="Times New Roman"/>
          <w:b/>
          <w:bCs/>
          <w:snapToGrid/>
          <w:color w:val="000000"/>
          <w:sz w:val="32"/>
          <w:szCs w:val="32"/>
          <w:highlight w:val="none"/>
          <w:u w:val="none"/>
          <w:lang w:val="en-US" w:eastAsia="zh-CN" w:bidi="ar"/>
        </w:rPr>
        <w:t>三</w:t>
      </w:r>
      <w:r>
        <w:rPr>
          <w:rFonts w:hint="eastAsia" w:ascii="Times New Roman" w:hAnsi="Times New Roman" w:eastAsia="方正仿宋_GBK" w:cs="Times New Roman"/>
          <w:b/>
          <w:bCs/>
          <w:snapToGrid/>
          <w:color w:val="000000"/>
          <w:sz w:val="32"/>
          <w:szCs w:val="32"/>
          <w:highlight w:val="none"/>
          <w:u w:val="none"/>
          <w:lang w:val="en-US" w:eastAsia="zh-CN" w:bidi="ar"/>
        </w:rPr>
        <w:t>十一条</w:t>
      </w:r>
      <w:r>
        <w:rPr>
          <w:rFonts w:hint="eastAsia" w:ascii="仿宋_GB2312" w:hAnsi="仿宋_GB2312" w:eastAsia="仿宋_GB2312" w:cs="仿宋_GB2312"/>
          <w:color w:val="auto"/>
          <w:sz w:val="32"/>
          <w:szCs w:val="32"/>
          <w:highlight w:val="none"/>
          <w:u w:val="none"/>
          <w:lang w:val="en-US"/>
        </w:rPr>
        <w:t xml:space="preserve">  </w:t>
      </w:r>
      <w:r>
        <w:rPr>
          <w:rFonts w:hint="eastAsia" w:ascii="仿宋_GB2312" w:hAnsi="仿宋_GB2312" w:eastAsia="仿宋_GB2312" w:cs="仿宋_GB2312"/>
          <w:sz w:val="32"/>
          <w:szCs w:val="32"/>
          <w:highlight w:val="none"/>
          <w:u w:val="none"/>
        </w:rPr>
        <w:t>本办法由</w:t>
      </w:r>
      <w:r>
        <w:rPr>
          <w:rFonts w:hint="eastAsia" w:ascii="仿宋_GB2312" w:hAnsi="仿宋_GB2312" w:eastAsia="仿宋_GB2312" w:cs="仿宋_GB2312"/>
          <w:sz w:val="32"/>
          <w:szCs w:val="32"/>
          <w:highlight w:val="none"/>
          <w:u w:val="none"/>
          <w:lang w:eastAsia="zh-CN"/>
        </w:rPr>
        <w:t>南宁市</w:t>
      </w:r>
      <w:r>
        <w:rPr>
          <w:rFonts w:hint="eastAsia" w:ascii="仿宋_GB2312" w:hAnsi="仿宋_GB2312" w:eastAsia="仿宋_GB2312" w:cs="仿宋_GB2312"/>
          <w:sz w:val="32"/>
          <w:szCs w:val="32"/>
          <w:highlight w:val="none"/>
          <w:u w:val="none"/>
        </w:rPr>
        <w:t>发展改革委负责解释，自2026年</w:t>
      </w:r>
      <w:r>
        <w:rPr>
          <w:rFonts w:hint="eastAsia" w:ascii="仿宋_GB2312" w:hAnsi="仿宋_GB2312" w:eastAsia="仿宋_GB2312" w:cs="仿宋_GB2312"/>
          <w:sz w:val="32"/>
          <w:szCs w:val="32"/>
          <w:highlight w:val="none"/>
          <w:u w:val="none"/>
          <w:lang w:val="en-US" w:eastAsia="zh-CN"/>
        </w:rPr>
        <w:t>X</w:t>
      </w:r>
      <w:r>
        <w:rPr>
          <w:rFonts w:hint="eastAsia" w:ascii="仿宋_GB2312" w:hAnsi="仿宋_GB2312" w:eastAsia="仿宋_GB2312" w:cs="仿宋_GB2312"/>
          <w:sz w:val="32"/>
          <w:szCs w:val="32"/>
          <w:highlight w:val="none"/>
          <w:u w:val="none"/>
        </w:rPr>
        <w:t>月</w:t>
      </w:r>
      <w:r>
        <w:rPr>
          <w:rFonts w:hint="eastAsia" w:ascii="仿宋_GB2312" w:hAnsi="仿宋_GB2312" w:eastAsia="仿宋_GB2312" w:cs="仿宋_GB2312"/>
          <w:sz w:val="32"/>
          <w:szCs w:val="32"/>
          <w:highlight w:val="none"/>
          <w:u w:val="none"/>
          <w:lang w:eastAsia="zh-CN"/>
        </w:rPr>
        <w:t>X</w:t>
      </w:r>
      <w:r>
        <w:rPr>
          <w:rFonts w:hint="eastAsia" w:ascii="仿宋_GB2312" w:hAnsi="仿宋_GB2312" w:eastAsia="仿宋_GB2312" w:cs="仿宋_GB2312"/>
          <w:sz w:val="32"/>
          <w:szCs w:val="32"/>
          <w:highlight w:val="none"/>
          <w:u w:val="none"/>
        </w:rPr>
        <w:t>日起施行</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rPr>
        <w:t>有效期五年。</w:t>
      </w:r>
    </w:p>
    <w:p w14:paraId="3488270A">
      <w:pPr>
        <w:jc w:val="both"/>
        <w:rPr>
          <w:rFonts w:hint="eastAsia"/>
          <w:highlight w:val="none"/>
          <w:lang w:eastAsia="zh-CN"/>
        </w:rPr>
      </w:pPr>
    </w:p>
    <w:sectPr>
      <w:footerReference r:id="rId5" w:type="default"/>
      <w:pgSz w:w="11906" w:h="16838"/>
      <w:pgMar w:top="2098" w:right="1474" w:bottom="1984" w:left="158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E00509-F235-4C75-B868-C08EAA84CC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67CBB08-C3DD-4358-BD3D-038E5C406A4B}"/>
  </w:font>
  <w:font w:name="方正仿宋_GB2312">
    <w:panose1 w:val="02000000000000000000"/>
    <w:charset w:val="86"/>
    <w:family w:val="auto"/>
    <w:pitch w:val="default"/>
    <w:sig w:usb0="A00002BF" w:usb1="184F6CFA" w:usb2="00000012" w:usb3="00000000" w:csb0="00040001" w:csb1="00000000"/>
  </w:font>
  <w:font w:name="Arial">
    <w:panose1 w:val="020B0604020202020204"/>
    <w:charset w:val="00"/>
    <w:family w:val="swiss"/>
    <w:pitch w:val="default"/>
    <w:sig w:usb0="E0002EFF" w:usb1="C000785B"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3" w:fontKey="{B6AC8A8D-3E62-4B98-8408-AF517924C40D}"/>
  </w:font>
  <w:font w:name="仿宋_GB2312">
    <w:panose1 w:val="02010609030101010101"/>
    <w:charset w:val="86"/>
    <w:family w:val="auto"/>
    <w:pitch w:val="default"/>
    <w:sig w:usb0="00000001" w:usb1="080E0000" w:usb2="00000000" w:usb3="00000000" w:csb0="00040000" w:csb1="00000000"/>
    <w:embedRegular r:id="rId4" w:fontKey="{00B68E00-2FD3-43CF-86F7-4C9EE1F4B29F}"/>
  </w:font>
  <w:font w:name="方正黑体_GBK">
    <w:altName w:val="微软雅黑"/>
    <w:panose1 w:val="02000000000000000000"/>
    <w:charset w:val="86"/>
    <w:family w:val="auto"/>
    <w:pitch w:val="default"/>
    <w:sig w:usb0="00000001" w:usb1="08000000" w:usb2="00000000" w:usb3="00000000" w:csb0="00040000" w:csb1="00000000"/>
    <w:embedRegular r:id="rId5" w:fontKey="{A5C1DF24-416F-4DC0-9BDD-01CBC414D199}"/>
  </w:font>
  <w:font w:name="方正仿宋_GBK">
    <w:altName w:val="微软雅黑"/>
    <w:panose1 w:val="03000509000000000000"/>
    <w:charset w:val="86"/>
    <w:family w:val="auto"/>
    <w:pitch w:val="default"/>
    <w:sig w:usb0="00000001" w:usb1="080E0000" w:usb2="00000000" w:usb3="00000000" w:csb0="00040000" w:csb1="00000000"/>
    <w:embedRegular r:id="rId6" w:fontKey="{C2D0CBAB-4DAF-4BF3-8C2D-CC041040677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EA1C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844787">
                          <w:pPr>
                            <w:pStyle w:val="3"/>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6D844787">
                    <w:pPr>
                      <w:pStyle w:val="3"/>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F8AF8"/>
    <w:multiLevelType w:val="singleLevel"/>
    <w:tmpl w:val="BEDF8AF8"/>
    <w:lvl w:ilvl="0" w:tentative="0">
      <w:start w:val="5"/>
      <w:numFmt w:val="chineseCounting"/>
      <w:suff w:val="space"/>
      <w:lvlText w:val="第%1章"/>
      <w:lvlJc w:val="left"/>
      <w:rPr>
        <w:rFonts w:hint="eastAsia"/>
      </w:rPr>
    </w:lvl>
  </w:abstractNum>
  <w:abstractNum w:abstractNumId="1">
    <w:nsid w:val="2F553FCB"/>
    <w:multiLevelType w:val="singleLevel"/>
    <w:tmpl w:val="2F553FC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77F89"/>
    <w:rsid w:val="1FBFEECC"/>
    <w:rsid w:val="2F79708C"/>
    <w:rsid w:val="37DFC905"/>
    <w:rsid w:val="580626B7"/>
    <w:rsid w:val="58C430E6"/>
    <w:rsid w:val="7BB39516"/>
    <w:rsid w:val="7DFC3A06"/>
    <w:rsid w:val="7F7ECA01"/>
    <w:rsid w:val="7FD77F89"/>
    <w:rsid w:val="91EA02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rPr>
      <w:rFonts w:ascii="Calibri" w:hAnsi="Calibri" w:eastAsia="宋体" w:cs="Times New Roman"/>
      <w:szCs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468</Words>
  <Characters>468</Characters>
  <Lines>0</Lines>
  <Paragraphs>0</Paragraphs>
  <TotalTime>602.333333333333</TotalTime>
  <ScaleCrop>false</ScaleCrop>
  <LinksUpToDate>false</LinksUpToDate>
  <CharactersWithSpaces>478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2026-08-05T01:09:00Z</dcterms:created>
  <dc:creator>WAKAWAKA</dc:creator>
  <cp:lastModifiedBy>liangdongjb</cp:lastModifiedBy>
  <cp:lastPrinted>2026-08-05T17:51:22Z</cp:lastPrinted>
  <dcterms:modified xsi:type="dcterms:W3CDTF">2026-08-11T02:13:21Z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eyJoZGlkIjoiYWFkMjJkZjVjOGI0ODE1NjkyN2U3M2NkZGM1OTEzZDYiLCJ1c2VySWQiOiIyNjI3ODc3MjYifQ==</vt:lpwstr>
  </property>
  <property fmtid="{D5CDD505-2E9C-101B-9397-08002B2CF9AE}" pid="4" name="ICV">
    <vt:lpwstr>29D4574B378C4FA9B4F273F06AE0F707_13</vt:lpwstr>
  </property>
</Properties>
</file>