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87D8A">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方正小标宋简体" w:cs="Times New Roman"/>
          <w:sz w:val="44"/>
        </w:rPr>
      </w:pPr>
    </w:p>
    <w:p w14:paraId="53297C7D">
      <w:pPr>
        <w:keepNext w:val="0"/>
        <w:keepLines w:val="0"/>
        <w:pageBreakBefore w:val="0"/>
        <w:kinsoku/>
        <w:wordWrap/>
        <w:topLinePunct w:val="0"/>
        <w:bidi w:val="0"/>
        <w:adjustRightInd w:val="0"/>
        <w:spacing w:line="560" w:lineRule="exact"/>
        <w:ind w:left="0" w:leftChars="0" w:firstLine="720"/>
        <w:rPr>
          <w:rFonts w:hint="default" w:ascii="Times New Roman" w:hAnsi="Times New Roman" w:eastAsia="楷体_GB2312" w:cs="Times New Roman"/>
          <w:sz w:val="36"/>
          <w:szCs w:val="36"/>
        </w:rPr>
      </w:pPr>
    </w:p>
    <w:p w14:paraId="67D3C75B">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1BCDE60E">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2ABF3336">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63E92B99">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501EE5B7">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4540E581">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方正小标宋简体" w:cs="Times New Roman"/>
          <w:sz w:val="48"/>
        </w:rPr>
      </w:pPr>
      <w:r>
        <w:rPr>
          <w:rFonts w:hint="default" w:ascii="Times New Roman" w:hAnsi="Times New Roman" w:eastAsia="方正小标宋简体" w:cs="Times New Roman"/>
          <w:sz w:val="48"/>
        </w:rPr>
        <w:t>韶关市“湾区算谷”建设与</w:t>
      </w:r>
    </w:p>
    <w:p w14:paraId="549B3157">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方正小标宋简体" w:cs="Times New Roman"/>
          <w:sz w:val="48"/>
        </w:rPr>
      </w:pPr>
      <w:r>
        <w:rPr>
          <w:rFonts w:hint="default" w:ascii="Times New Roman" w:hAnsi="Times New Roman" w:eastAsia="方正小标宋简体" w:cs="Times New Roman"/>
          <w:sz w:val="48"/>
        </w:rPr>
        <w:t>算力产业高质量发展规划</w:t>
      </w:r>
    </w:p>
    <w:p w14:paraId="61504969">
      <w:pPr>
        <w:keepNext w:val="0"/>
        <w:keepLines w:val="0"/>
        <w:pageBreakBefore w:val="0"/>
        <w:kinsoku/>
        <w:wordWrap/>
        <w:topLinePunct w:val="0"/>
        <w:bidi w:val="0"/>
        <w:adjustRightInd w:val="0"/>
        <w:spacing w:line="560" w:lineRule="exact"/>
        <w:ind w:left="0" w:leftChars="0" w:firstLine="2400" w:firstLineChars="600"/>
        <w:jc w:val="both"/>
        <w:rPr>
          <w:rFonts w:hint="eastAsia" w:ascii="Times New Roman" w:hAnsi="Times New Roman" w:eastAsia="黑体" w:cs="Times New Roman"/>
          <w:sz w:val="40"/>
          <w:lang w:eastAsia="zh-CN"/>
        </w:rPr>
      </w:pPr>
    </w:p>
    <w:p w14:paraId="73DF60C4">
      <w:pPr>
        <w:keepNext w:val="0"/>
        <w:keepLines w:val="0"/>
        <w:pageBreakBefore w:val="0"/>
        <w:kinsoku/>
        <w:wordWrap/>
        <w:topLinePunct w:val="0"/>
        <w:bidi w:val="0"/>
        <w:adjustRightInd w:val="0"/>
        <w:spacing w:line="560" w:lineRule="exact"/>
        <w:ind w:left="0" w:leftChars="0" w:firstLine="2400" w:firstLineChars="600"/>
        <w:jc w:val="both"/>
        <w:rPr>
          <w:rFonts w:hint="eastAsia" w:ascii="Times New Roman" w:hAnsi="Times New Roman" w:eastAsia="黑体" w:cs="Times New Roman"/>
          <w:sz w:val="40"/>
          <w:lang w:eastAsia="zh-CN"/>
        </w:rPr>
      </w:pPr>
      <w:r>
        <w:rPr>
          <w:rFonts w:hint="eastAsia" w:ascii="Times New Roman" w:hAnsi="Times New Roman" w:eastAsia="黑体" w:cs="Times New Roman"/>
          <w:sz w:val="40"/>
          <w:lang w:eastAsia="zh-CN"/>
        </w:rPr>
        <w:t>（</w:t>
      </w:r>
      <w:r>
        <w:rPr>
          <w:rFonts w:hint="eastAsia" w:ascii="Times New Roman" w:hAnsi="Times New Roman" w:eastAsia="黑体" w:cs="Times New Roman"/>
          <w:sz w:val="40"/>
          <w:lang w:val="en-US" w:eastAsia="zh-CN"/>
        </w:rPr>
        <w:t>公开</w:t>
      </w:r>
      <w:r>
        <w:rPr>
          <w:rFonts w:hint="eastAsia" w:ascii="Times New Roman" w:hAnsi="Times New Roman" w:eastAsia="黑体" w:cs="Times New Roman"/>
          <w:sz w:val="40"/>
          <w:lang w:eastAsia="zh-CN"/>
        </w:rPr>
        <w:t>征求</w:t>
      </w:r>
      <w:bookmarkStart w:id="33" w:name="_GoBack"/>
      <w:bookmarkEnd w:id="33"/>
      <w:r>
        <w:rPr>
          <w:rFonts w:hint="eastAsia" w:ascii="Times New Roman" w:hAnsi="Times New Roman" w:eastAsia="黑体" w:cs="Times New Roman"/>
          <w:sz w:val="40"/>
          <w:lang w:eastAsia="zh-CN"/>
        </w:rPr>
        <w:t>意见稿）</w:t>
      </w:r>
    </w:p>
    <w:p w14:paraId="2891D206">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4DF6E99B">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1777A558">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41D8232C">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60DFE27A">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4E6C58EF">
      <w:pPr>
        <w:keepNext w:val="0"/>
        <w:keepLines w:val="0"/>
        <w:pageBreakBefore w:val="0"/>
        <w:kinsoku/>
        <w:wordWrap/>
        <w:topLinePunct w:val="0"/>
        <w:bidi w:val="0"/>
        <w:adjustRightInd w:val="0"/>
        <w:spacing w:line="560" w:lineRule="exact"/>
        <w:ind w:left="0" w:leftChars="0" w:firstLine="800"/>
        <w:jc w:val="center"/>
        <w:rPr>
          <w:rFonts w:hint="default" w:ascii="Times New Roman" w:hAnsi="Times New Roman" w:eastAsia="黑体" w:cs="Times New Roman"/>
          <w:sz w:val="40"/>
        </w:rPr>
      </w:pPr>
    </w:p>
    <w:p w14:paraId="43C790E9">
      <w:pPr>
        <w:keepNext w:val="0"/>
        <w:keepLines w:val="0"/>
        <w:pageBreakBefore w:val="0"/>
        <w:kinsoku/>
        <w:wordWrap/>
        <w:topLinePunct w:val="0"/>
        <w:bidi w:val="0"/>
        <w:adjustRightInd w:val="0"/>
        <w:spacing w:line="560" w:lineRule="exact"/>
        <w:ind w:left="0" w:leftChars="0" w:firstLine="640"/>
        <w:jc w:val="center"/>
        <w:rPr>
          <w:rFonts w:hint="default" w:ascii="Times New Roman" w:hAnsi="Times New Roman" w:cs="Times New Roman"/>
          <w:szCs w:val="32"/>
        </w:rPr>
      </w:pPr>
    </w:p>
    <w:p w14:paraId="3D6AEA86">
      <w:pPr>
        <w:keepNext w:val="0"/>
        <w:keepLines w:val="0"/>
        <w:pageBreakBefore w:val="0"/>
        <w:kinsoku/>
        <w:wordWrap/>
        <w:topLinePunct w:val="0"/>
        <w:bidi w:val="0"/>
        <w:adjustRightInd w:val="0"/>
        <w:spacing w:line="560" w:lineRule="exact"/>
        <w:ind w:left="0" w:leftChars="0" w:firstLine="640"/>
        <w:jc w:val="center"/>
        <w:rPr>
          <w:rFonts w:hint="default" w:ascii="Times New Roman" w:hAnsi="Times New Roman" w:cs="Times New Roman"/>
          <w:szCs w:val="32"/>
        </w:rPr>
      </w:pPr>
    </w:p>
    <w:p w14:paraId="22A102D3">
      <w:pPr>
        <w:keepNext w:val="0"/>
        <w:keepLines w:val="0"/>
        <w:pageBreakBefore w:val="0"/>
        <w:kinsoku/>
        <w:wordWrap/>
        <w:topLinePunct w:val="0"/>
        <w:bidi w:val="0"/>
        <w:adjustRightInd w:val="0"/>
        <w:spacing w:line="560" w:lineRule="exact"/>
        <w:ind w:left="0" w:leftChars="0" w:firstLine="0" w:firstLineChars="0"/>
        <w:jc w:val="center"/>
        <w:rPr>
          <w:rFonts w:hint="eastAsia" w:ascii="Times New Roman" w:hAnsi="Times New Roman" w:eastAsia="黑体" w:cs="Times New Roman"/>
          <w:szCs w:val="32"/>
          <w:lang w:eastAsia="zh-CN"/>
        </w:rPr>
      </w:pPr>
    </w:p>
    <w:p w14:paraId="763B0FF0">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黑体" w:cs="Times New Roman"/>
          <w:szCs w:val="32"/>
        </w:rPr>
      </w:pPr>
      <w:r>
        <w:rPr>
          <w:rFonts w:hint="eastAsia" w:ascii="Times New Roman" w:hAnsi="Times New Roman" w:eastAsia="黑体" w:cs="Times New Roman"/>
          <w:szCs w:val="32"/>
          <w:lang w:eastAsia="zh-CN"/>
        </w:rPr>
        <w:t>二〇二六</w:t>
      </w:r>
      <w:r>
        <w:rPr>
          <w:rFonts w:hint="default" w:ascii="Times New Roman" w:hAnsi="Times New Roman" w:eastAsia="黑体" w:cs="Times New Roman"/>
          <w:szCs w:val="32"/>
        </w:rPr>
        <w:t>年</w:t>
      </w:r>
      <w:r>
        <w:rPr>
          <w:rFonts w:hint="default" w:ascii="Times New Roman" w:hAnsi="Times New Roman" w:eastAsia="黑体" w:cs="Times New Roman"/>
          <w:szCs w:val="32"/>
          <w:lang w:eastAsia="zh-CN"/>
        </w:rPr>
        <w:t>八月</w:t>
      </w:r>
    </w:p>
    <w:p w14:paraId="6F91DBF2">
      <w:pPr>
        <w:keepNext w:val="0"/>
        <w:keepLines w:val="0"/>
        <w:pageBreakBefore w:val="0"/>
        <w:kinsoku/>
        <w:wordWrap/>
        <w:topLinePunct w:val="0"/>
        <w:bidi w:val="0"/>
        <w:adjustRightInd w:val="0"/>
        <w:spacing w:line="560" w:lineRule="exact"/>
        <w:ind w:left="0" w:leftChars="0" w:firstLine="640"/>
        <w:jc w:val="center"/>
        <w:rPr>
          <w:rFonts w:hint="default" w:ascii="Times New Roman" w:hAnsi="Times New Roman" w:eastAsia="黑体" w:cs="Times New Roman"/>
          <w:szCs w:val="32"/>
        </w:rPr>
      </w:pPr>
    </w:p>
    <w:p w14:paraId="3A32636B">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黑体" w:cs="Times New Roman"/>
          <w:szCs w:val="32"/>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425" w:num="1"/>
          <w:docGrid w:type="lines" w:linePitch="312" w:charSpace="0"/>
        </w:sectPr>
      </w:pPr>
      <w:r>
        <w:rPr>
          <w:rFonts w:hint="default" w:ascii="Times New Roman" w:hAnsi="Times New Roman" w:eastAsia="黑体" w:cs="Times New Roman"/>
          <w:szCs w:val="32"/>
        </w:rPr>
        <w:t>【此页为空白页】</w:t>
      </w:r>
    </w:p>
    <w:p w14:paraId="2E82AA8D">
      <w:pPr>
        <w:keepNext w:val="0"/>
        <w:keepLines w:val="0"/>
        <w:pageBreakBefore w:val="0"/>
        <w:kinsoku/>
        <w:wordWrap/>
        <w:topLinePunct w:val="0"/>
        <w:bidi w:val="0"/>
        <w:adjustRightInd w:val="0"/>
        <w:spacing w:line="560" w:lineRule="exact"/>
        <w:ind w:left="0" w:leftChars="0" w:firstLine="0" w:firstLineChars="0"/>
        <w:jc w:val="center"/>
        <w:rPr>
          <w:rFonts w:hint="default" w:ascii="Times New Roman" w:hAnsi="Times New Roman" w:eastAsia="方正小标宋简体" w:cs="Times New Roman"/>
          <w:sz w:val="44"/>
          <w:szCs w:val="32"/>
        </w:rPr>
      </w:pPr>
      <w:r>
        <w:rPr>
          <w:rFonts w:hint="default" w:ascii="Times New Roman" w:hAnsi="Times New Roman" w:eastAsia="方正小标宋简体" w:cs="Times New Roman"/>
          <w:sz w:val="44"/>
          <w:szCs w:val="32"/>
        </w:rPr>
        <w:t>目 录</w:t>
      </w:r>
    </w:p>
    <w:p w14:paraId="639F7EA5">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pPr>
    </w:p>
    <w:p w14:paraId="5A9E91F5">
      <w:pPr>
        <w:pStyle w:val="9"/>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"1-2"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_Toc12218 </w:instrText>
      </w:r>
      <w:r>
        <w:rPr>
          <w:rFonts w:hint="default" w:ascii="Times New Roman" w:hAnsi="Times New Roman" w:cs="Times New Roman"/>
        </w:rPr>
        <w:fldChar w:fldCharType="separate"/>
      </w:r>
      <w:r>
        <w:rPr>
          <w:rFonts w:hint="default" w:ascii="Times New Roman" w:hAnsi="Times New Roman" w:eastAsia="黑体" w:cs="Times New Roman"/>
        </w:rPr>
        <w:t>一、发展基础与面临形势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_Toc12218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27B750FC">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_Toc12475 </w:instrText>
      </w:r>
      <w:r>
        <w:rPr>
          <w:rFonts w:hint="default" w:ascii="Times New Roman" w:hAnsi="Times New Roman" w:cs="Times New Roman"/>
        </w:rPr>
        <w:fldChar w:fldCharType="separate"/>
      </w:r>
      <w:r>
        <w:rPr>
          <w:rFonts w:hint="default" w:ascii="Times New Roman" w:hAnsi="Times New Roman" w:eastAsia="楷体_GB2312" w:cs="Times New Roman"/>
        </w:rPr>
        <w:t>（一）发展基础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_Toc12475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3F8AB140">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_Toc23178 </w:instrText>
      </w:r>
      <w:r>
        <w:rPr>
          <w:rFonts w:hint="default" w:ascii="Times New Roman" w:hAnsi="Times New Roman" w:cs="Times New Roman"/>
        </w:rPr>
        <w:fldChar w:fldCharType="separate"/>
      </w:r>
      <w:r>
        <w:rPr>
          <w:rFonts w:hint="default" w:ascii="Times New Roman" w:hAnsi="Times New Roman" w:eastAsia="楷体_GB2312" w:cs="Times New Roman"/>
        </w:rPr>
        <w:t>（二）面临形势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_Toc23178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35D4B81A">
      <w:pPr>
        <w:pStyle w:val="9"/>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_Toc19221 </w:instrText>
      </w:r>
      <w:r>
        <w:rPr>
          <w:rFonts w:hint="default" w:ascii="Times New Roman" w:hAnsi="Times New Roman" w:cs="Times New Roman"/>
        </w:rPr>
        <w:fldChar w:fldCharType="separate"/>
      </w:r>
      <w:r>
        <w:rPr>
          <w:rFonts w:hint="default" w:ascii="Times New Roman" w:hAnsi="Times New Roman" w:eastAsia="黑体" w:cs="Times New Roman"/>
          <w:lang w:val="en-US" w:eastAsia="zh-CN"/>
        </w:rPr>
        <w:t>二、总体要求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_Toc19221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23FAD14A">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_Toc4667 </w:instrText>
      </w:r>
      <w:r>
        <w:rPr>
          <w:rFonts w:hint="default" w:ascii="Times New Roman" w:hAnsi="Times New Roman" w:cs="Times New Roman"/>
        </w:rPr>
        <w:fldChar w:fldCharType="separate"/>
      </w:r>
      <w:r>
        <w:rPr>
          <w:rFonts w:hint="default" w:ascii="Times New Roman" w:hAnsi="Times New Roman" w:eastAsia="楷体_GB2312" w:cs="Times New Roman"/>
          <w:lang w:val="en-US" w:eastAsia="zh-CN"/>
        </w:rPr>
        <w:t>（一）指导思想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_Toc4667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46AC9B46">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_Toc2666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二</w:t>
      </w:r>
      <w:r>
        <w:rPr>
          <w:rFonts w:hint="default" w:ascii="Times New Roman" w:hAnsi="Times New Roman" w:eastAsia="楷体_GB2312" w:cs="Times New Roman"/>
          <w:lang w:eastAsia="zh-CN"/>
        </w:rPr>
        <w:t>）</w:t>
      </w:r>
      <w:r>
        <w:rPr>
          <w:rFonts w:hint="default" w:ascii="Times New Roman" w:hAnsi="Times New Roman" w:eastAsia="楷体_GB2312" w:cs="Times New Roman"/>
        </w:rPr>
        <w:t>基本原则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_Toc2666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3CD9E143">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_Toc12586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（三）发展目标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_Toc12586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22C2A9A3">
      <w:pPr>
        <w:pStyle w:val="9"/>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_Toc26223 </w:instrText>
      </w:r>
      <w:r>
        <w:rPr>
          <w:rFonts w:hint="default" w:ascii="Times New Roman" w:hAnsi="Times New Roman" w:cs="Times New Roman"/>
        </w:rPr>
        <w:fldChar w:fldCharType="separate"/>
      </w:r>
      <w:r>
        <w:rPr>
          <w:rFonts w:hint="default" w:ascii="Times New Roman" w:hAnsi="Times New Roman" w:eastAsia="黑体" w:cs="Times New Roman"/>
        </w:rPr>
        <w:t>三、发展重点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_Toc26223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70D1F8DD">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_Toc968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（一）强化算力供给能力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_Toc968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5DA15D80">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_Toc1844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二</w:t>
      </w:r>
      <w:r>
        <w:rPr>
          <w:rFonts w:hint="default" w:ascii="Times New Roman" w:hAnsi="Times New Roman" w:eastAsia="楷体_GB2312" w:cs="Times New Roman"/>
          <w:lang w:eastAsia="zh-CN"/>
        </w:rPr>
        <w:t>）筑牢数据要素支撑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_Toc1844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66603C04">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_Toc29113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三</w:t>
      </w:r>
      <w:r>
        <w:rPr>
          <w:rFonts w:hint="default" w:ascii="Times New Roman" w:hAnsi="Times New Roman" w:eastAsia="楷体_GB2312" w:cs="Times New Roman"/>
          <w:lang w:eastAsia="zh-CN"/>
        </w:rPr>
        <w:t>）壮大硬件制造环节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_Toc29113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1F8FD34D">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_Toc32321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四</w:t>
      </w:r>
      <w:r>
        <w:rPr>
          <w:rFonts w:hint="default" w:ascii="Times New Roman" w:hAnsi="Times New Roman" w:eastAsia="楷体_GB2312" w:cs="Times New Roman"/>
          <w:lang w:eastAsia="zh-CN"/>
        </w:rPr>
        <w:t>）推动AI+应用试点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_Toc32321 \h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r>
        <w:rPr>
          <w:rFonts w:hint="default" w:ascii="Times New Roman" w:hAnsi="Times New Roman" w:cs="Times New Roman"/>
        </w:rPr>
        <w:fldChar w:fldCharType="end"/>
      </w:r>
    </w:p>
    <w:p w14:paraId="399F0F48">
      <w:pPr>
        <w:pStyle w:val="9"/>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_Toc13584 </w:instrText>
      </w:r>
      <w:r>
        <w:rPr>
          <w:rFonts w:hint="default" w:ascii="Times New Roman" w:hAnsi="Times New Roman" w:cs="Times New Roman"/>
        </w:rPr>
        <w:fldChar w:fldCharType="separate"/>
      </w:r>
      <w:r>
        <w:rPr>
          <w:rFonts w:hint="default" w:ascii="Times New Roman" w:hAnsi="Times New Roman" w:eastAsia="黑体" w:cs="Times New Roman"/>
        </w:rPr>
        <w:t>四、主要任务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_Toc13584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rPr>
        <w:fldChar w:fldCharType="end"/>
      </w:r>
    </w:p>
    <w:p w14:paraId="7056DBAD">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_Toc31072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（一）算网融合与</w:t>
      </w:r>
      <w:r>
        <w:rPr>
          <w:rFonts w:hint="default" w:ascii="Times New Roman" w:hAnsi="Times New Roman" w:eastAsia="楷体_GB2312" w:cs="Times New Roman"/>
          <w:lang w:val="en-US" w:eastAsia="zh-CN"/>
        </w:rPr>
        <w:t>算力</w:t>
      </w:r>
      <w:r>
        <w:rPr>
          <w:rFonts w:hint="default" w:ascii="Times New Roman" w:hAnsi="Times New Roman" w:eastAsia="楷体_GB2312" w:cs="Times New Roman"/>
          <w:lang w:eastAsia="zh-CN"/>
        </w:rPr>
        <w:t>调度并重，构建高效算力服务体系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_Toc31072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rPr>
        <w:fldChar w:fldCharType="end"/>
      </w:r>
    </w:p>
    <w:p w14:paraId="37B0946B">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_Toc14444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（二）绿电直供与源网荷储协同，</w:t>
      </w:r>
      <w:r>
        <w:rPr>
          <w:rFonts w:hint="default" w:ascii="Times New Roman" w:hAnsi="Times New Roman" w:eastAsia="楷体_GB2312" w:cs="Times New Roman"/>
          <w:lang w:val="en-US" w:eastAsia="zh-CN"/>
        </w:rPr>
        <w:t>保障</w:t>
      </w:r>
      <w:r>
        <w:rPr>
          <w:rFonts w:hint="default" w:ascii="Times New Roman" w:hAnsi="Times New Roman" w:eastAsia="楷体_GB2312" w:cs="Times New Roman"/>
          <w:lang w:eastAsia="zh-CN"/>
        </w:rPr>
        <w:t>清洁低碳</w:t>
      </w:r>
      <w:r>
        <w:rPr>
          <w:rFonts w:hint="default" w:ascii="Times New Roman" w:hAnsi="Times New Roman" w:eastAsia="楷体_GB2312" w:cs="Times New Roman"/>
          <w:lang w:val="en-US" w:eastAsia="zh-CN"/>
        </w:rPr>
        <w:t>能源供给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_Toc14444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rPr>
        <w:fldChar w:fldCharType="end"/>
      </w:r>
    </w:p>
    <w:p w14:paraId="7B973E1E">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_Toc17602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（三）招商扩产与</w:t>
      </w:r>
      <w:r>
        <w:rPr>
          <w:rFonts w:hint="default" w:ascii="Times New Roman" w:hAnsi="Times New Roman" w:eastAsia="楷体_GB2312" w:cs="Times New Roman"/>
          <w:lang w:val="en-US" w:eastAsia="zh-CN"/>
        </w:rPr>
        <w:t>需求挖掘联动</w:t>
      </w:r>
      <w:r>
        <w:rPr>
          <w:rFonts w:hint="default" w:ascii="Times New Roman" w:hAnsi="Times New Roman" w:eastAsia="楷体_GB2312" w:cs="Times New Roman"/>
          <w:lang w:eastAsia="zh-CN"/>
        </w:rPr>
        <w:t>，壮大</w:t>
      </w:r>
      <w:r>
        <w:rPr>
          <w:rFonts w:hint="default" w:ascii="Times New Roman" w:hAnsi="Times New Roman" w:eastAsia="楷体_GB2312" w:cs="Times New Roman"/>
          <w:lang w:val="en-US" w:eastAsia="zh-CN"/>
        </w:rPr>
        <w:t>完善算力产业生态</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_Toc17602 \h </w:instrText>
      </w:r>
      <w:r>
        <w:rPr>
          <w:rFonts w:hint="default" w:ascii="Times New Roman" w:hAnsi="Times New Roman" w:cs="Times New Roman"/>
        </w:rPr>
        <w:fldChar w:fldCharType="separate"/>
      </w:r>
      <w:r>
        <w:rPr>
          <w:rFonts w:hint="default" w:ascii="Times New Roman" w:hAnsi="Times New Roman" w:cs="Times New Roman"/>
        </w:rPr>
        <w:t>37</w:t>
      </w:r>
      <w:r>
        <w:rPr>
          <w:rFonts w:hint="default" w:ascii="Times New Roman" w:hAnsi="Times New Roman" w:cs="Times New Roman"/>
        </w:rPr>
        <w:fldChar w:fldCharType="end"/>
      </w:r>
      <w:r>
        <w:rPr>
          <w:rFonts w:hint="default" w:ascii="Times New Roman" w:hAnsi="Times New Roman" w:cs="Times New Roman"/>
        </w:rPr>
        <w:fldChar w:fldCharType="end"/>
      </w:r>
    </w:p>
    <w:p w14:paraId="47F74A9D">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_Toc15104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四</w:t>
      </w:r>
      <w:r>
        <w:rPr>
          <w:rFonts w:hint="default" w:ascii="Times New Roman" w:hAnsi="Times New Roman" w:eastAsia="楷体_GB2312" w:cs="Times New Roman"/>
          <w:lang w:eastAsia="zh-CN"/>
        </w:rPr>
        <w:t>）园区提质与要素保障</w:t>
      </w:r>
      <w:r>
        <w:rPr>
          <w:rFonts w:hint="default" w:ascii="Times New Roman" w:hAnsi="Times New Roman" w:eastAsia="楷体_GB2312" w:cs="Times New Roman"/>
          <w:lang w:val="en-US" w:eastAsia="zh-CN"/>
        </w:rPr>
        <w:t>共举</w:t>
      </w:r>
      <w:r>
        <w:rPr>
          <w:rFonts w:hint="default" w:ascii="Times New Roman" w:hAnsi="Times New Roman" w:eastAsia="楷体_GB2312" w:cs="Times New Roman"/>
          <w:lang w:eastAsia="zh-CN"/>
        </w:rPr>
        <w:t>，打造一流产业发展平台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_Toc15104 \h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rPr>
        <w:fldChar w:fldCharType="end"/>
      </w:r>
    </w:p>
    <w:p w14:paraId="442622EC">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_Toc24434 </w:instrText>
      </w:r>
      <w:r>
        <w:rPr>
          <w:rFonts w:hint="default" w:ascii="Times New Roman" w:hAnsi="Times New Roman" w:cs="Times New Roman"/>
        </w:rPr>
        <w:fldChar w:fldCharType="separate"/>
      </w:r>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五</w:t>
      </w:r>
      <w:r>
        <w:rPr>
          <w:rFonts w:hint="default" w:ascii="Times New Roman" w:hAnsi="Times New Roman" w:eastAsia="楷体_GB2312" w:cs="Times New Roman"/>
          <w:lang w:eastAsia="zh-CN"/>
        </w:rPr>
        <w:t>）数智赋能与区域协同</w:t>
      </w:r>
      <w:r>
        <w:rPr>
          <w:rFonts w:hint="default" w:ascii="Times New Roman" w:hAnsi="Times New Roman" w:eastAsia="楷体_GB2312" w:cs="Times New Roman"/>
          <w:lang w:val="en-US" w:eastAsia="zh-CN"/>
        </w:rPr>
        <w:t>互促</w:t>
      </w:r>
      <w:r>
        <w:rPr>
          <w:rFonts w:hint="default" w:ascii="Times New Roman" w:hAnsi="Times New Roman" w:eastAsia="楷体_GB2312" w:cs="Times New Roman"/>
          <w:lang w:eastAsia="zh-CN"/>
        </w:rPr>
        <w:t>，打造数字经济创新</w:t>
      </w:r>
      <w:r>
        <w:rPr>
          <w:rFonts w:hint="default" w:ascii="Times New Roman" w:hAnsi="Times New Roman" w:eastAsia="楷体_GB2312" w:cs="Times New Roman"/>
          <w:lang w:val="en-US" w:eastAsia="zh-CN"/>
        </w:rPr>
        <w:t>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_Toc24434 \h </w:instrText>
      </w:r>
      <w:r>
        <w:rPr>
          <w:rFonts w:hint="default" w:ascii="Times New Roman" w:hAnsi="Times New Roman" w:cs="Times New Roman"/>
        </w:rPr>
        <w:fldChar w:fldCharType="separate"/>
      </w:r>
      <w:r>
        <w:rPr>
          <w:rFonts w:hint="default" w:ascii="Times New Roman" w:hAnsi="Times New Roman" w:cs="Times New Roman"/>
        </w:rPr>
        <w:t>39</w:t>
      </w:r>
      <w:r>
        <w:rPr>
          <w:rFonts w:hint="default" w:ascii="Times New Roman" w:hAnsi="Times New Roman" w:cs="Times New Roman"/>
        </w:rPr>
        <w:fldChar w:fldCharType="end"/>
      </w:r>
      <w:r>
        <w:rPr>
          <w:rFonts w:hint="default" w:ascii="Times New Roman" w:hAnsi="Times New Roman" w:cs="Times New Roman"/>
        </w:rPr>
        <w:fldChar w:fldCharType="end"/>
      </w:r>
    </w:p>
    <w:p w14:paraId="6BD22148">
      <w:pPr>
        <w:pStyle w:val="9"/>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_Toc4554 </w:instrText>
      </w:r>
      <w:r>
        <w:rPr>
          <w:rFonts w:hint="default" w:ascii="Times New Roman" w:hAnsi="Times New Roman" w:cs="Times New Roman"/>
        </w:rPr>
        <w:fldChar w:fldCharType="separate"/>
      </w:r>
      <w:r>
        <w:rPr>
          <w:rFonts w:hint="default" w:ascii="Times New Roman" w:hAnsi="Times New Roman" w:eastAsia="黑体" w:cs="Times New Roman"/>
        </w:rPr>
        <w:t>五、保障措施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_Toc4554 \h </w:instrText>
      </w:r>
      <w:r>
        <w:rPr>
          <w:rFonts w:hint="default" w:ascii="Times New Roman" w:hAnsi="Times New Roman" w:cs="Times New Roman"/>
        </w:rPr>
        <w:fldChar w:fldCharType="separate"/>
      </w:r>
      <w:r>
        <w:rPr>
          <w:rFonts w:hint="default" w:ascii="Times New Roman" w:hAnsi="Times New Roman" w:cs="Times New Roman"/>
        </w:rPr>
        <w:t>41</w:t>
      </w:r>
      <w:r>
        <w:rPr>
          <w:rFonts w:hint="default" w:ascii="Times New Roman" w:hAnsi="Times New Roman" w:cs="Times New Roman"/>
        </w:rPr>
        <w:fldChar w:fldCharType="end"/>
      </w:r>
      <w:r>
        <w:rPr>
          <w:rFonts w:hint="default" w:ascii="Times New Roman" w:hAnsi="Times New Roman" w:cs="Times New Roman"/>
        </w:rPr>
        <w:fldChar w:fldCharType="end"/>
      </w:r>
    </w:p>
    <w:p w14:paraId="64D9C3D4">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_Toc15403 </w:instrText>
      </w:r>
      <w:r>
        <w:rPr>
          <w:rFonts w:hint="default" w:ascii="Times New Roman" w:hAnsi="Times New Roman" w:cs="Times New Roman"/>
        </w:rPr>
        <w:fldChar w:fldCharType="separate"/>
      </w:r>
      <w:r>
        <w:rPr>
          <w:rFonts w:hint="default" w:ascii="Times New Roman" w:hAnsi="Times New Roman" w:eastAsia="楷体_GB2312" w:cs="Times New Roman"/>
          <w:lang w:val="en-US" w:eastAsia="zh-CN"/>
        </w:rPr>
        <w:t>（一）加强组织领导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_Toc15403 \h </w:instrText>
      </w:r>
      <w:r>
        <w:rPr>
          <w:rFonts w:hint="default" w:ascii="Times New Roman" w:hAnsi="Times New Roman" w:cs="Times New Roman"/>
        </w:rPr>
        <w:fldChar w:fldCharType="separate"/>
      </w:r>
      <w:r>
        <w:rPr>
          <w:rFonts w:hint="default" w:ascii="Times New Roman" w:hAnsi="Times New Roman" w:cs="Times New Roman"/>
        </w:rPr>
        <w:t>41</w:t>
      </w:r>
      <w:r>
        <w:rPr>
          <w:rFonts w:hint="default" w:ascii="Times New Roman" w:hAnsi="Times New Roman" w:cs="Times New Roman"/>
        </w:rPr>
        <w:fldChar w:fldCharType="end"/>
      </w:r>
      <w:r>
        <w:rPr>
          <w:rFonts w:hint="default" w:ascii="Times New Roman" w:hAnsi="Times New Roman" w:cs="Times New Roman"/>
        </w:rPr>
        <w:fldChar w:fldCharType="end"/>
      </w:r>
    </w:p>
    <w:p w14:paraId="06066CF3">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_Toc22399 </w:instrText>
      </w:r>
      <w:r>
        <w:rPr>
          <w:rFonts w:hint="default" w:ascii="Times New Roman" w:hAnsi="Times New Roman" w:cs="Times New Roman"/>
        </w:rPr>
        <w:fldChar w:fldCharType="separate"/>
      </w:r>
      <w:r>
        <w:rPr>
          <w:rFonts w:hint="default" w:ascii="Times New Roman" w:hAnsi="Times New Roman" w:eastAsia="楷体_GB2312" w:cs="Times New Roman"/>
          <w:lang w:val="en-US" w:eastAsia="zh-CN"/>
        </w:rPr>
        <w:t>（二）加强要素保障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_Toc22399 \h </w:instrText>
      </w:r>
      <w:r>
        <w:rPr>
          <w:rFonts w:hint="default" w:ascii="Times New Roman" w:hAnsi="Times New Roman" w:cs="Times New Roman"/>
        </w:rPr>
        <w:fldChar w:fldCharType="separate"/>
      </w:r>
      <w:r>
        <w:rPr>
          <w:rFonts w:hint="default" w:ascii="Times New Roman" w:hAnsi="Times New Roman" w:cs="Times New Roman"/>
        </w:rPr>
        <w:t>41</w:t>
      </w:r>
      <w:r>
        <w:rPr>
          <w:rFonts w:hint="default" w:ascii="Times New Roman" w:hAnsi="Times New Roman" w:cs="Times New Roman"/>
        </w:rPr>
        <w:fldChar w:fldCharType="end"/>
      </w:r>
      <w:r>
        <w:rPr>
          <w:rFonts w:hint="default" w:ascii="Times New Roman" w:hAnsi="Times New Roman" w:cs="Times New Roman"/>
        </w:rPr>
        <w:fldChar w:fldCharType="end"/>
      </w:r>
    </w:p>
    <w:p w14:paraId="65E5FFBA">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_Toc23050 </w:instrText>
      </w:r>
      <w:r>
        <w:rPr>
          <w:rFonts w:hint="default" w:ascii="Times New Roman" w:hAnsi="Times New Roman" w:cs="Times New Roman"/>
        </w:rPr>
        <w:fldChar w:fldCharType="separate"/>
      </w:r>
      <w:r>
        <w:rPr>
          <w:rFonts w:hint="default" w:ascii="Times New Roman" w:hAnsi="Times New Roman" w:eastAsia="楷体_GB2312" w:cs="Times New Roman"/>
          <w:lang w:val="en-US" w:eastAsia="zh-CN"/>
        </w:rPr>
        <w:t>（三）加强人才支撑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_Toc23050 \h </w:instrText>
      </w:r>
      <w:r>
        <w:rPr>
          <w:rFonts w:hint="default" w:ascii="Times New Roman" w:hAnsi="Times New Roman" w:cs="Times New Roman"/>
        </w:rPr>
        <w:fldChar w:fldCharType="separate"/>
      </w:r>
      <w:r>
        <w:rPr>
          <w:rFonts w:hint="default" w:ascii="Times New Roman" w:hAnsi="Times New Roman" w:cs="Times New Roman"/>
        </w:rPr>
        <w:t>42</w:t>
      </w:r>
      <w:r>
        <w:rPr>
          <w:rFonts w:hint="default" w:ascii="Times New Roman" w:hAnsi="Times New Roman" w:cs="Times New Roman"/>
        </w:rPr>
        <w:fldChar w:fldCharType="end"/>
      </w:r>
      <w:r>
        <w:rPr>
          <w:rFonts w:hint="default" w:ascii="Times New Roman" w:hAnsi="Times New Roman" w:cs="Times New Roman"/>
        </w:rPr>
        <w:fldChar w:fldCharType="end"/>
      </w:r>
    </w:p>
    <w:p w14:paraId="42DE290B">
      <w:pPr>
        <w:pStyle w:val="11"/>
        <w:keepNext w:val="0"/>
        <w:keepLines w:val="0"/>
        <w:pageBreakBefore w:val="0"/>
        <w:widowControl w:val="0"/>
        <w:tabs>
          <w:tab w:val="right" w:leader="dot" w:pos="8306"/>
        </w:tabs>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_Toc10499 </w:instrText>
      </w:r>
      <w:r>
        <w:rPr>
          <w:rFonts w:hint="default" w:ascii="Times New Roman" w:hAnsi="Times New Roman" w:cs="Times New Roman"/>
        </w:rPr>
        <w:fldChar w:fldCharType="separate"/>
      </w:r>
      <w:r>
        <w:rPr>
          <w:rFonts w:hint="default" w:ascii="Times New Roman" w:hAnsi="Times New Roman" w:eastAsia="楷体_GB2312" w:cs="Times New Roman"/>
          <w:lang w:val="en-US" w:eastAsia="zh-CN"/>
        </w:rPr>
        <w:t>（四）深化开放合作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_Toc10499 \h </w:instrText>
      </w:r>
      <w:r>
        <w:rPr>
          <w:rFonts w:hint="default" w:ascii="Times New Roman" w:hAnsi="Times New Roman" w:cs="Times New Roman"/>
        </w:rPr>
        <w:fldChar w:fldCharType="separate"/>
      </w:r>
      <w:r>
        <w:rPr>
          <w:rFonts w:hint="default" w:ascii="Times New Roman" w:hAnsi="Times New Roman" w:cs="Times New Roman"/>
        </w:rPr>
        <w:t>42</w:t>
      </w:r>
      <w:r>
        <w:rPr>
          <w:rFonts w:hint="default" w:ascii="Times New Roman" w:hAnsi="Times New Roman" w:cs="Times New Roman"/>
        </w:rPr>
        <w:fldChar w:fldCharType="end"/>
      </w:r>
      <w:r>
        <w:rPr>
          <w:rFonts w:hint="default" w:ascii="Times New Roman" w:hAnsi="Times New Roman" w:cs="Times New Roman"/>
        </w:rPr>
        <w:fldChar w:fldCharType="end"/>
      </w:r>
    </w:p>
    <w:p w14:paraId="572CE51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end"/>
      </w:r>
    </w:p>
    <w:p w14:paraId="0B0796A7">
      <w:pPr>
        <w:keepNext w:val="0"/>
        <w:keepLines w:val="0"/>
        <w:pageBreakBefore w:val="0"/>
        <w:kinsoku/>
        <w:wordWrap/>
        <w:topLinePunct w:val="0"/>
        <w:bidi w:val="0"/>
        <w:adjustRightInd w:val="0"/>
        <w:spacing w:line="560" w:lineRule="exact"/>
        <w:ind w:left="0" w:leftChars="0" w:firstLine="640"/>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p w14:paraId="3588CF8F">
      <w:pPr>
        <w:keepNext w:val="0"/>
        <w:keepLines w:val="0"/>
        <w:pageBreakBefore w:val="0"/>
        <w:kinsoku/>
        <w:wordWrap/>
        <w:topLinePunct w:val="0"/>
        <w:autoSpaceDE/>
        <w:autoSpaceDN/>
        <w:bidi w:val="0"/>
        <w:adjustRightInd w:val="0"/>
        <w:snapToGrid w:val="0"/>
        <w:spacing w:line="560" w:lineRule="exact"/>
        <w:ind w:left="0" w:leftChars="0"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算力是数字经济时代的新型</w:t>
      </w:r>
      <w:r>
        <w:rPr>
          <w:rFonts w:hint="eastAsia" w:ascii="Times New Roman" w:hAnsi="Times New Roman" w:eastAsia="方正仿宋_GB2312" w:cs="Times New Roman"/>
          <w:sz w:val="32"/>
          <w:szCs w:val="32"/>
          <w:lang w:val="en-US" w:eastAsia="zh-CN"/>
        </w:rPr>
        <w:t>质</w:t>
      </w:r>
      <w:r>
        <w:rPr>
          <w:rFonts w:hint="default" w:ascii="Times New Roman" w:hAnsi="Times New Roman" w:eastAsia="方正仿宋_GB2312" w:cs="Times New Roman"/>
          <w:sz w:val="32"/>
          <w:szCs w:val="32"/>
        </w:rPr>
        <w:t>生产力，是社会数字化、智能化转型的重要基础。加快算力建设，能有效激发数据要素创新活力，催生新技术、新产业、新业态、新模式，为</w:t>
      </w:r>
      <w:r>
        <w:rPr>
          <w:rFonts w:hint="eastAsia" w:ascii="Times New Roman" w:hAnsi="Times New Roman" w:eastAsia="方正仿宋_GB2312" w:cs="Times New Roman"/>
          <w:sz w:val="32"/>
          <w:szCs w:val="32"/>
          <w:lang w:eastAsia="zh-CN"/>
        </w:rPr>
        <w:t>促进数字经济和实体经济深度融合</w:t>
      </w:r>
      <w:r>
        <w:rPr>
          <w:rFonts w:hint="default" w:ascii="Times New Roman" w:hAnsi="Times New Roman" w:eastAsia="方正仿宋_GB2312" w:cs="Times New Roman"/>
          <w:sz w:val="32"/>
          <w:szCs w:val="32"/>
        </w:rPr>
        <w:t>、建设现代化产业体系注入动力。习近平总书记</w:t>
      </w:r>
      <w:r>
        <w:rPr>
          <w:rFonts w:hint="default" w:ascii="Times New Roman" w:hAnsi="Times New Roman" w:eastAsia="方正仿宋_GB2312" w:cs="Times New Roman"/>
          <w:sz w:val="32"/>
          <w:szCs w:val="32"/>
          <w:lang w:val="en-US" w:eastAsia="zh-CN"/>
        </w:rPr>
        <w:t>明确提出</w:t>
      </w:r>
      <w:r>
        <w:rPr>
          <w:rFonts w:hint="default" w:ascii="Times New Roman" w:hAnsi="Times New Roman" w:eastAsia="方正仿宋_GB2312" w:cs="Times New Roman"/>
          <w:sz w:val="32"/>
          <w:szCs w:val="32"/>
        </w:rPr>
        <w:t>，“统筹推进算力基础设施建设，深化数据资源开发利用和开放共享”。“十五五”时期，是韶关抢抓全国一体化算力网络粤港澳大湾区国家枢纽节点建设重大战略机遇，依托华南地区唯一的国家数据中心集群，做大做强算力产业、构建现代化产业体系、打造华南“智算之城”的关键时期。科学制定未来五年的算力产业发展规划，是韶关市发挥生态与区位优势、承接大湾区实时算力需求、加快培育新质生产力的重要依据，也是引领全市数字经济高质量发展的远景蓝图。为深入贯彻落实党中央、国务院及省委、省政府关于加快算力基础设施建设和发展新质生产力的决策部署，</w:t>
      </w:r>
      <w:r>
        <w:rPr>
          <w:rFonts w:hint="default" w:ascii="Times New Roman" w:hAnsi="Times New Roman" w:eastAsia="方正仿宋_GB2312" w:cs="Times New Roman"/>
          <w:sz w:val="32"/>
          <w:szCs w:val="32"/>
          <w:lang w:val="en-US" w:eastAsia="zh-CN"/>
        </w:rPr>
        <w:t>释放韶关数据中心</w:t>
      </w:r>
      <w:r>
        <w:rPr>
          <w:rFonts w:hint="eastAsia" w:ascii="Times New Roman" w:hAnsi="Times New Roman" w:eastAsia="方正仿宋_GB2312" w:cs="Times New Roman"/>
          <w:sz w:val="32"/>
          <w:szCs w:val="32"/>
          <w:lang w:val="en-US" w:eastAsia="zh-CN"/>
        </w:rPr>
        <w:t>集群</w:t>
      </w:r>
      <w:r>
        <w:rPr>
          <w:rFonts w:hint="default" w:ascii="Times New Roman" w:hAnsi="Times New Roman" w:eastAsia="方正仿宋_GB2312" w:cs="Times New Roman"/>
          <w:sz w:val="32"/>
          <w:szCs w:val="32"/>
          <w:lang w:val="en-US" w:eastAsia="zh-CN"/>
        </w:rPr>
        <w:t>算力赋能能力</w:t>
      </w:r>
      <w:r>
        <w:rPr>
          <w:rFonts w:hint="default" w:ascii="Times New Roman" w:hAnsi="Times New Roman" w:eastAsia="方正仿宋_GB2312" w:cs="Times New Roman"/>
          <w:sz w:val="32"/>
          <w:szCs w:val="32"/>
        </w:rPr>
        <w:t>，根据《广东省国民经济和社会发展第十五个五年规划纲要》及《韶关市国民经济和社会发展第十五个五年规划纲要》，结合韶关实际，特制订本规划。本规划实施期限为2026年至2030年。</w:t>
      </w:r>
    </w:p>
    <w:p w14:paraId="5521E98F">
      <w:pPr>
        <w:keepNext w:val="0"/>
        <w:keepLines w:val="0"/>
        <w:pageBreakBefore w:val="0"/>
        <w:kinsoku/>
        <w:wordWrap/>
        <w:topLinePunct w:val="0"/>
        <w:bidi w:val="0"/>
        <w:adjustRightInd w:val="0"/>
        <w:spacing w:line="560" w:lineRule="exact"/>
        <w:ind w:left="0" w:leftChars="0" w:firstLine="640"/>
        <w:outlineLvl w:val="0"/>
        <w:rPr>
          <w:rFonts w:hint="default" w:ascii="Times New Roman" w:hAnsi="Times New Roman" w:eastAsia="黑体" w:cs="Times New Roman"/>
        </w:rPr>
      </w:pPr>
      <w:bookmarkStart w:id="0" w:name="_Toc12218"/>
      <w:r>
        <w:rPr>
          <w:rFonts w:hint="default" w:ascii="Times New Roman" w:hAnsi="Times New Roman" w:eastAsia="黑体" w:cs="Times New Roman"/>
        </w:rPr>
        <w:t>一、发展基础与面临形势</w:t>
      </w:r>
      <w:bookmarkEnd w:id="0"/>
    </w:p>
    <w:p w14:paraId="1A1FE3CA">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rPr>
      </w:pPr>
      <w:bookmarkStart w:id="1" w:name="_Toc12475"/>
      <w:r>
        <w:rPr>
          <w:rFonts w:hint="default" w:ascii="Times New Roman" w:hAnsi="Times New Roman" w:eastAsia="楷体_GB2312" w:cs="Times New Roman"/>
        </w:rPr>
        <w:t>（一）发展基础</w:t>
      </w:r>
      <w:bookmarkEnd w:id="1"/>
    </w:p>
    <w:p w14:paraId="774176F5">
      <w:pPr>
        <w:keepNext w:val="0"/>
        <w:keepLines w:val="0"/>
        <w:pageBreakBefore w:val="0"/>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算力规模跨越</w:t>
      </w:r>
      <w:r>
        <w:rPr>
          <w:rFonts w:hint="default" w:ascii="Times New Roman" w:hAnsi="Times New Roman" w:eastAsia="方正仿宋_GB2312" w:cs="Times New Roman"/>
          <w:b/>
          <w:bCs/>
          <w:sz w:val="32"/>
          <w:szCs w:val="32"/>
          <w:lang w:val="en-US" w:eastAsia="zh-CN"/>
        </w:rPr>
        <w:t>式</w:t>
      </w:r>
      <w:r>
        <w:rPr>
          <w:rFonts w:hint="default" w:ascii="Times New Roman" w:hAnsi="Times New Roman" w:eastAsia="方正仿宋_GB2312" w:cs="Times New Roman"/>
          <w:b/>
          <w:bCs/>
          <w:sz w:val="32"/>
          <w:szCs w:val="32"/>
        </w:rPr>
        <w:t>增长，实时性算力底座基本形成。</w:t>
      </w:r>
      <w:r>
        <w:rPr>
          <w:rFonts w:hint="default" w:ascii="Times New Roman" w:hAnsi="Times New Roman" w:eastAsia="方正仿宋_GB2312" w:cs="Times New Roman"/>
          <w:sz w:val="32"/>
          <w:szCs w:val="32"/>
        </w:rPr>
        <w:t>韶关集群已签约入驻四大电信运营商、腾讯、万国、中联等2</w:t>
      </w:r>
      <w:r>
        <w:rPr>
          <w:rFonts w:hint="default" w:ascii="Times New Roman" w:hAnsi="Times New Roman" w:eastAsia="方正仿宋_GB2312" w:cs="Times New Roman"/>
          <w:sz w:val="32"/>
          <w:szCs w:val="32"/>
          <w:lang w:val="en-US" w:eastAsia="zh-CN"/>
        </w:rPr>
        <w:t>3</w:t>
      </w:r>
      <w:r>
        <w:rPr>
          <w:rFonts w:hint="default" w:ascii="Times New Roman" w:hAnsi="Times New Roman" w:eastAsia="方正仿宋_GB2312" w:cs="Times New Roman"/>
          <w:sz w:val="32"/>
          <w:szCs w:val="32"/>
        </w:rPr>
        <w:t>个</w:t>
      </w:r>
      <w:r>
        <w:rPr>
          <w:rFonts w:hint="default" w:ascii="Times New Roman" w:hAnsi="Times New Roman" w:eastAsia="方正仿宋_GB2312" w:cs="Times New Roman"/>
          <w:sz w:val="32"/>
          <w:szCs w:val="32"/>
          <w:lang w:val="en-US" w:eastAsia="zh-CN"/>
        </w:rPr>
        <w:t>智算</w:t>
      </w:r>
      <w:r>
        <w:rPr>
          <w:rFonts w:hint="default" w:ascii="Times New Roman" w:hAnsi="Times New Roman" w:eastAsia="方正仿宋_GB2312" w:cs="Times New Roman"/>
          <w:sz w:val="32"/>
          <w:szCs w:val="32"/>
        </w:rPr>
        <w:t>中心项目，计划总投资</w:t>
      </w:r>
      <w:r>
        <w:rPr>
          <w:rFonts w:hint="default" w:ascii="Times New Roman" w:hAnsi="Times New Roman" w:eastAsia="方正仿宋_GB2312" w:cs="Times New Roman"/>
          <w:sz w:val="32"/>
          <w:szCs w:val="32"/>
          <w:lang w:val="en-US" w:eastAsia="zh-CN"/>
        </w:rPr>
        <w:t>1116</w:t>
      </w:r>
      <w:r>
        <w:rPr>
          <w:rFonts w:hint="default" w:ascii="Times New Roman" w:hAnsi="Times New Roman" w:eastAsia="方正仿宋_GB2312" w:cs="Times New Roman"/>
          <w:sz w:val="32"/>
          <w:szCs w:val="32"/>
        </w:rPr>
        <w:t>亿元，规划建设</w:t>
      </w:r>
      <w:r>
        <w:rPr>
          <w:rFonts w:hint="default" w:ascii="Times New Roman" w:hAnsi="Times New Roman" w:eastAsia="方正仿宋_GB2312" w:cs="Times New Roman"/>
          <w:sz w:val="32"/>
          <w:szCs w:val="32"/>
          <w:lang w:val="en-US" w:eastAsia="zh-CN"/>
        </w:rPr>
        <w:t>166</w:t>
      </w:r>
      <w:r>
        <w:rPr>
          <w:rFonts w:hint="default" w:ascii="Times New Roman" w:hAnsi="Times New Roman" w:eastAsia="方正仿宋_GB2312" w:cs="Times New Roman"/>
          <w:sz w:val="32"/>
          <w:szCs w:val="32"/>
        </w:rPr>
        <w:t>万标准机架。韶关集群已建成电信一期、移动、联通、鹰硕、华韶一期</w:t>
      </w:r>
      <w:r>
        <w:rPr>
          <w:rFonts w:hint="default" w:ascii="Times New Roman" w:hAnsi="Times New Roman" w:eastAsia="方正仿宋_GB2312" w:cs="Times New Roman"/>
          <w:sz w:val="32"/>
          <w:szCs w:val="32"/>
          <w:lang w:eastAsia="zh-CN"/>
        </w:rPr>
        <w:t>、北江智算</w:t>
      </w:r>
      <w:r>
        <w:rPr>
          <w:rFonts w:hint="eastAsia" w:ascii="Times New Roman" w:hAnsi="Times New Roman" w:eastAsia="方正仿宋_GB2312" w:cs="Times New Roman"/>
          <w:sz w:val="32"/>
          <w:szCs w:val="32"/>
          <w:lang w:val="en-US" w:eastAsia="zh-CN"/>
        </w:rPr>
        <w:t>等</w:t>
      </w:r>
      <w:r>
        <w:rPr>
          <w:rFonts w:hint="default"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rPr>
        <w:t>个项目，形成</w:t>
      </w:r>
      <w:r>
        <w:rPr>
          <w:rFonts w:hint="default" w:ascii="Times New Roman" w:hAnsi="Times New Roman" w:eastAsia="方正仿宋_GB2312" w:cs="Times New Roman"/>
          <w:sz w:val="32"/>
          <w:szCs w:val="32"/>
          <w:lang w:val="en-US" w:eastAsia="zh-CN"/>
        </w:rPr>
        <w:t>17.3</w:t>
      </w:r>
      <w:r>
        <w:rPr>
          <w:rFonts w:hint="default" w:ascii="Times New Roman" w:hAnsi="Times New Roman" w:eastAsia="方正仿宋_GB2312" w:cs="Times New Roman"/>
          <w:sz w:val="32"/>
          <w:szCs w:val="32"/>
        </w:rPr>
        <w:t>万标准机架承载能力，已签约算力规模达3GW，已上架</w:t>
      </w:r>
      <w:r>
        <w:rPr>
          <w:rFonts w:hint="default"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rPr>
        <w:t>万P智算规模。成功创建电信、移动、华韶、华为昇腾超节点、阿里“真武”等5个万卡集群，上架智算超7.3万张卡，全球首个华为商用智算昇腾超节点在韶关落地发布</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2026年</w:t>
      </w:r>
      <w:r>
        <w:rPr>
          <w:rFonts w:hint="default" w:ascii="Times New Roman" w:hAnsi="Times New Roman" w:eastAsia="方正仿宋_GB2312" w:cs="Times New Roman"/>
          <w:sz w:val="32"/>
          <w:szCs w:val="32"/>
          <w:lang w:eastAsia="zh-CN"/>
        </w:rPr>
        <w:t>4月，粤港澳大湾区首个基于“真武”芯片的万卡智算集群正式上线，</w:t>
      </w:r>
      <w:r>
        <w:rPr>
          <w:rFonts w:hint="default" w:ascii="Times New Roman" w:hAnsi="Times New Roman" w:eastAsia="方正仿宋_GB2312" w:cs="Times New Roman"/>
          <w:sz w:val="32"/>
          <w:szCs w:val="32"/>
          <w:lang w:val="en-US" w:eastAsia="zh-CN"/>
        </w:rPr>
        <w:t>也是</w:t>
      </w:r>
      <w:r>
        <w:rPr>
          <w:rFonts w:hint="default" w:ascii="Times New Roman" w:hAnsi="Times New Roman" w:eastAsia="方正仿宋_GB2312" w:cs="Times New Roman"/>
          <w:sz w:val="32"/>
          <w:szCs w:val="32"/>
          <w:lang w:eastAsia="zh-CN"/>
        </w:rPr>
        <w:t>大湾区首个落地</w:t>
      </w:r>
      <w:r>
        <w:rPr>
          <w:rFonts w:hint="default" w:ascii="Times New Roman" w:hAnsi="Times New Roman" w:eastAsia="方正仿宋_GB2312" w:cs="Times New Roman"/>
          <w:sz w:val="32"/>
          <w:szCs w:val="32"/>
          <w:lang w:val="en-US" w:eastAsia="zh-CN"/>
        </w:rPr>
        <w:t>的</w:t>
      </w:r>
      <w:r>
        <w:rPr>
          <w:rFonts w:hint="default" w:ascii="Times New Roman" w:hAnsi="Times New Roman" w:eastAsia="方正仿宋_GB2312" w:cs="Times New Roman"/>
          <w:sz w:val="32"/>
          <w:szCs w:val="32"/>
          <w:lang w:eastAsia="zh-CN"/>
        </w:rPr>
        <w:t>国家“超大规模智算集群”新基建项目，实现了从芯片、云平台到模型应用的全链路自主研发。</w:t>
      </w:r>
      <w:r>
        <w:rPr>
          <w:rFonts w:hint="default" w:ascii="Times New Roman" w:hAnsi="Times New Roman" w:eastAsia="方正仿宋_GB2312" w:cs="Times New Roman"/>
          <w:sz w:val="32"/>
          <w:szCs w:val="32"/>
        </w:rPr>
        <w:t>腾讯、万国等项目正在加快建设，于2026年陆续建成投产；电信二期、秦淮数据、广东舜通、绿地香港</w:t>
      </w:r>
      <w:r>
        <w:rPr>
          <w:rFonts w:hint="default" w:ascii="Times New Roman" w:hAnsi="Times New Roman" w:eastAsia="方正仿宋_GB2312" w:cs="Times New Roman"/>
          <w:sz w:val="32"/>
          <w:szCs w:val="32"/>
          <w:lang w:eastAsia="zh-CN"/>
        </w:rPr>
        <w:t>、中金数据、</w:t>
      </w:r>
      <w:r>
        <w:rPr>
          <w:rFonts w:hint="default" w:ascii="Times New Roman" w:hAnsi="Times New Roman" w:eastAsia="方正仿宋_GB2312" w:cs="Times New Roman"/>
          <w:sz w:val="32"/>
          <w:szCs w:val="32"/>
          <w:lang w:val="en-US" w:eastAsia="zh-CN"/>
        </w:rPr>
        <w:t>协鑫</w:t>
      </w:r>
      <w:r>
        <w:rPr>
          <w:rFonts w:hint="default" w:ascii="Times New Roman" w:hAnsi="Times New Roman" w:eastAsia="方正仿宋_GB2312" w:cs="Times New Roman"/>
          <w:sz w:val="32"/>
          <w:szCs w:val="32"/>
        </w:rPr>
        <w:t>等项目已签约落地</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韶关集群已经成为广东省最大的智能算力集聚区。</w:t>
      </w:r>
    </w:p>
    <w:p w14:paraId="5425593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default" w:ascii="Times New Roman" w:hAnsi="Times New Roman" w:eastAsia="方正仿宋_GB2312" w:cs="Times New Roman"/>
          <w:sz w:val="32"/>
          <w:szCs w:val="36"/>
          <w:lang w:val="en-US" w:eastAsia="zh-CN"/>
        </w:rPr>
      </w:pPr>
      <w:r>
        <w:rPr>
          <w:rFonts w:hint="default" w:ascii="Times New Roman" w:hAnsi="Times New Roman" w:eastAsia="方正仿宋_GB2312" w:cs="Times New Roman"/>
          <w:b/>
          <w:bCs/>
          <w:sz w:val="32"/>
          <w:szCs w:val="32"/>
          <w:lang w:val="en-US" w:eastAsia="zh-CN"/>
        </w:rPr>
        <w:t>上游设备与下游应用环节持续破局，</w:t>
      </w:r>
      <w:r>
        <w:rPr>
          <w:rFonts w:hint="default" w:ascii="Times New Roman" w:hAnsi="Times New Roman" w:eastAsia="方正仿宋_GB2312" w:cs="Times New Roman"/>
          <w:b/>
          <w:bCs/>
          <w:sz w:val="32"/>
          <w:szCs w:val="32"/>
        </w:rPr>
        <w:t>构建全产业链发展格局。</w:t>
      </w:r>
      <w:r>
        <w:rPr>
          <w:rFonts w:hint="default" w:ascii="Times New Roman" w:hAnsi="Times New Roman" w:eastAsia="方正仿宋_GB2312" w:cs="Times New Roman"/>
          <w:b/>
          <w:bCs/>
          <w:sz w:val="32"/>
          <w:szCs w:val="36"/>
          <w:lang w:val="en-US" w:eastAsia="zh-CN"/>
        </w:rPr>
        <w:t>上游核心零部件及设备</w:t>
      </w:r>
      <w:r>
        <w:rPr>
          <w:rFonts w:hint="default" w:ascii="Times New Roman" w:hAnsi="Times New Roman" w:eastAsia="方正仿宋_GB2312" w:cs="Times New Roman"/>
          <w:sz w:val="32"/>
          <w:szCs w:val="36"/>
          <w:lang w:val="en-US" w:eastAsia="zh-CN"/>
        </w:rPr>
        <w:t>环节，韶关在机电设备与计算设备制造领域取得实质性进展：华天科技在韶关布局集成电路封测业务；朗科科技子公司韶关乳源朗坤科技有限公司建成年产能3-5万台的AI服务器产线，产品覆盖昇腾、鲲鹏及RISC-V等主流架构，并于2025年12月发布鲲鹏一体机服务器与昇腾一体机服务器。此外，在</w:t>
      </w:r>
      <w:r>
        <w:rPr>
          <w:rFonts w:hint="default" w:ascii="Times New Roman" w:hAnsi="Times New Roman" w:eastAsia="方正仿宋_GB2312" w:cs="Times New Roman"/>
          <w:sz w:val="32"/>
          <w:szCs w:val="32"/>
          <w:lang w:val="en-US" w:eastAsia="zh-CN"/>
        </w:rPr>
        <w:t>UPS、高低压配电柜、机柜等</w:t>
      </w:r>
      <w:r>
        <w:rPr>
          <w:rFonts w:hint="eastAsia" w:ascii="Times New Roman" w:hAnsi="Times New Roman" w:eastAsia="方正仿宋_GB2312" w:cs="Times New Roman"/>
          <w:sz w:val="32"/>
          <w:szCs w:val="32"/>
          <w:lang w:val="en-US" w:eastAsia="zh-CN"/>
        </w:rPr>
        <w:t>机电设备</w:t>
      </w:r>
      <w:r>
        <w:rPr>
          <w:rFonts w:hint="default" w:ascii="Times New Roman" w:hAnsi="Times New Roman" w:eastAsia="方正仿宋_GB2312" w:cs="Times New Roman"/>
          <w:sz w:val="32"/>
          <w:szCs w:val="32"/>
          <w:lang w:val="en-US" w:eastAsia="zh-CN"/>
        </w:rPr>
        <w:t>领域均有布局</w:t>
      </w:r>
      <w:r>
        <w:rPr>
          <w:rFonts w:hint="default" w:ascii="Times New Roman" w:hAnsi="Times New Roman" w:eastAsia="方正仿宋_GB2312" w:cs="Times New Roman"/>
          <w:sz w:val="32"/>
          <w:szCs w:val="36"/>
          <w:lang w:val="en-US" w:eastAsia="zh-CN"/>
        </w:rPr>
        <w:t>。</w:t>
      </w:r>
      <w:r>
        <w:rPr>
          <w:rFonts w:hint="default" w:ascii="Times New Roman" w:hAnsi="Times New Roman" w:eastAsia="方正仿宋_GB2312" w:cs="Times New Roman"/>
          <w:b/>
          <w:bCs/>
          <w:sz w:val="32"/>
          <w:szCs w:val="36"/>
          <w:lang w:val="en-US" w:eastAsia="zh-CN"/>
        </w:rPr>
        <w:t>下游算力应用</w:t>
      </w:r>
      <w:r>
        <w:rPr>
          <w:rFonts w:hint="default" w:ascii="Times New Roman" w:hAnsi="Times New Roman" w:eastAsia="方正仿宋_GB2312" w:cs="Times New Roman"/>
          <w:sz w:val="32"/>
          <w:szCs w:val="36"/>
          <w:lang w:val="en-US" w:eastAsia="zh-CN"/>
        </w:rPr>
        <w:t>环节，</w:t>
      </w:r>
      <w:r>
        <w:rPr>
          <w:rFonts w:hint="default" w:ascii="Times New Roman" w:hAnsi="Times New Roman" w:eastAsia="方正仿宋_GB2312" w:cs="Times New Roman"/>
          <w:sz w:val="32"/>
          <w:szCs w:val="32"/>
        </w:rPr>
        <w:t>建成粤港澳大湾区数据应用产业园，建设数据汇聚治理和隐私计算平台、数据资产登记评估中心、先进存力中心、数据交易平台，百度数据标注基地已有6家服务商入驻开展业务，电信、粤信数据标注基地已落地，广州数据交易所（韶关）服务基地已有注册会员60家，已上架数据产品53个。</w:t>
      </w:r>
      <w:r>
        <w:rPr>
          <w:rFonts w:hint="default" w:ascii="Times New Roman" w:hAnsi="Times New Roman" w:eastAsia="方正仿宋_GB2312" w:cs="Times New Roman"/>
          <w:sz w:val="32"/>
          <w:szCs w:val="32"/>
          <w:lang w:val="en-US" w:eastAsia="zh-CN"/>
        </w:rPr>
        <w:t>此外，韶关</w:t>
      </w:r>
      <w:r>
        <w:rPr>
          <w:rFonts w:hint="default" w:ascii="Times New Roman" w:hAnsi="Times New Roman" w:eastAsia="方正仿宋_GB2312" w:cs="Times New Roman"/>
          <w:sz w:val="32"/>
          <w:szCs w:val="36"/>
          <w:lang w:val="en-US" w:eastAsia="zh-CN"/>
        </w:rPr>
        <w:t>正加快拓展“来数加工”跨境数据特区、人工智能数据标注基地、智慧城市治理等场景，主动对接互联网、金融、制造、交通等下游行业需求，构建“算力+应用”闭环体系。</w:t>
      </w:r>
    </w:p>
    <w:p w14:paraId="348FF9E9">
      <w:pPr>
        <w:keepNext w:val="0"/>
        <w:keepLines w:val="0"/>
        <w:pageBreakBefore w:val="0"/>
        <w:widowControl/>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全面深化算网与算电协同建设，夯实服务大湾区人工智能产业发展的核心底座。在算网协同方面，</w:t>
      </w:r>
      <w:r>
        <w:rPr>
          <w:rFonts w:hint="default" w:ascii="Times New Roman" w:hAnsi="Times New Roman" w:eastAsia="方正仿宋_GB2312" w:cs="Times New Roman"/>
          <w:sz w:val="32"/>
          <w:szCs w:val="32"/>
        </w:rPr>
        <w:t>韶关算网协同能力大幅提升，三大电信运营商将其提升为国家级网络干线节点，建成13条直达广深等城市的400G全光运力网络及12条省际一级长途光缆，到广州、深圳骨干机房单向时延分别降至1.3ms、1.66ms，可满足人工智能、低空经济等低时延业务需求。同时，大力推进深广韶数据大通道试验示范项目，建成后到广州时延可进一步降至1.2ms，夯实网络通道；国家已批复开展“来数加工”业务试点，畅通连接港澳的数据安全通道，推动算力可供港澳。</w:t>
      </w:r>
      <w:r>
        <w:rPr>
          <w:rFonts w:hint="default" w:ascii="Times New Roman" w:hAnsi="Times New Roman" w:eastAsia="方正仿宋_GB2312" w:cs="Times New Roman"/>
          <w:b/>
          <w:bCs/>
          <w:sz w:val="32"/>
          <w:szCs w:val="32"/>
        </w:rPr>
        <w:t>在算电协同方面，</w:t>
      </w:r>
      <w:r>
        <w:rPr>
          <w:rFonts w:hint="default" w:ascii="Times New Roman" w:hAnsi="Times New Roman" w:eastAsia="方正仿宋_GB2312" w:cs="Times New Roman"/>
          <w:sz w:val="32"/>
          <w:szCs w:val="32"/>
        </w:rPr>
        <w:t>韶关高效构建高可靠能源保障体系，围绕数据中心需求系统布局“双电源、双回路”供电网络，已建成智良站、云航站、横江站等变电站并持续超前建设。此外，大力发展“绿色低碳”数据中心，依托全市1100万千瓦新能源开发潜力，积极推动新能源开发及源网荷储一体化试点，建设低成本绿电供应数据中心，持续提升绿电占比并降低用电成本。</w:t>
      </w:r>
    </w:p>
    <w:p w14:paraId="68F1C64F">
      <w:pPr>
        <w:keepNext w:val="0"/>
        <w:keepLines w:val="0"/>
        <w:pageBreakBefore w:val="0"/>
        <w:widowControl/>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val="0"/>
          <w:bCs w:val="0"/>
          <w:sz w:val="32"/>
          <w:szCs w:val="32"/>
          <w:lang w:val="en-US" w:eastAsia="zh-CN"/>
        </w:rPr>
      </w:pPr>
      <w:r>
        <w:rPr>
          <w:rFonts w:hint="default" w:ascii="Times New Roman" w:hAnsi="Times New Roman" w:eastAsia="方正仿宋_GB2312" w:cs="Times New Roman"/>
          <w:b/>
          <w:bCs/>
          <w:sz w:val="32"/>
          <w:szCs w:val="32"/>
          <w:lang w:val="en-US" w:eastAsia="zh-CN"/>
        </w:rPr>
        <w:t>韶关作为华南地区唯一国家数据中心集群，安全与监测调度试点建设成效显著。</w:t>
      </w:r>
      <w:r>
        <w:rPr>
          <w:rFonts w:hint="default" w:ascii="Times New Roman" w:hAnsi="Times New Roman" w:eastAsia="方正仿宋_GB2312" w:cs="Times New Roman"/>
          <w:b w:val="0"/>
          <w:bCs w:val="0"/>
          <w:sz w:val="32"/>
          <w:szCs w:val="32"/>
          <w:lang w:val="en-US" w:eastAsia="zh-CN"/>
        </w:rPr>
        <w:t>韶关</w:t>
      </w:r>
      <w:r>
        <w:rPr>
          <w:rFonts w:hint="default" w:ascii="Times New Roman" w:hAnsi="Times New Roman" w:eastAsia="方正仿宋_GB2312" w:cs="Times New Roman"/>
          <w:kern w:val="32"/>
          <w:sz w:val="32"/>
          <w:szCs w:val="32"/>
          <w:lang w:val="en-US" w:eastAsia="zh-CN"/>
        </w:rPr>
        <w:t>作为“东数西算”全国十大集群之一，是华南唯一国家数据中心集群，为承接大湾区乃至全国算力需求提供了战略支撑。</w:t>
      </w:r>
      <w:r>
        <w:rPr>
          <w:rFonts w:hint="default" w:ascii="Times New Roman" w:hAnsi="Times New Roman" w:eastAsia="方正仿宋_GB2312" w:cs="Times New Roman"/>
          <w:b w:val="0"/>
          <w:bCs w:val="0"/>
          <w:sz w:val="32"/>
          <w:szCs w:val="32"/>
          <w:lang w:val="en-US" w:eastAsia="zh-CN"/>
        </w:rPr>
        <w:t>省级层面来看，2022年</w:t>
      </w:r>
      <w:r>
        <w:rPr>
          <w:rFonts w:hint="default" w:ascii="Times New Roman" w:hAnsi="Times New Roman" w:eastAsia="方正仿宋_GB2312" w:cs="Times New Roman"/>
          <w:kern w:val="32"/>
          <w:sz w:val="32"/>
          <w:szCs w:val="32"/>
          <w:lang w:val="en-US" w:eastAsia="zh-CN"/>
        </w:rPr>
        <w:t>广东省人民政府办公厅印发的</w:t>
      </w:r>
      <w:r>
        <w:rPr>
          <w:rFonts w:hint="default" w:ascii="Times New Roman" w:hAnsi="Times New Roman" w:eastAsia="方正仿宋_GB2312" w:cs="Times New Roman"/>
          <w:b w:val="0"/>
          <w:bCs w:val="0"/>
          <w:sz w:val="32"/>
          <w:szCs w:val="32"/>
          <w:lang w:val="en-US" w:eastAsia="zh-CN"/>
        </w:rPr>
        <w:t>《关于支持韶关建设国家老工业城市和资源型城市产业转型升级示范区若干意见的通知》明确提出，引导全省大型、超大型数据中心项目向韶关数据中心集群集聚，构建辐射华南乃至全国的实时性算力中心。《广东省国民经济和社会发展第十五个五年规划纲要》亦强调，加快韶关数据中心集群建设，强化粤港澳大湾区人工智能发展智能算力支撑，支持建设实时性算力中心和边缘计算节点。此外，</w:t>
      </w:r>
      <w:r>
        <w:rPr>
          <w:rFonts w:hint="default" w:ascii="Times New Roman" w:hAnsi="Times New Roman" w:eastAsia="方正仿宋_GB2312" w:cs="Times New Roman"/>
          <w:kern w:val="32"/>
          <w:sz w:val="32"/>
          <w:szCs w:val="32"/>
        </w:rPr>
        <w:t>国家数据局将韶关选为算力设施安全和算力监测调度两个试点，韶关与奇安信集团为韶关集群量身打造的一体化安全保障平台即将建成投产，加快构建集群</w:t>
      </w:r>
      <w:r>
        <w:rPr>
          <w:rFonts w:hint="default" w:ascii="Times New Roman" w:hAnsi="Times New Roman" w:eastAsia="方正仿宋_GB2312" w:cs="Times New Roman"/>
          <w:kern w:val="32"/>
          <w:sz w:val="32"/>
          <w:szCs w:val="32"/>
          <w:lang w:eastAsia="zh-CN"/>
        </w:rPr>
        <w:t>－</w:t>
      </w:r>
      <w:r>
        <w:rPr>
          <w:rFonts w:hint="default" w:ascii="Times New Roman" w:hAnsi="Times New Roman" w:eastAsia="方正仿宋_GB2312" w:cs="Times New Roman"/>
          <w:kern w:val="32"/>
          <w:sz w:val="32"/>
          <w:szCs w:val="32"/>
        </w:rPr>
        <w:t>数据中心两级安全防护体系，保障集群安全运行。联合软通动力建设粤港澳大湾区公共算力服务平台，可为全省数据中心提供高效算力调度服务，</w:t>
      </w:r>
      <w:r>
        <w:rPr>
          <w:rFonts w:hint="default" w:ascii="Times New Roman" w:hAnsi="Times New Roman" w:eastAsia="方正仿宋_GB2312" w:cs="Times New Roman"/>
          <w:kern w:val="32"/>
          <w:sz w:val="32"/>
          <w:szCs w:val="32"/>
          <w:lang w:eastAsia="zh-CN"/>
        </w:rPr>
        <w:t>已</w:t>
      </w:r>
      <w:r>
        <w:rPr>
          <w:rFonts w:hint="default" w:ascii="Times New Roman" w:hAnsi="Times New Roman" w:eastAsia="方正仿宋_GB2312" w:cs="Times New Roman"/>
          <w:kern w:val="32"/>
          <w:sz w:val="32"/>
          <w:szCs w:val="32"/>
        </w:rPr>
        <w:t>上线试运行，实现算力监测和调度运营。</w:t>
      </w:r>
    </w:p>
    <w:p w14:paraId="57523145">
      <w:pPr>
        <w:keepNext w:val="0"/>
        <w:keepLines w:val="0"/>
        <w:pageBreakBefore w:val="0"/>
        <w:widowControl/>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kern w:val="32"/>
          <w:sz w:val="32"/>
          <w:szCs w:val="32"/>
          <w:lang w:val="en-US" w:eastAsia="zh-CN"/>
        </w:rPr>
      </w:pPr>
      <w:r>
        <w:rPr>
          <w:rFonts w:hint="default" w:ascii="Times New Roman" w:hAnsi="Times New Roman" w:eastAsia="方正仿宋_GB2312" w:cs="Times New Roman"/>
          <w:b/>
          <w:bCs/>
          <w:kern w:val="32"/>
          <w:sz w:val="32"/>
          <w:szCs w:val="32"/>
          <w:lang w:val="en-US" w:eastAsia="zh-CN"/>
        </w:rPr>
        <w:t>相较于其他数据中心节点，</w:t>
      </w:r>
      <w:r>
        <w:rPr>
          <w:rFonts w:hint="default" w:ascii="Times New Roman" w:hAnsi="Times New Roman" w:eastAsia="方正仿宋_GB2312" w:cs="Times New Roman"/>
          <w:b/>
          <w:bCs/>
          <w:kern w:val="32"/>
          <w:sz w:val="32"/>
          <w:szCs w:val="32"/>
        </w:rPr>
        <w:t>韶关</w:t>
      </w:r>
      <w:r>
        <w:rPr>
          <w:rFonts w:hint="default" w:ascii="Times New Roman" w:hAnsi="Times New Roman" w:eastAsia="方正仿宋_GB2312" w:cs="Times New Roman"/>
          <w:b/>
          <w:bCs/>
          <w:kern w:val="32"/>
          <w:sz w:val="32"/>
          <w:szCs w:val="32"/>
          <w:lang w:val="en-US" w:eastAsia="zh-CN"/>
        </w:rPr>
        <w:t>具有</w:t>
      </w:r>
      <w:r>
        <w:rPr>
          <w:rFonts w:hint="default" w:ascii="Times New Roman" w:hAnsi="Times New Roman" w:eastAsia="方正仿宋_GB2312" w:cs="Times New Roman"/>
          <w:b/>
          <w:bCs/>
          <w:kern w:val="32"/>
          <w:sz w:val="32"/>
          <w:szCs w:val="32"/>
        </w:rPr>
        <w:t>区位禀赋与制度先发优势。一方面，韶关具备“低时延+高消纳”的区位优势。</w:t>
      </w:r>
      <w:r>
        <w:rPr>
          <w:rFonts w:hint="default" w:ascii="Times New Roman" w:hAnsi="Times New Roman" w:eastAsia="方正仿宋_GB2312" w:cs="Times New Roman"/>
          <w:kern w:val="32"/>
          <w:sz w:val="32"/>
          <w:szCs w:val="32"/>
        </w:rPr>
        <w:t>随着粤港澳大湾区数字经济与人工智能产业蓬勃发展，海量高频的实时算力需求日益凸显。作为距离大湾区最近的国家集群，韶关至广深单向时延已降至1.3ms-1.66ms，深广韶数据大通道建成后更将压缩至1.2ms。这种“毫秒级”极速响应能力是西部节点难以企及的，完美契合大湾区低时延业务需求，具备极高的算力就近消纳潜力。</w:t>
      </w:r>
      <w:r>
        <w:rPr>
          <w:rFonts w:hint="default" w:ascii="Times New Roman" w:hAnsi="Times New Roman" w:eastAsia="方正仿宋_GB2312" w:cs="Times New Roman"/>
          <w:b/>
          <w:bCs/>
          <w:kern w:val="32"/>
          <w:sz w:val="32"/>
          <w:szCs w:val="32"/>
        </w:rPr>
        <w:t>另一方面，韶关具备先行先试的“制度与跨境流通”优势。</w:t>
      </w:r>
      <w:r>
        <w:rPr>
          <w:rFonts w:hint="default" w:ascii="Times New Roman" w:hAnsi="Times New Roman" w:eastAsia="方正仿宋_GB2312" w:cs="Times New Roman"/>
          <w:kern w:val="32"/>
          <w:sz w:val="32"/>
          <w:szCs w:val="32"/>
        </w:rPr>
        <w:t>作为全国十大算力集群中唯一获批开展“来数加工”业务的国家枢纽节点，韶关从源头上扫清了数据跨境流通的合规障碍。依托这一特殊定位，韶关全面打通连接港澳的数据安全通道，率先探索“港数韶算、澳数韶算”模式，在承接港澳及海外数据加工处理需求方面抢占了制度先机，形成了其他集群</w:t>
      </w:r>
      <w:r>
        <w:rPr>
          <w:rFonts w:hint="eastAsia" w:ascii="Times New Roman" w:hAnsi="Times New Roman" w:eastAsia="方正仿宋_GB2312" w:cs="Times New Roman"/>
          <w:kern w:val="32"/>
          <w:sz w:val="32"/>
          <w:szCs w:val="32"/>
          <w:lang w:val="en-US" w:eastAsia="zh-CN"/>
        </w:rPr>
        <w:t>难以</w:t>
      </w:r>
      <w:r>
        <w:rPr>
          <w:rFonts w:hint="default" w:ascii="Times New Roman" w:hAnsi="Times New Roman" w:eastAsia="方正仿宋_GB2312" w:cs="Times New Roman"/>
          <w:kern w:val="32"/>
          <w:sz w:val="32"/>
          <w:szCs w:val="32"/>
        </w:rPr>
        <w:t>比拟的差异化竞争力。</w:t>
      </w:r>
    </w:p>
    <w:p w14:paraId="4C7CCE5C">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rPr>
      </w:pPr>
      <w:bookmarkStart w:id="2" w:name="_Toc23178"/>
      <w:r>
        <w:rPr>
          <w:rFonts w:hint="default" w:ascii="Times New Roman" w:hAnsi="Times New Roman" w:eastAsia="楷体_GB2312" w:cs="Times New Roman"/>
        </w:rPr>
        <w:t>（二）面临形势</w:t>
      </w:r>
      <w:bookmarkEnd w:id="2"/>
    </w:p>
    <w:p w14:paraId="123E3834">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0" w:firstLineChars="200"/>
        <w:jc w:val="both"/>
        <w:textAlignment w:val="auto"/>
        <w:outlineLvl w:val="2"/>
        <w:rPr>
          <w:rFonts w:hint="default" w:ascii="Times New Roman" w:hAnsi="Times New Roman" w:eastAsia="方正仿宋_GB2312" w:cs="Times New Roman"/>
          <w:b w:val="0"/>
          <w:bCs w:val="0"/>
          <w:color w:val="000000"/>
          <w:kern w:val="0"/>
          <w:sz w:val="32"/>
          <w:szCs w:val="27"/>
          <w:lang w:val="en-US" w:eastAsia="zh-CN"/>
        </w:rPr>
      </w:pPr>
      <w:r>
        <w:rPr>
          <w:rFonts w:hint="default" w:ascii="Times New Roman" w:hAnsi="Times New Roman" w:eastAsia="方正仿宋_GB2312" w:cs="Times New Roman"/>
          <w:b w:val="0"/>
          <w:bCs w:val="0"/>
          <w:color w:val="000000"/>
          <w:kern w:val="0"/>
          <w:sz w:val="32"/>
          <w:szCs w:val="27"/>
          <w:lang w:val="en-US" w:eastAsia="zh-CN"/>
        </w:rPr>
        <w:t>1、机遇分析</w:t>
      </w:r>
    </w:p>
    <w:p w14:paraId="0F2D7645">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default" w:ascii="Times New Roman" w:hAnsi="Times New Roman" w:eastAsia="方正仿宋_GB2312" w:cs="Times New Roman"/>
          <w:color w:val="000000"/>
          <w:kern w:val="0"/>
          <w:sz w:val="32"/>
          <w:szCs w:val="27"/>
          <w:lang w:val="en-US" w:eastAsia="zh-CN"/>
        </w:rPr>
      </w:pPr>
      <w:r>
        <w:rPr>
          <w:rFonts w:hint="default" w:ascii="Times New Roman" w:hAnsi="Times New Roman" w:eastAsia="方正仿宋_GB2312" w:cs="Times New Roman"/>
          <w:b/>
          <w:bCs/>
          <w:color w:val="000000"/>
          <w:kern w:val="0"/>
          <w:sz w:val="32"/>
          <w:szCs w:val="27"/>
          <w:lang w:val="en-US" w:eastAsia="zh-CN"/>
        </w:rPr>
        <w:t>垂直应用场景持续丰富：从“通用算力”向“场景算力”的差异化突围。</w:t>
      </w:r>
      <w:r>
        <w:rPr>
          <w:rFonts w:hint="default" w:ascii="Times New Roman" w:hAnsi="Times New Roman" w:eastAsia="方正仿宋_GB2312" w:cs="Times New Roman"/>
          <w:color w:val="000000"/>
          <w:kern w:val="0"/>
          <w:sz w:val="32"/>
          <w:szCs w:val="27"/>
          <w:lang w:val="en-US" w:eastAsia="zh-CN"/>
        </w:rPr>
        <w:t>当前，AI大模型正加速向垂直行业渗透，医疗、工业、交通等领域的应用场景日益丰富，催生了对算力需求的爆发式增长。这种需求不再局限于通用的算力资源，而是呈现出“千行千面”的差异化特征——医疗影像和数字病理切片分析需要高显存带宽，工业仿真依赖高精度计算，自动驾驶追求低时延推理。这种“场景驱动”的算力需求，为韶关发挥算力集群的支撑力提供了</w:t>
      </w:r>
      <w:r>
        <w:rPr>
          <w:rFonts w:hint="eastAsia" w:ascii="Times New Roman" w:hAnsi="Times New Roman" w:eastAsia="方正仿宋_GB2312" w:cs="Times New Roman"/>
          <w:color w:val="000000"/>
          <w:kern w:val="0"/>
          <w:sz w:val="32"/>
          <w:szCs w:val="27"/>
          <w:lang w:val="en-US" w:eastAsia="zh-CN"/>
        </w:rPr>
        <w:t>良好</w:t>
      </w:r>
      <w:r>
        <w:rPr>
          <w:rFonts w:hint="default" w:ascii="Times New Roman" w:hAnsi="Times New Roman" w:eastAsia="方正仿宋_GB2312" w:cs="Times New Roman"/>
          <w:color w:val="000000"/>
          <w:kern w:val="0"/>
          <w:sz w:val="32"/>
          <w:szCs w:val="27"/>
          <w:lang w:val="en-US" w:eastAsia="zh-CN"/>
        </w:rPr>
        <w:t>机会。韶关可以依托南方试验场的自动驾驶测试、凡口矿的工业智能监测、丹霞山的文旅数字化应用等本地垂直场景，将算力集群与具体行业需求深度绑定。通过为这些场景提供定制化的算力解决方案，韶关既能满足垂直行业对算力的差异化需求，又能将自身的算力资源优势转化为产业竞争优势，实现从“算力供给者”到“场景算力服务商”的转型。</w:t>
      </w:r>
    </w:p>
    <w:p w14:paraId="3AE438D9">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default" w:ascii="Times New Roman" w:hAnsi="Times New Roman" w:eastAsia="方正仿宋_GB2312" w:cs="Times New Roman"/>
          <w:b w:val="0"/>
          <w:bCs w:val="0"/>
          <w:color w:val="000000"/>
          <w:kern w:val="0"/>
          <w:sz w:val="32"/>
          <w:szCs w:val="27"/>
          <w:lang w:val="en-US" w:eastAsia="zh-CN"/>
        </w:rPr>
      </w:pPr>
      <w:r>
        <w:rPr>
          <w:rFonts w:hint="default" w:ascii="Times New Roman" w:hAnsi="Times New Roman" w:eastAsia="方正仿宋_GB2312" w:cs="Times New Roman"/>
          <w:b/>
          <w:bCs/>
          <w:color w:val="000000"/>
          <w:kern w:val="0"/>
          <w:sz w:val="32"/>
          <w:szCs w:val="27"/>
          <w:lang w:val="en-US" w:eastAsia="zh-CN"/>
        </w:rPr>
        <w:t>国产算力生态正迎来爆发式增长的历史性机遇。</w:t>
      </w:r>
      <w:r>
        <w:rPr>
          <w:rFonts w:hint="default" w:ascii="Times New Roman" w:hAnsi="Times New Roman" w:eastAsia="方正仿宋_GB2312" w:cs="Times New Roman"/>
          <w:b w:val="0"/>
          <w:bCs w:val="0"/>
          <w:color w:val="000000"/>
          <w:kern w:val="0"/>
          <w:sz w:val="32"/>
          <w:szCs w:val="27"/>
          <w:lang w:val="en-US" w:eastAsia="zh-CN"/>
        </w:rPr>
        <w:t>当前，人工智能大模型正由千亿参数向万亿参数跨越，算力需求呈指数级增长。同时，受海外高端算力供给受限影响，国产算力生态迎来了前所未有的发展窗口期。这种“国芯训国模”的刚性需求，为韶关进一步释放算力集群效能提供了战略窗口。韶关无需在通用大模型训练上与广深硬碰硬，而是可以依托已建成的全国产昇腾万卡智算集群，将算力集群与国产硬件适配深度绑定。通过为国产芯片提供万卡级规模化高强度训练，有效破解国产硬件适配难、超大模型训练不稳等行业痛点，韶关既能满足国家对自主可控算力的迫切需求，又能将自身的算力资源优势转化为产业竞争优势，实现从“算力供给者”到“国产算力生态试验场”的转型。</w:t>
      </w:r>
    </w:p>
    <w:p w14:paraId="56D2FF04">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default" w:ascii="Times New Roman" w:hAnsi="Times New Roman" w:eastAsia="方正仿宋_GB2312" w:cs="Times New Roman"/>
          <w:b w:val="0"/>
          <w:bCs w:val="0"/>
          <w:color w:val="000000"/>
          <w:kern w:val="0"/>
          <w:sz w:val="32"/>
          <w:szCs w:val="27"/>
          <w:lang w:val="en-US" w:eastAsia="zh-CN"/>
        </w:rPr>
      </w:pPr>
      <w:r>
        <w:rPr>
          <w:rFonts w:hint="default" w:ascii="Times New Roman" w:hAnsi="Times New Roman" w:eastAsia="方正仿宋_GB2312" w:cs="Times New Roman"/>
          <w:b/>
          <w:bCs/>
          <w:color w:val="000000"/>
          <w:kern w:val="0"/>
          <w:sz w:val="32"/>
          <w:szCs w:val="27"/>
          <w:lang w:val="en-US" w:eastAsia="zh-CN"/>
        </w:rPr>
        <w:t>AI算力基建正强力拉动上游高端电子元器件及新材料产业的协同升级。</w:t>
      </w:r>
      <w:r>
        <w:rPr>
          <w:rFonts w:hint="default" w:ascii="Times New Roman" w:hAnsi="Times New Roman" w:eastAsia="方正仿宋_GB2312" w:cs="Times New Roman"/>
          <w:b w:val="0"/>
          <w:bCs w:val="0"/>
          <w:color w:val="000000"/>
          <w:kern w:val="0"/>
          <w:sz w:val="32"/>
          <w:szCs w:val="27"/>
          <w:lang w:val="en-US" w:eastAsia="zh-CN"/>
        </w:rPr>
        <w:t>随着人工智能的迅猛发展，AI算力基础设施的大规模建设催生出庞大的增量市场，算力产业竞争已延伸至上游核心元器件与关键材料。这种“算力牵引”的产业升级需求，</w:t>
      </w:r>
      <w:r>
        <w:rPr>
          <w:rFonts w:hint="eastAsia" w:ascii="Times New Roman" w:hAnsi="Times New Roman" w:eastAsia="方正仿宋_GB2312" w:cs="Times New Roman"/>
          <w:b w:val="0"/>
          <w:bCs w:val="0"/>
          <w:color w:val="000000"/>
          <w:kern w:val="0"/>
          <w:sz w:val="32"/>
          <w:szCs w:val="27"/>
          <w:lang w:val="en-US" w:eastAsia="zh-CN"/>
        </w:rPr>
        <w:t>是</w:t>
      </w:r>
      <w:r>
        <w:rPr>
          <w:rFonts w:hint="default" w:ascii="Times New Roman" w:hAnsi="Times New Roman" w:eastAsia="方正仿宋_GB2312" w:cs="Times New Roman"/>
          <w:b w:val="0"/>
          <w:bCs w:val="0"/>
          <w:color w:val="000000"/>
          <w:kern w:val="0"/>
          <w:sz w:val="32"/>
          <w:szCs w:val="27"/>
          <w:lang w:val="en-US" w:eastAsia="zh-CN"/>
        </w:rPr>
        <w:t>韶关发挥传统工业基础优势</w:t>
      </w:r>
      <w:r>
        <w:rPr>
          <w:rFonts w:hint="eastAsia" w:ascii="Times New Roman" w:hAnsi="Times New Roman" w:eastAsia="方正仿宋_GB2312" w:cs="Times New Roman"/>
          <w:b w:val="0"/>
          <w:bCs w:val="0"/>
          <w:color w:val="000000"/>
          <w:kern w:val="0"/>
          <w:sz w:val="32"/>
          <w:szCs w:val="27"/>
          <w:lang w:val="en-US" w:eastAsia="zh-CN"/>
        </w:rPr>
        <w:t>的重要机遇</w:t>
      </w:r>
      <w:r>
        <w:rPr>
          <w:rFonts w:hint="default" w:ascii="Times New Roman" w:hAnsi="Times New Roman" w:eastAsia="方正仿宋_GB2312" w:cs="Times New Roman"/>
          <w:b w:val="0"/>
          <w:bCs w:val="0"/>
          <w:color w:val="000000"/>
          <w:kern w:val="0"/>
          <w:sz w:val="32"/>
          <w:szCs w:val="27"/>
          <w:lang w:val="en-US" w:eastAsia="zh-CN"/>
        </w:rPr>
        <w:t>。韶关</w:t>
      </w:r>
      <w:r>
        <w:rPr>
          <w:rFonts w:hint="eastAsia" w:ascii="Times New Roman" w:hAnsi="Times New Roman" w:eastAsia="方正仿宋_GB2312" w:cs="Times New Roman"/>
          <w:b w:val="0"/>
          <w:bCs w:val="0"/>
          <w:color w:val="000000"/>
          <w:kern w:val="0"/>
          <w:sz w:val="32"/>
          <w:szCs w:val="27"/>
          <w:lang w:val="en-US" w:eastAsia="zh-CN"/>
        </w:rPr>
        <w:t>不必</w:t>
      </w:r>
      <w:r>
        <w:rPr>
          <w:rFonts w:hint="default" w:ascii="Times New Roman" w:hAnsi="Times New Roman" w:eastAsia="方正仿宋_GB2312" w:cs="Times New Roman"/>
          <w:b w:val="0"/>
          <w:bCs w:val="0"/>
          <w:color w:val="000000"/>
          <w:kern w:val="0"/>
          <w:sz w:val="32"/>
          <w:szCs w:val="27"/>
          <w:lang w:val="en-US" w:eastAsia="zh-CN"/>
        </w:rPr>
        <w:t>在通用硬件制造上与沿海城市同质化竞争，而是可以依托算力集群建设，将算力发展与本地电子信息、新材料产业深度绑定。</w:t>
      </w:r>
      <w:r>
        <w:rPr>
          <w:rFonts w:hint="eastAsia" w:ascii="Times New Roman" w:hAnsi="Times New Roman" w:eastAsia="方正仿宋_GB2312" w:cs="Times New Roman"/>
          <w:b w:val="0"/>
          <w:bCs w:val="0"/>
          <w:color w:val="000000"/>
          <w:kern w:val="0"/>
          <w:sz w:val="32"/>
          <w:szCs w:val="27"/>
          <w:lang w:val="en-US" w:eastAsia="zh-CN"/>
        </w:rPr>
        <w:t>韶关可以</w:t>
      </w:r>
      <w:r>
        <w:rPr>
          <w:rFonts w:hint="default" w:ascii="Times New Roman" w:hAnsi="Times New Roman" w:eastAsia="方正仿宋_GB2312" w:cs="Times New Roman"/>
          <w:b w:val="0"/>
          <w:bCs w:val="0"/>
          <w:color w:val="000000"/>
          <w:kern w:val="0"/>
          <w:sz w:val="32"/>
          <w:szCs w:val="27"/>
          <w:lang w:val="en-US" w:eastAsia="zh-CN"/>
        </w:rPr>
        <w:t>通过吸引华天科技、朗科等企业</w:t>
      </w:r>
      <w:r>
        <w:rPr>
          <w:rFonts w:hint="eastAsia" w:ascii="Times New Roman" w:hAnsi="Times New Roman" w:eastAsia="方正仿宋_GB2312" w:cs="Times New Roman"/>
          <w:b w:val="0"/>
          <w:bCs w:val="0"/>
          <w:color w:val="000000"/>
          <w:kern w:val="0"/>
          <w:sz w:val="32"/>
          <w:szCs w:val="27"/>
          <w:lang w:val="en-US" w:eastAsia="zh-CN"/>
        </w:rPr>
        <w:t>布局芯片封测、</w:t>
      </w:r>
      <w:r>
        <w:rPr>
          <w:rFonts w:hint="default" w:ascii="Times New Roman" w:hAnsi="Times New Roman" w:eastAsia="方正仿宋_GB2312" w:cs="Times New Roman"/>
          <w:b w:val="0"/>
          <w:bCs w:val="0"/>
          <w:color w:val="000000"/>
          <w:kern w:val="0"/>
          <w:sz w:val="32"/>
          <w:szCs w:val="27"/>
          <w:lang w:val="en-US" w:eastAsia="zh-CN"/>
        </w:rPr>
        <w:t>服务器等</w:t>
      </w:r>
      <w:r>
        <w:rPr>
          <w:rFonts w:hint="eastAsia" w:ascii="Times New Roman" w:hAnsi="Times New Roman" w:eastAsia="方正仿宋_GB2312" w:cs="Times New Roman"/>
          <w:b w:val="0"/>
          <w:bCs w:val="0"/>
          <w:color w:val="000000"/>
          <w:kern w:val="0"/>
          <w:sz w:val="32"/>
          <w:szCs w:val="27"/>
          <w:lang w:val="en-US" w:eastAsia="zh-CN"/>
        </w:rPr>
        <w:t>算力上游</w:t>
      </w:r>
      <w:r>
        <w:rPr>
          <w:rFonts w:hint="default" w:ascii="Times New Roman" w:hAnsi="Times New Roman" w:eastAsia="方正仿宋_GB2312" w:cs="Times New Roman"/>
          <w:b w:val="0"/>
          <w:bCs w:val="0"/>
          <w:color w:val="000000"/>
          <w:kern w:val="0"/>
          <w:sz w:val="32"/>
          <w:szCs w:val="27"/>
          <w:lang w:val="en-US" w:eastAsia="zh-CN"/>
        </w:rPr>
        <w:t>核心硬件</w:t>
      </w:r>
      <w:r>
        <w:rPr>
          <w:rFonts w:hint="eastAsia" w:ascii="Times New Roman" w:hAnsi="Times New Roman" w:eastAsia="方正仿宋_GB2312" w:cs="Times New Roman"/>
          <w:b w:val="0"/>
          <w:bCs w:val="0"/>
          <w:color w:val="000000"/>
          <w:kern w:val="0"/>
          <w:sz w:val="32"/>
          <w:szCs w:val="27"/>
          <w:lang w:val="en-US" w:eastAsia="zh-CN"/>
        </w:rPr>
        <w:t>环节</w:t>
      </w:r>
      <w:r>
        <w:rPr>
          <w:rFonts w:hint="default" w:ascii="Times New Roman" w:hAnsi="Times New Roman" w:eastAsia="方正仿宋_GB2312" w:cs="Times New Roman"/>
          <w:b w:val="0"/>
          <w:bCs w:val="0"/>
          <w:color w:val="000000"/>
          <w:kern w:val="0"/>
          <w:sz w:val="32"/>
          <w:szCs w:val="27"/>
          <w:lang w:val="en-US" w:eastAsia="zh-CN"/>
        </w:rPr>
        <w:t>，</w:t>
      </w:r>
      <w:r>
        <w:rPr>
          <w:rFonts w:hint="eastAsia" w:ascii="Times New Roman" w:hAnsi="Times New Roman" w:eastAsia="方正仿宋_GB2312" w:cs="Times New Roman"/>
          <w:b w:val="0"/>
          <w:bCs w:val="0"/>
          <w:color w:val="000000"/>
          <w:kern w:val="0"/>
          <w:sz w:val="32"/>
          <w:szCs w:val="27"/>
          <w:lang w:val="en-US" w:eastAsia="zh-CN"/>
        </w:rPr>
        <w:t>依托</w:t>
      </w:r>
      <w:r>
        <w:rPr>
          <w:rFonts w:hint="default" w:ascii="Times New Roman" w:hAnsi="Times New Roman" w:eastAsia="方正仿宋_GB2312" w:cs="Times New Roman"/>
          <w:b w:val="0"/>
          <w:bCs w:val="0"/>
          <w:color w:val="000000"/>
          <w:kern w:val="0"/>
          <w:sz w:val="32"/>
          <w:szCs w:val="27"/>
          <w:lang w:val="en-US" w:eastAsia="zh-CN"/>
        </w:rPr>
        <w:t>东阳光、</w:t>
      </w:r>
      <w:r>
        <w:rPr>
          <w:rFonts w:hint="eastAsia" w:ascii="Times New Roman" w:hAnsi="Times New Roman" w:eastAsia="方正仿宋_GB2312" w:cs="Times New Roman"/>
          <w:b w:val="0"/>
          <w:bCs w:val="0"/>
          <w:color w:val="000000"/>
          <w:kern w:val="0"/>
          <w:sz w:val="32"/>
          <w:szCs w:val="27"/>
          <w:lang w:val="en-US" w:eastAsia="zh-CN"/>
        </w:rPr>
        <w:t>欧莱</w:t>
      </w:r>
      <w:r>
        <w:rPr>
          <w:rFonts w:hint="default" w:ascii="Times New Roman" w:hAnsi="Times New Roman" w:eastAsia="方正仿宋_GB2312" w:cs="Times New Roman"/>
          <w:b w:val="0"/>
          <w:bCs w:val="0"/>
          <w:color w:val="000000"/>
          <w:kern w:val="0"/>
          <w:sz w:val="32"/>
          <w:szCs w:val="27"/>
          <w:lang w:val="en-US" w:eastAsia="zh-CN"/>
        </w:rPr>
        <w:t>等新材料企业量产</w:t>
      </w:r>
      <w:r>
        <w:rPr>
          <w:rFonts w:hint="eastAsia" w:ascii="Times New Roman" w:hAnsi="Times New Roman" w:eastAsia="方正仿宋_GB2312" w:cs="Times New Roman"/>
          <w:b w:val="0"/>
          <w:bCs w:val="0"/>
          <w:color w:val="000000"/>
          <w:kern w:val="0"/>
          <w:sz w:val="32"/>
          <w:szCs w:val="27"/>
          <w:lang w:val="en-US" w:eastAsia="zh-CN"/>
        </w:rPr>
        <w:t>制冷剂</w:t>
      </w:r>
      <w:r>
        <w:rPr>
          <w:rFonts w:hint="default" w:ascii="Times New Roman" w:hAnsi="Times New Roman" w:eastAsia="方正仿宋_GB2312" w:cs="Times New Roman"/>
          <w:b w:val="0"/>
          <w:bCs w:val="0"/>
          <w:color w:val="000000"/>
          <w:kern w:val="0"/>
          <w:sz w:val="32"/>
          <w:szCs w:val="27"/>
          <w:lang w:val="en-US" w:eastAsia="zh-CN"/>
        </w:rPr>
        <w:t>、高端靶材等关键配套产品，既能满足算力基建对关键元器件的迫切需求，又能将自身的资源优势转化为产业竞争优势，实现从传统工业老城到华南核心智算高地的跨越。</w:t>
      </w:r>
    </w:p>
    <w:p w14:paraId="0873BCC0">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3" w:firstLineChars="200"/>
        <w:jc w:val="both"/>
        <w:textAlignment w:val="auto"/>
        <w:outlineLvl w:val="9"/>
        <w:rPr>
          <w:rFonts w:hint="default" w:ascii="Times New Roman" w:hAnsi="Times New Roman" w:eastAsia="方正仿宋_GB2312" w:cs="Times New Roman"/>
          <w:color w:val="000000"/>
          <w:kern w:val="0"/>
          <w:sz w:val="32"/>
          <w:szCs w:val="27"/>
          <w:lang w:val="en-US" w:eastAsia="zh-CN"/>
        </w:rPr>
      </w:pPr>
      <w:r>
        <w:rPr>
          <w:rFonts w:hint="default" w:ascii="Times New Roman" w:hAnsi="Times New Roman" w:eastAsia="方正仿宋_GB2312" w:cs="Times New Roman"/>
          <w:b/>
          <w:bCs/>
          <w:color w:val="000000"/>
          <w:kern w:val="0"/>
          <w:sz w:val="32"/>
          <w:szCs w:val="27"/>
          <w:lang w:val="en-US" w:eastAsia="zh-CN"/>
        </w:rPr>
        <w:t>大湾区深度协同：构建“前店后厂”的产业共同体。</w:t>
      </w:r>
      <w:r>
        <w:rPr>
          <w:rFonts w:hint="default" w:ascii="Times New Roman" w:hAnsi="Times New Roman" w:eastAsia="方正仿宋_GB2312" w:cs="Times New Roman"/>
          <w:color w:val="000000"/>
          <w:kern w:val="0"/>
          <w:sz w:val="32"/>
          <w:szCs w:val="27"/>
          <w:lang w:val="en-US" w:eastAsia="zh-CN"/>
        </w:rPr>
        <w:t>大湾区内部城市竞争正转向“竞合”，广深莞急需向外疏解“重资产、高能耗”环节，跨区域协同发展从口号变为刚需。韶关已通过机制创新主动嵌入大湾区产业链核心——2026年5月揭牌成立的“东莞—韶关算力产业协同发展示范基地”，标志着“东莞研发+韶关算力”模式进入运营阶段；通过1-3毫秒低时延网络和跨区域算力调度平台，韶关正消除地理距离感，成为大湾区数字经济版图中不可或缺的“后台工厂”，直接利用广深技术溢出形成“你中有我，我中有你”的利益共同体。</w:t>
      </w:r>
    </w:p>
    <w:p w14:paraId="654DCE44">
      <w:pPr>
        <w:keepNext w:val="0"/>
        <w:keepLines w:val="0"/>
        <w:pageBreakBefore w:val="0"/>
        <w:widowControl w:val="0"/>
        <w:numPr>
          <w:ilvl w:val="0"/>
          <w:numId w:val="0"/>
        </w:numPr>
        <w:pBdr>
          <w:top w:val="none" w:color="000000" w:sz="0" w:space="0"/>
          <w:left w:val="none" w:color="000000" w:sz="0" w:space="0"/>
          <w:bottom w:val="none" w:color="000000" w:sz="0" w:space="15"/>
          <w:right w:val="none" w:color="000000" w:sz="0" w:space="2"/>
        </w:pBdr>
        <w:shd w:val="clear" w:color="auto" w:fill="auto"/>
        <w:tabs>
          <w:tab w:val="left" w:pos="7387"/>
        </w:tabs>
        <w:kinsoku/>
        <w:wordWrap/>
        <w:overflowPunct w:val="0"/>
        <w:topLinePunct w:val="0"/>
        <w:autoSpaceDE/>
        <w:autoSpaceDN/>
        <w:bidi w:val="0"/>
        <w:adjustRightInd w:val="0"/>
        <w:snapToGrid w:val="0"/>
        <w:spacing w:line="560" w:lineRule="exact"/>
        <w:ind w:left="0" w:leftChars="0" w:right="0" w:rightChars="0" w:firstLine="640" w:firstLineChars="200"/>
        <w:jc w:val="both"/>
        <w:textAlignment w:val="auto"/>
        <w:outlineLvl w:val="2"/>
        <w:rPr>
          <w:rFonts w:hint="default" w:ascii="Times New Roman" w:hAnsi="Times New Roman" w:eastAsia="方正仿宋_GB2312" w:cs="Times New Roman"/>
          <w:b w:val="0"/>
          <w:bCs w:val="0"/>
          <w:color w:val="000000"/>
          <w:kern w:val="0"/>
          <w:sz w:val="32"/>
          <w:szCs w:val="27"/>
          <w:lang w:val="en-US" w:eastAsia="zh-CN" w:bidi="ar-SA"/>
        </w:rPr>
      </w:pPr>
      <w:bookmarkStart w:id="3" w:name="_Toc29537"/>
      <w:r>
        <w:rPr>
          <w:rFonts w:hint="default" w:ascii="Times New Roman" w:hAnsi="Times New Roman" w:eastAsia="方正仿宋_GB2312" w:cs="Times New Roman"/>
          <w:b w:val="0"/>
          <w:bCs w:val="0"/>
          <w:color w:val="000000"/>
          <w:kern w:val="0"/>
          <w:sz w:val="32"/>
          <w:szCs w:val="27"/>
          <w:lang w:val="en-US" w:eastAsia="zh-CN" w:bidi="ar-SA"/>
        </w:rPr>
        <w:t>2、问题挑战</w:t>
      </w:r>
      <w:bookmarkEnd w:id="3"/>
    </w:p>
    <w:p w14:paraId="7B576C67">
      <w:pPr>
        <w:keepNext w:val="0"/>
        <w:keepLines w:val="0"/>
        <w:pageBreakBefore w:val="0"/>
        <w:pBdr>
          <w:top w:val="none" w:color="000000" w:sz="0" w:space="0"/>
          <w:left w:val="none" w:color="000000" w:sz="0" w:space="0"/>
          <w:bottom w:val="none" w:color="000000" w:sz="0" w:space="15"/>
          <w:right w:val="none" w:color="000000" w:sz="0" w:space="2"/>
        </w:pBdr>
        <w:tabs>
          <w:tab w:val="left" w:pos="7387"/>
        </w:tabs>
        <w:kinsoku/>
        <w:wordWrap/>
        <w:overflowPunct w:val="0"/>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val="0"/>
          <w:bCs w:val="0"/>
          <w:color w:val="000000"/>
          <w:kern w:val="0"/>
          <w:sz w:val="32"/>
          <w:szCs w:val="27"/>
        </w:rPr>
      </w:pPr>
      <w:r>
        <w:rPr>
          <w:rFonts w:hint="default" w:ascii="Times New Roman" w:hAnsi="Times New Roman" w:eastAsia="方正仿宋_GB2312" w:cs="Times New Roman"/>
          <w:b/>
          <w:bCs/>
          <w:color w:val="000000"/>
          <w:kern w:val="0"/>
          <w:sz w:val="32"/>
          <w:szCs w:val="27"/>
        </w:rPr>
        <w:t>算力需求不及预期或致资源闲置。</w:t>
      </w:r>
      <w:r>
        <w:rPr>
          <w:rFonts w:hint="default" w:ascii="Times New Roman" w:hAnsi="Times New Roman" w:eastAsia="方正仿宋_GB2312" w:cs="Times New Roman"/>
          <w:b w:val="0"/>
          <w:bCs w:val="0"/>
          <w:color w:val="000000"/>
          <w:kern w:val="0"/>
          <w:sz w:val="32"/>
          <w:szCs w:val="27"/>
        </w:rPr>
        <w:t>当前全国算力规划规模庞大，但已上线智算中心整体利用率仅约32%，存在明显的结构性偏差。韶关虽地处大湾区周边，但本地原生算力场景严重不足，本地工业企业尚未大规模定制化使用算力。若大湾区实时推理与近场训练需求释放缓慢，或西部节点持续分流低成本算力需求，韶关可能面临算力规模扩张速度远超产业生态承载能力的风险，导致部分数据中心建成后利用率低下，陷入“有算力、无客户”的阶段性瓶颈。</w:t>
      </w:r>
    </w:p>
    <w:p w14:paraId="3DAD704B">
      <w:pPr>
        <w:keepNext w:val="0"/>
        <w:keepLines w:val="0"/>
        <w:pageBreakBefore w:val="0"/>
        <w:pBdr>
          <w:top w:val="none" w:color="000000" w:sz="0" w:space="0"/>
          <w:left w:val="none" w:color="000000" w:sz="0" w:space="0"/>
          <w:bottom w:val="none" w:color="000000" w:sz="0" w:space="15"/>
          <w:right w:val="none" w:color="000000" w:sz="0" w:space="2"/>
        </w:pBdr>
        <w:tabs>
          <w:tab w:val="left" w:pos="7387"/>
        </w:tabs>
        <w:kinsoku/>
        <w:wordWrap/>
        <w:overflowPunct w:val="0"/>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val="0"/>
          <w:bCs w:val="0"/>
          <w:color w:val="000000"/>
          <w:kern w:val="0"/>
          <w:sz w:val="32"/>
          <w:szCs w:val="27"/>
        </w:rPr>
      </w:pPr>
      <w:r>
        <w:rPr>
          <w:rFonts w:hint="default" w:ascii="Times New Roman" w:hAnsi="Times New Roman" w:eastAsia="方正仿宋_GB2312" w:cs="Times New Roman"/>
          <w:b/>
          <w:bCs/>
          <w:color w:val="000000"/>
          <w:kern w:val="0"/>
          <w:sz w:val="32"/>
          <w:szCs w:val="27"/>
        </w:rPr>
        <w:t>下游盈利模式不清晰制约产业闭环。</w:t>
      </w:r>
      <w:r>
        <w:rPr>
          <w:rFonts w:hint="default" w:ascii="Times New Roman" w:hAnsi="Times New Roman" w:eastAsia="方正仿宋_GB2312" w:cs="Times New Roman"/>
          <w:b w:val="0"/>
          <w:bCs w:val="0"/>
          <w:color w:val="000000"/>
          <w:kern w:val="0"/>
          <w:sz w:val="32"/>
          <w:szCs w:val="27"/>
        </w:rPr>
        <w:t>韶关算力产业当前核心业务高度集中于中游的机柜租赁和基础算力托管，本质上属于</w:t>
      </w:r>
      <w:r>
        <w:rPr>
          <w:rFonts w:hint="default" w:ascii="Times New Roman" w:hAnsi="Times New Roman" w:eastAsia="方正仿宋_GB2312" w:cs="Times New Roman"/>
          <w:b w:val="0"/>
          <w:bCs w:val="0"/>
          <w:color w:val="000000"/>
          <w:kern w:val="0"/>
          <w:sz w:val="32"/>
          <w:szCs w:val="27"/>
          <w:lang w:eastAsia="zh-CN"/>
        </w:rPr>
        <w:t>“</w:t>
      </w:r>
      <w:r>
        <w:rPr>
          <w:rFonts w:hint="default" w:ascii="Times New Roman" w:hAnsi="Times New Roman" w:eastAsia="方正仿宋_GB2312" w:cs="Times New Roman"/>
          <w:b w:val="0"/>
          <w:bCs w:val="0"/>
          <w:color w:val="000000"/>
          <w:kern w:val="0"/>
          <w:sz w:val="32"/>
          <w:szCs w:val="27"/>
        </w:rPr>
        <w:t>传统机柜租赁</w:t>
      </w:r>
      <w:r>
        <w:rPr>
          <w:rFonts w:hint="default" w:ascii="Times New Roman" w:hAnsi="Times New Roman" w:eastAsia="方正仿宋_GB2312" w:cs="Times New Roman"/>
          <w:b w:val="0"/>
          <w:bCs w:val="0"/>
          <w:color w:val="000000"/>
          <w:kern w:val="0"/>
          <w:sz w:val="32"/>
          <w:szCs w:val="27"/>
          <w:lang w:eastAsia="zh-CN"/>
        </w:rPr>
        <w:t>”</w:t>
      </w:r>
      <w:r>
        <w:rPr>
          <w:rFonts w:hint="default" w:ascii="Times New Roman" w:hAnsi="Times New Roman" w:eastAsia="方正仿宋_GB2312" w:cs="Times New Roman"/>
          <w:b w:val="0"/>
          <w:bCs w:val="0"/>
          <w:color w:val="000000"/>
          <w:kern w:val="0"/>
          <w:sz w:val="32"/>
          <w:szCs w:val="27"/>
        </w:rPr>
        <w:t>模式。由于下游的数据要素交易、大模型研发、AI应用等高附加值环节仍处于起步阶段，缺乏成体系的应用服务集群，导致算力难以切入真实生产问题。这种“卖算力容易，沉淀数据要素难”的现状，使得产业无法形成可持续的盈利闭环，对地方就业和税收的带动效应十分有限。</w:t>
      </w:r>
    </w:p>
    <w:p w14:paraId="5A94D1F6">
      <w:pPr>
        <w:keepNext w:val="0"/>
        <w:keepLines w:val="0"/>
        <w:pageBreakBefore w:val="0"/>
        <w:pBdr>
          <w:top w:val="none" w:color="000000" w:sz="0" w:space="0"/>
          <w:left w:val="none" w:color="000000" w:sz="0" w:space="0"/>
          <w:bottom w:val="none" w:color="000000" w:sz="0" w:space="15"/>
          <w:right w:val="none" w:color="000000" w:sz="0" w:space="2"/>
        </w:pBdr>
        <w:tabs>
          <w:tab w:val="left" w:pos="7387"/>
        </w:tabs>
        <w:kinsoku/>
        <w:wordWrap/>
        <w:overflowPunct w:val="0"/>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val="0"/>
          <w:bCs w:val="0"/>
          <w:color w:val="000000"/>
          <w:kern w:val="0"/>
          <w:sz w:val="32"/>
          <w:szCs w:val="27"/>
        </w:rPr>
      </w:pPr>
      <w:r>
        <w:rPr>
          <w:rFonts w:hint="default" w:ascii="Times New Roman" w:hAnsi="Times New Roman" w:eastAsia="方正仿宋_GB2312" w:cs="Times New Roman"/>
          <w:b/>
          <w:bCs/>
          <w:color w:val="000000"/>
          <w:kern w:val="0"/>
          <w:sz w:val="32"/>
          <w:szCs w:val="27"/>
        </w:rPr>
        <w:t>硬件迭代快致企业面临折旧压力。</w:t>
      </w:r>
      <w:r>
        <w:rPr>
          <w:rFonts w:hint="default" w:ascii="Times New Roman" w:hAnsi="Times New Roman" w:eastAsia="方正仿宋_GB2312" w:cs="Times New Roman"/>
          <w:b w:val="0"/>
          <w:bCs w:val="0"/>
          <w:color w:val="000000"/>
          <w:kern w:val="0"/>
          <w:sz w:val="32"/>
          <w:szCs w:val="27"/>
        </w:rPr>
        <w:t>人工智能正从CPU时代进入GPU时代，单柜功率与算力设备更新换代极快。韶关集群虽已建成多个万卡算力集群，但服务器等核心硬件设备迭代迅速，导致企业前期投入面临极高的折旧风险。若算力出租率和上架率无法快速提升，企业将承受巨大的资金回收压力。这种重资产、高折旧的特性，直接抬高了算力企业的运营成本，对韶关集群的持续运营能力和招商引资吸引力构成了严峻挑战。</w:t>
      </w:r>
    </w:p>
    <w:p w14:paraId="24E7F8A8">
      <w:pPr>
        <w:keepNext w:val="0"/>
        <w:keepLines w:val="0"/>
        <w:pageBreakBefore w:val="0"/>
        <w:pBdr>
          <w:top w:val="none" w:color="000000" w:sz="0" w:space="0"/>
          <w:left w:val="none" w:color="000000" w:sz="0" w:space="0"/>
          <w:bottom w:val="none" w:color="000000" w:sz="0" w:space="15"/>
          <w:right w:val="none" w:color="000000" w:sz="0" w:space="2"/>
        </w:pBdr>
        <w:tabs>
          <w:tab w:val="left" w:pos="7387"/>
        </w:tabs>
        <w:kinsoku/>
        <w:wordWrap/>
        <w:overflowPunct w:val="0"/>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val="0"/>
          <w:bCs w:val="0"/>
          <w:color w:val="000000"/>
          <w:kern w:val="0"/>
          <w:sz w:val="32"/>
          <w:szCs w:val="27"/>
        </w:rPr>
      </w:pPr>
      <w:r>
        <w:rPr>
          <w:rFonts w:hint="default" w:ascii="Times New Roman" w:hAnsi="Times New Roman" w:eastAsia="方正仿宋_GB2312" w:cs="Times New Roman"/>
          <w:b/>
          <w:bCs/>
          <w:color w:val="000000"/>
          <w:kern w:val="0"/>
          <w:sz w:val="32"/>
          <w:szCs w:val="27"/>
        </w:rPr>
        <w:t>产业基础与人才短板制约生态升级。</w:t>
      </w:r>
      <w:r>
        <w:rPr>
          <w:rFonts w:hint="default" w:ascii="Times New Roman" w:hAnsi="Times New Roman" w:eastAsia="方正仿宋_GB2312" w:cs="Times New Roman"/>
          <w:b w:val="0"/>
          <w:bCs w:val="0"/>
          <w:color w:val="000000"/>
          <w:kern w:val="0"/>
          <w:sz w:val="32"/>
          <w:szCs w:val="27"/>
        </w:rPr>
        <w:t>作为粤北城市，韶关的产业氛围、高端数字技术人才储备及公共服务配套与广深存在显著代差。由于本地缺乏高端人才，企业往往需要异地招工，直接抬升了用人成本。同时，韶关目前主要集中在中游数据中心，上游头部服务器整机制造缺失，下游大模型应用严重不足。这种“基建跑赢生态”的复合型困境，导致韶关在从“机房经济”向“生态经济”升级的过程中，面临着核心配套环节培育缓慢的结构性短板。</w:t>
      </w:r>
    </w:p>
    <w:p w14:paraId="3CA13739">
      <w:pPr>
        <w:keepNext w:val="0"/>
        <w:keepLines w:val="0"/>
        <w:pageBreakBefore w:val="0"/>
        <w:widowControl w:val="0"/>
        <w:pBdr>
          <w:top w:val="none" w:color="000000" w:sz="0" w:space="0"/>
          <w:left w:val="none" w:color="000000" w:sz="0" w:space="0"/>
          <w:bottom w:val="none" w:color="000000" w:sz="0" w:space="15"/>
          <w:right w:val="none" w:color="000000" w:sz="0" w:space="2"/>
        </w:pBdr>
        <w:tabs>
          <w:tab w:val="left" w:pos="7387"/>
        </w:tabs>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kern w:val="2"/>
          <w:sz w:val="32"/>
          <w:szCs w:val="32"/>
          <w:highlight w:val="none"/>
          <w:lang w:val="en-US" w:eastAsia="zh-CN" w:bidi="ar-SA"/>
        </w:rPr>
      </w:pPr>
      <w:r>
        <w:rPr>
          <w:rFonts w:hint="default" w:ascii="Times New Roman" w:hAnsi="Times New Roman" w:eastAsia="方正仿宋_GB2312" w:cs="Times New Roman"/>
          <w:b w:val="0"/>
          <w:bCs w:val="0"/>
          <w:color w:val="000000"/>
          <w:kern w:val="0"/>
          <w:sz w:val="32"/>
          <w:szCs w:val="27"/>
          <w:highlight w:val="none"/>
          <w:lang w:val="en-US" w:eastAsia="zh-CN"/>
        </w:rPr>
        <w:t>综上所述，立足“东数西算”国家战略与粤港澳大湾区数字经济蓬勃发展的双重机遇，韶关需充分发挥华南唯一国家数据中心集群的战略支点作用，将区位优势与绿色能源禀赋转化为服务湾区的核心竞争力，承接</w:t>
      </w:r>
      <w:r>
        <w:rPr>
          <w:rFonts w:hint="default" w:ascii="Times New Roman" w:hAnsi="Times New Roman" w:eastAsia="方正仿宋_GB2312" w:cs="Times New Roman"/>
          <w:kern w:val="2"/>
          <w:sz w:val="32"/>
          <w:szCs w:val="32"/>
          <w:highlight w:val="none"/>
          <w:lang w:val="en-US" w:eastAsia="zh-CN" w:bidi="ar-SA"/>
        </w:rPr>
        <w:t>大湾区实时算力外溢需求，加快</w:t>
      </w:r>
      <w:r>
        <w:rPr>
          <w:rFonts w:hint="default" w:ascii="Times New Roman" w:hAnsi="Times New Roman" w:eastAsia="方正仿宋_GB2312" w:cs="Times New Roman"/>
          <w:b w:val="0"/>
          <w:bCs w:val="0"/>
          <w:color w:val="000000"/>
          <w:kern w:val="0"/>
          <w:sz w:val="32"/>
          <w:szCs w:val="27"/>
          <w:highlight w:val="none"/>
          <w:lang w:val="en-US" w:eastAsia="zh-CN"/>
        </w:rPr>
        <w:t>本地产业转型</w:t>
      </w:r>
      <w:r>
        <w:rPr>
          <w:rFonts w:hint="default" w:ascii="Times New Roman" w:hAnsi="Times New Roman" w:eastAsia="方正仿宋_GB2312" w:cs="Times New Roman"/>
          <w:kern w:val="2"/>
          <w:sz w:val="32"/>
          <w:szCs w:val="32"/>
          <w:highlight w:val="none"/>
          <w:lang w:val="en-US" w:eastAsia="zh-CN" w:bidi="ar-SA"/>
        </w:rPr>
        <w:t>。为此，必须坚持“以算引产、场景驱动”的发展路径，</w:t>
      </w:r>
      <w:r>
        <w:rPr>
          <w:rFonts w:hint="eastAsia" w:ascii="Times New Roman" w:hAnsi="Times New Roman" w:eastAsia="方正仿宋_GB2312" w:cs="Times New Roman"/>
          <w:kern w:val="2"/>
          <w:sz w:val="32"/>
          <w:szCs w:val="32"/>
          <w:highlight w:val="none"/>
          <w:lang w:val="en-US" w:eastAsia="zh-CN" w:bidi="ar-SA"/>
        </w:rPr>
        <w:t>深化</w:t>
      </w:r>
      <w:r>
        <w:rPr>
          <w:rFonts w:hint="default" w:ascii="Times New Roman" w:hAnsi="Times New Roman" w:eastAsia="方正仿宋_GB2312" w:cs="Times New Roman"/>
          <w:kern w:val="2"/>
          <w:sz w:val="32"/>
          <w:szCs w:val="32"/>
          <w:highlight w:val="none"/>
          <w:lang w:val="en-US" w:eastAsia="zh-CN" w:bidi="ar-SA"/>
        </w:rPr>
        <w:t>跨区域协同模式，推动产业从单一的“机柜租赁”向“算力服务+数据要素+硬件制造+场景应用”的全链条生态闭环跃升，全力将韶关打造成为支撑大湾区发展的“湾区算谷”。</w:t>
      </w:r>
    </w:p>
    <w:p w14:paraId="7BAA456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outlineLvl w:val="0"/>
        <w:rPr>
          <w:rFonts w:hint="default" w:ascii="Times New Roman" w:hAnsi="Times New Roman" w:eastAsia="黑体" w:cs="Times New Roman"/>
          <w:lang w:val="en-US" w:eastAsia="zh-CN"/>
        </w:rPr>
      </w:pPr>
      <w:bookmarkStart w:id="4" w:name="_Toc19221"/>
      <w:r>
        <w:rPr>
          <w:rFonts w:hint="default" w:ascii="Times New Roman" w:hAnsi="Times New Roman" w:eastAsia="黑体" w:cs="Times New Roman"/>
          <w:lang w:val="en-US" w:eastAsia="zh-CN"/>
        </w:rPr>
        <w:t>二、总体要求</w:t>
      </w:r>
      <w:bookmarkEnd w:id="4"/>
    </w:p>
    <w:p w14:paraId="03B7C4F2">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5" w:name="_Toc4667"/>
      <w:r>
        <w:rPr>
          <w:rFonts w:hint="default" w:ascii="Times New Roman" w:hAnsi="Times New Roman" w:eastAsia="楷体_GB2312" w:cs="Times New Roman"/>
          <w:lang w:val="en-US" w:eastAsia="zh-CN"/>
        </w:rPr>
        <w:t>（一）指导思想</w:t>
      </w:r>
      <w:bookmarkEnd w:id="5"/>
    </w:p>
    <w:p w14:paraId="2B5B47F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kern w:val="2"/>
          <w:sz w:val="32"/>
          <w:szCs w:val="32"/>
          <w:lang w:val="en-US" w:eastAsia="zh-CN" w:bidi="ar-SA"/>
        </w:rPr>
        <w:t>坚持以习近平新时代中国特色社会主义思想为指导，深入贯彻党的二十大和二十届二中、三中、四中全会精神，全面落实国家“东数西算”工程、全国一体化算力网建设及促进人工智能与能源双向赋能等系列部署，积极落实全国两会关于“打造智能经济新形态”的战略任务，严格执行省委、省政府推动粤港澳大湾区数字经济创新发展、打造国家级数据中心集群的决策部署，落实韶关市“十五五”规划纲要要求，紧密围绕韶关市委、市政府举全市之力推进大数据产业高质量发展、筑牢大湾区人工智能算力底座的总体安排</w:t>
      </w:r>
      <w:r>
        <w:rPr>
          <w:rFonts w:hint="default" w:ascii="Times New Roman" w:hAnsi="Times New Roman" w:eastAsia="方正仿宋_GB2312" w:cs="Times New Roman"/>
          <w:kern w:val="2"/>
          <w:sz w:val="32"/>
          <w:szCs w:val="32"/>
          <w:highlight w:val="none"/>
          <w:lang w:val="en-US" w:eastAsia="zh-CN" w:bidi="ar-SA"/>
        </w:rPr>
        <w:t>，充分发挥华南地区唯一国家级数据中心集群优势，聚焦服务粤港澳大湾区实时性算力需求与本地产业升级，着力增强算力支撑能力，拓展“算力+”场景赋能的深度与广度，打响“湾区算谷”品牌，</w:t>
      </w:r>
      <w:r>
        <w:rPr>
          <w:rFonts w:hint="default" w:ascii="Times New Roman" w:hAnsi="Times New Roman" w:eastAsia="方正仿宋_GB2312" w:cs="Times New Roman"/>
          <w:sz w:val="32"/>
          <w:szCs w:val="32"/>
          <w:highlight w:val="none"/>
          <w:lang w:val="en-US" w:eastAsia="zh-CN"/>
        </w:rPr>
        <w:t>为粤港澳大湾区高质量发展注入强劲数字动能</w:t>
      </w:r>
      <w:r>
        <w:rPr>
          <w:rFonts w:hint="default" w:ascii="Times New Roman" w:hAnsi="Times New Roman" w:eastAsia="方正仿宋_GB2312" w:cs="Times New Roman"/>
          <w:kern w:val="2"/>
          <w:sz w:val="32"/>
          <w:szCs w:val="32"/>
          <w:highlight w:val="none"/>
          <w:lang w:val="en-US" w:eastAsia="zh-CN" w:bidi="ar-SA"/>
        </w:rPr>
        <w:t>。</w:t>
      </w:r>
    </w:p>
    <w:p w14:paraId="1182FB4F">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rPr>
      </w:pPr>
      <w:bookmarkStart w:id="6" w:name="_Toc2666"/>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二</w:t>
      </w:r>
      <w:r>
        <w:rPr>
          <w:rFonts w:hint="default" w:ascii="Times New Roman" w:hAnsi="Times New Roman" w:eastAsia="楷体_GB2312" w:cs="Times New Roman"/>
          <w:lang w:eastAsia="zh-CN"/>
        </w:rPr>
        <w:t>）</w:t>
      </w:r>
      <w:r>
        <w:rPr>
          <w:rFonts w:hint="default" w:ascii="Times New Roman" w:hAnsi="Times New Roman" w:eastAsia="楷体_GB2312" w:cs="Times New Roman"/>
        </w:rPr>
        <w:t>基本原则</w:t>
      </w:r>
      <w:bookmarkEnd w:id="6"/>
    </w:p>
    <w:p w14:paraId="7988C1C8">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b/>
          <w:bCs/>
          <w:sz w:val="32"/>
          <w:szCs w:val="32"/>
          <w:highlight w:val="none"/>
          <w:lang w:val="en-US" w:eastAsia="zh-CN"/>
        </w:rPr>
        <w:t>联动</w:t>
      </w:r>
      <w:r>
        <w:rPr>
          <w:rFonts w:hint="default" w:ascii="Times New Roman" w:hAnsi="Times New Roman" w:eastAsia="方正仿宋_GB2312" w:cs="Times New Roman"/>
          <w:b/>
          <w:bCs/>
          <w:sz w:val="32"/>
          <w:szCs w:val="32"/>
          <w:highlight w:val="none"/>
        </w:rPr>
        <w:t>湾区，</w:t>
      </w:r>
      <w:r>
        <w:rPr>
          <w:rFonts w:hint="default" w:ascii="Times New Roman" w:hAnsi="Times New Roman" w:eastAsia="方正仿宋_GB2312" w:cs="Times New Roman"/>
          <w:b/>
          <w:bCs/>
          <w:sz w:val="32"/>
          <w:szCs w:val="32"/>
          <w:highlight w:val="none"/>
          <w:lang w:val="en-US" w:eastAsia="zh-CN"/>
        </w:rPr>
        <w:t>协同共进</w:t>
      </w:r>
      <w:r>
        <w:rPr>
          <w:rFonts w:hint="default" w:ascii="Times New Roman" w:hAnsi="Times New Roman" w:eastAsia="方正仿宋_GB2312" w:cs="Times New Roman"/>
          <w:b/>
          <w:bCs/>
          <w:sz w:val="32"/>
          <w:szCs w:val="32"/>
          <w:highlight w:val="none"/>
        </w:rPr>
        <w:t>。</w:t>
      </w:r>
      <w:r>
        <w:rPr>
          <w:rFonts w:hint="default" w:ascii="Times New Roman" w:hAnsi="Times New Roman" w:eastAsia="方正仿宋_GB2312" w:cs="Times New Roman"/>
          <w:sz w:val="32"/>
          <w:szCs w:val="32"/>
          <w:highlight w:val="none"/>
        </w:rPr>
        <w:t>坚持“立足韶关、服务湾区”的核心导向，充分发挥毗邻大湾区的区位优势与毫秒级低时延网络优势。主动承接广州、深圳等核心城市的实时性算力需求，聚焦人工智能大模型推理、具身智能、数据标注等高价值应用场景，打造大湾区人工智能从“模型训练”到“商业应用”转化的首选落地基地与算力后厂。</w:t>
      </w:r>
    </w:p>
    <w:p w14:paraId="5FF23A85">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b/>
          <w:bCs/>
          <w:sz w:val="32"/>
          <w:szCs w:val="32"/>
          <w:highlight w:val="none"/>
          <w:lang w:val="en-US" w:eastAsia="zh-CN"/>
        </w:rPr>
      </w:pPr>
      <w:r>
        <w:rPr>
          <w:rFonts w:hint="default" w:ascii="Times New Roman" w:hAnsi="Times New Roman" w:eastAsia="方正仿宋_GB2312" w:cs="Times New Roman"/>
          <w:b/>
          <w:bCs/>
          <w:sz w:val="32"/>
          <w:szCs w:val="32"/>
          <w:highlight w:val="none"/>
          <w:lang w:val="en-US" w:eastAsia="zh-CN"/>
        </w:rPr>
        <w:t>强化支撑，特色布局。</w:t>
      </w:r>
      <w:r>
        <w:rPr>
          <w:rFonts w:hint="default" w:ascii="Times New Roman" w:hAnsi="Times New Roman" w:eastAsia="方正仿宋_GB2312" w:cs="Times New Roman"/>
          <w:b w:val="0"/>
          <w:bCs w:val="0"/>
          <w:sz w:val="32"/>
          <w:szCs w:val="32"/>
          <w:highlight w:val="none"/>
          <w:lang w:val="en-US" w:eastAsia="zh-CN"/>
        </w:rPr>
        <w:t>聚焦大湾区实时算力需求，着力提升智能算力特别是推理算力供给能力，充分挖掘利用本地数据资源，强化与算力龙头企业战略合作，重点赋能</w:t>
      </w:r>
      <w:r>
        <w:rPr>
          <w:rFonts w:hint="default" w:ascii="Times New Roman" w:hAnsi="Times New Roman" w:eastAsia="方正仿宋_GB2312" w:cs="Times New Roman"/>
          <w:sz w:val="32"/>
          <w:szCs w:val="32"/>
          <w:highlight w:val="none"/>
          <w:lang w:val="en-US" w:eastAsia="zh-CN"/>
        </w:rPr>
        <w:t>药物研发</w:t>
      </w: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sz w:val="32"/>
          <w:szCs w:val="32"/>
          <w:highlight w:val="none"/>
          <w:lang w:val="en-US" w:eastAsia="zh-CN"/>
        </w:rPr>
        <w:t>试验测试</w:t>
      </w:r>
      <w:r>
        <w:rPr>
          <w:rFonts w:hint="default" w:ascii="Times New Roman" w:hAnsi="Times New Roman" w:eastAsia="方正仿宋_GB2312" w:cs="Times New Roman"/>
          <w:sz w:val="32"/>
          <w:szCs w:val="32"/>
          <w:highlight w:val="none"/>
        </w:rPr>
        <w:t>、</w:t>
      </w:r>
      <w:r>
        <w:rPr>
          <w:rFonts w:hint="default" w:ascii="Times New Roman" w:hAnsi="Times New Roman" w:eastAsia="方正仿宋_GB2312" w:cs="Times New Roman"/>
          <w:sz w:val="32"/>
          <w:szCs w:val="32"/>
          <w:highlight w:val="none"/>
          <w:lang w:val="en-US" w:eastAsia="zh-CN"/>
        </w:rPr>
        <w:t>来数加工</w:t>
      </w:r>
      <w:r>
        <w:rPr>
          <w:rFonts w:hint="default" w:ascii="Times New Roman" w:hAnsi="Times New Roman" w:eastAsia="方正仿宋_GB2312" w:cs="Times New Roman"/>
          <w:sz w:val="32"/>
          <w:szCs w:val="32"/>
          <w:highlight w:val="none"/>
        </w:rPr>
        <w:t>等</w:t>
      </w:r>
      <w:r>
        <w:rPr>
          <w:rFonts w:hint="default" w:ascii="Times New Roman" w:hAnsi="Times New Roman" w:eastAsia="方正仿宋_GB2312" w:cs="Times New Roman"/>
          <w:sz w:val="32"/>
          <w:szCs w:val="32"/>
          <w:highlight w:val="none"/>
          <w:lang w:val="en-US" w:eastAsia="zh-CN"/>
        </w:rPr>
        <w:t>特色化、</w:t>
      </w:r>
      <w:r>
        <w:rPr>
          <w:rFonts w:hint="default" w:ascii="Times New Roman" w:hAnsi="Times New Roman" w:eastAsia="方正仿宋_GB2312" w:cs="Times New Roman"/>
          <w:sz w:val="32"/>
          <w:szCs w:val="32"/>
          <w:highlight w:val="none"/>
        </w:rPr>
        <w:t>高附加值环节，打造“华南智算之城”</w:t>
      </w:r>
      <w:r>
        <w:rPr>
          <w:rFonts w:hint="default" w:ascii="Times New Roman" w:hAnsi="Times New Roman" w:eastAsia="方正仿宋_GB2312" w:cs="Times New Roman"/>
          <w:sz w:val="32"/>
          <w:szCs w:val="32"/>
          <w:highlight w:val="none"/>
          <w:lang w:eastAsia="zh-CN"/>
        </w:rPr>
        <w:t>特色品牌</w:t>
      </w:r>
      <w:r>
        <w:rPr>
          <w:rFonts w:hint="default" w:ascii="Times New Roman" w:hAnsi="Times New Roman" w:eastAsia="方正仿宋_GB2312" w:cs="Times New Roman"/>
          <w:sz w:val="32"/>
          <w:szCs w:val="32"/>
          <w:highlight w:val="none"/>
        </w:rPr>
        <w:t>。</w:t>
      </w:r>
    </w:p>
    <w:p w14:paraId="352E98B9">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sz w:val="32"/>
          <w:szCs w:val="32"/>
          <w:highlight w:val="none"/>
        </w:rPr>
      </w:pPr>
      <w:r>
        <w:rPr>
          <w:rFonts w:hint="default" w:ascii="Times New Roman" w:hAnsi="Times New Roman" w:eastAsia="方正仿宋_GB2312" w:cs="Times New Roman"/>
          <w:b/>
          <w:bCs/>
          <w:sz w:val="32"/>
          <w:szCs w:val="32"/>
          <w:highlight w:val="none"/>
        </w:rPr>
        <w:t>算产协同，创新驱动。</w:t>
      </w:r>
      <w:r>
        <w:rPr>
          <w:rFonts w:hint="default" w:ascii="Times New Roman" w:hAnsi="Times New Roman" w:eastAsia="方正仿宋_GB2312" w:cs="Times New Roman"/>
          <w:sz w:val="32"/>
          <w:szCs w:val="32"/>
          <w:highlight w:val="none"/>
        </w:rPr>
        <w:t>坚持以算力引产业、以产业促算力的链式发展思路，推动大数据、人工智能与本地传统制造业</w:t>
      </w:r>
      <w:r>
        <w:rPr>
          <w:rFonts w:hint="default" w:ascii="Times New Roman" w:hAnsi="Times New Roman" w:eastAsia="方正仿宋_GB2312" w:cs="Times New Roman"/>
          <w:sz w:val="32"/>
          <w:szCs w:val="32"/>
          <w:highlight w:val="none"/>
          <w:lang w:eastAsia="zh-CN"/>
        </w:rPr>
        <w:t>或</w:t>
      </w:r>
      <w:r>
        <w:rPr>
          <w:rFonts w:hint="default" w:ascii="Times New Roman" w:hAnsi="Times New Roman" w:eastAsia="方正仿宋_GB2312" w:cs="Times New Roman"/>
          <w:sz w:val="32"/>
          <w:szCs w:val="32"/>
          <w:highlight w:val="none"/>
          <w:lang w:val="en-US" w:eastAsia="zh-CN"/>
        </w:rPr>
        <w:t>大湾区优势产业</w:t>
      </w:r>
      <w:r>
        <w:rPr>
          <w:rFonts w:hint="default" w:ascii="Times New Roman" w:hAnsi="Times New Roman" w:eastAsia="方正仿宋_GB2312" w:cs="Times New Roman"/>
          <w:sz w:val="32"/>
          <w:szCs w:val="32"/>
          <w:highlight w:val="none"/>
        </w:rPr>
        <w:t>深度融合。依托算力枢纽吸引</w:t>
      </w:r>
      <w:r>
        <w:rPr>
          <w:rFonts w:hint="default" w:ascii="Times New Roman" w:hAnsi="Times New Roman" w:eastAsia="方正仿宋_GB2312" w:cs="Times New Roman"/>
          <w:sz w:val="32"/>
          <w:szCs w:val="32"/>
          <w:highlight w:val="none"/>
          <w:lang w:val="en-US" w:eastAsia="zh-CN"/>
        </w:rPr>
        <w:t>算力</w:t>
      </w:r>
      <w:r>
        <w:rPr>
          <w:rFonts w:hint="default" w:ascii="Times New Roman" w:hAnsi="Times New Roman" w:eastAsia="方正仿宋_GB2312" w:cs="Times New Roman"/>
          <w:sz w:val="32"/>
          <w:szCs w:val="32"/>
          <w:highlight w:val="none"/>
        </w:rPr>
        <w:t>上下游企业集聚，重点</w:t>
      </w:r>
      <w:r>
        <w:rPr>
          <w:rFonts w:hint="default" w:ascii="Times New Roman" w:hAnsi="Times New Roman" w:eastAsia="方正仿宋_GB2312" w:cs="Times New Roman"/>
          <w:sz w:val="32"/>
          <w:szCs w:val="32"/>
          <w:highlight w:val="none"/>
          <w:lang w:val="en-US" w:eastAsia="zh-CN"/>
        </w:rPr>
        <w:t>为低空经济、</w:t>
      </w:r>
      <w:r>
        <w:rPr>
          <w:rFonts w:hint="default" w:ascii="Times New Roman" w:hAnsi="Times New Roman" w:eastAsia="方正仿宋_GB2312" w:cs="Times New Roman"/>
          <w:sz w:val="32"/>
          <w:szCs w:val="32"/>
          <w:highlight w:val="none"/>
        </w:rPr>
        <w:t>智能装备制造、生物医药等</w:t>
      </w:r>
      <w:r>
        <w:rPr>
          <w:rFonts w:hint="default" w:ascii="Times New Roman" w:hAnsi="Times New Roman" w:eastAsia="方正仿宋_GB2312" w:cs="Times New Roman"/>
          <w:sz w:val="32"/>
          <w:szCs w:val="32"/>
          <w:highlight w:val="none"/>
          <w:lang w:val="en-US" w:eastAsia="zh-CN"/>
        </w:rPr>
        <w:t>重要应用场景提供高质量算力支撑</w:t>
      </w:r>
      <w:r>
        <w:rPr>
          <w:rFonts w:hint="default" w:ascii="Times New Roman" w:hAnsi="Times New Roman" w:eastAsia="方正仿宋_GB2312" w:cs="Times New Roman"/>
          <w:sz w:val="32"/>
          <w:szCs w:val="32"/>
          <w:highlight w:val="none"/>
        </w:rPr>
        <w:t>。</w:t>
      </w:r>
    </w:p>
    <w:p w14:paraId="1AE1614A">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eastAsia="zh-CN"/>
        </w:rPr>
      </w:pPr>
      <w:bookmarkStart w:id="7" w:name="_Toc12586"/>
      <w:r>
        <w:rPr>
          <w:rFonts w:hint="default" w:ascii="Times New Roman" w:hAnsi="Times New Roman" w:eastAsia="楷体_GB2312" w:cs="Times New Roman"/>
          <w:lang w:eastAsia="zh-CN"/>
        </w:rPr>
        <w:t>（三）发展目标</w:t>
      </w:r>
      <w:bookmarkEnd w:id="7"/>
    </w:p>
    <w:p w14:paraId="72EC1DBF">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lang w:val="en-US" w:eastAsia="zh-CN"/>
        </w:rPr>
        <w:t>为推动韶关加快</w:t>
      </w:r>
      <w:r>
        <w:rPr>
          <w:rFonts w:hint="default" w:ascii="Times New Roman" w:hAnsi="Times New Roman" w:eastAsia="方正仿宋_GB2312" w:cs="Times New Roman"/>
          <w:kern w:val="2"/>
          <w:sz w:val="32"/>
          <w:szCs w:val="32"/>
          <w:highlight w:val="none"/>
          <w:lang w:val="en-US" w:eastAsia="zh-CN" w:bidi="ar-SA"/>
        </w:rPr>
        <w:t>筑牢大湾区人工智能算力底座，规划锚定</w:t>
      </w:r>
      <w:r>
        <w:rPr>
          <w:rFonts w:hint="default" w:ascii="Times New Roman" w:hAnsi="Times New Roman" w:eastAsia="方正仿宋_GB2312" w:cs="Times New Roman"/>
          <w:b w:val="0"/>
          <w:bCs w:val="0"/>
          <w:sz w:val="32"/>
          <w:szCs w:val="32"/>
          <w:highlight w:val="none"/>
        </w:rPr>
        <w:t>“湾区算谷”一个核心目标</w:t>
      </w:r>
      <w:r>
        <w:rPr>
          <w:rFonts w:hint="default" w:ascii="Times New Roman" w:hAnsi="Times New Roman" w:eastAsia="方正仿宋_GB2312" w:cs="Times New Roman"/>
          <w:b w:val="0"/>
          <w:bCs w:val="0"/>
          <w:sz w:val="32"/>
          <w:szCs w:val="32"/>
          <w:highlight w:val="none"/>
          <w:lang w:eastAsia="zh-CN"/>
        </w:rPr>
        <w:t>，</w:t>
      </w:r>
      <w:r>
        <w:rPr>
          <w:rFonts w:hint="default" w:ascii="Times New Roman" w:hAnsi="Times New Roman" w:eastAsia="方正仿宋_GB2312" w:cs="Times New Roman"/>
          <w:b w:val="0"/>
          <w:bCs w:val="0"/>
          <w:sz w:val="32"/>
          <w:szCs w:val="32"/>
          <w:highlight w:val="none"/>
          <w:lang w:val="en-US" w:eastAsia="zh-CN"/>
        </w:rPr>
        <w:t>聚焦</w:t>
      </w:r>
      <w:r>
        <w:rPr>
          <w:rFonts w:hint="default" w:ascii="Times New Roman" w:hAnsi="Times New Roman" w:eastAsia="方正仿宋_GB2312" w:cs="Times New Roman"/>
          <w:b w:val="0"/>
          <w:bCs w:val="0"/>
          <w:sz w:val="32"/>
          <w:szCs w:val="32"/>
          <w:highlight w:val="none"/>
        </w:rPr>
        <w:t>四</w:t>
      </w:r>
      <w:r>
        <w:rPr>
          <w:rFonts w:hint="default" w:ascii="Times New Roman" w:hAnsi="Times New Roman" w:eastAsia="方正仿宋_GB2312" w:cs="Times New Roman"/>
          <w:b w:val="0"/>
          <w:bCs w:val="0"/>
          <w:sz w:val="32"/>
          <w:szCs w:val="32"/>
          <w:highlight w:val="none"/>
          <w:lang w:val="en-US" w:eastAsia="zh-CN"/>
        </w:rPr>
        <w:t>个重点方向，实施五大主要工作，做好四项保障，构建“1454”</w:t>
      </w:r>
      <w:r>
        <w:rPr>
          <w:rFonts w:hint="default" w:ascii="Times New Roman" w:hAnsi="Times New Roman" w:eastAsia="方正仿宋_GB2312" w:cs="Times New Roman"/>
          <w:kern w:val="2"/>
          <w:sz w:val="32"/>
          <w:szCs w:val="32"/>
          <w:highlight w:val="none"/>
          <w:lang w:val="en-US" w:eastAsia="zh-CN" w:bidi="ar-SA"/>
        </w:rPr>
        <w:t>算力产业高质量发展工作体系</w:t>
      </w:r>
      <w:r>
        <w:rPr>
          <w:rFonts w:hint="default" w:ascii="Times New Roman" w:hAnsi="Times New Roman" w:eastAsia="方正仿宋_GB2312" w:cs="Times New Roman"/>
          <w:b w:val="0"/>
          <w:bCs w:val="0"/>
          <w:sz w:val="32"/>
          <w:szCs w:val="32"/>
          <w:highlight w:val="none"/>
        </w:rPr>
        <w:t>，全面推动韶关算力产业高质量发展。</w:t>
      </w:r>
    </w:p>
    <w:p w14:paraId="3B0D06F9">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b w:val="0"/>
          <w:bCs w:val="0"/>
          <w:sz w:val="32"/>
          <w:szCs w:val="32"/>
          <w:highlight w:val="none"/>
        </w:rPr>
      </w:pPr>
      <w:r>
        <w:rPr>
          <w:rFonts w:hint="default" w:ascii="Times New Roman" w:hAnsi="Times New Roman" w:eastAsia="方正仿宋_GB2312" w:cs="Times New Roman"/>
          <w:b w:val="0"/>
          <w:bCs w:val="0"/>
          <w:sz w:val="32"/>
          <w:szCs w:val="32"/>
          <w:highlight w:val="none"/>
        </w:rPr>
        <w:t>——</w:t>
      </w:r>
      <w:r>
        <w:rPr>
          <w:rFonts w:hint="default" w:ascii="Times New Roman" w:hAnsi="Times New Roman" w:eastAsia="方正仿宋_GB2312" w:cs="Times New Roman"/>
          <w:b/>
          <w:bCs/>
          <w:sz w:val="32"/>
          <w:szCs w:val="32"/>
          <w:highlight w:val="none"/>
        </w:rPr>
        <w:t>算力</w:t>
      </w:r>
      <w:r>
        <w:rPr>
          <w:rFonts w:hint="default" w:ascii="Times New Roman" w:hAnsi="Times New Roman" w:eastAsia="方正仿宋_GB2312" w:cs="Times New Roman"/>
          <w:b/>
          <w:bCs/>
          <w:sz w:val="32"/>
          <w:szCs w:val="32"/>
          <w:highlight w:val="none"/>
          <w:lang w:val="en-US" w:eastAsia="zh-CN"/>
        </w:rPr>
        <w:t>支撑显著提升</w:t>
      </w:r>
      <w:r>
        <w:rPr>
          <w:rFonts w:hint="default" w:ascii="Times New Roman" w:hAnsi="Times New Roman" w:eastAsia="方正仿宋_GB2312" w:cs="Times New Roman"/>
          <w:b w:val="0"/>
          <w:bCs w:val="0"/>
          <w:sz w:val="32"/>
          <w:szCs w:val="32"/>
          <w:highlight w:val="none"/>
        </w:rPr>
        <w:t>。面向</w:t>
      </w:r>
      <w:r>
        <w:rPr>
          <w:rFonts w:hint="default" w:ascii="Times New Roman" w:hAnsi="Times New Roman" w:eastAsia="方正仿宋_GB2312" w:cs="Times New Roman"/>
          <w:b w:val="0"/>
          <w:bCs w:val="0"/>
          <w:sz w:val="32"/>
          <w:szCs w:val="32"/>
          <w:highlight w:val="none"/>
          <w:lang w:val="en-US" w:eastAsia="zh-CN"/>
        </w:rPr>
        <w:t>本地及湾区相关</w:t>
      </w:r>
      <w:r>
        <w:rPr>
          <w:rFonts w:hint="default" w:ascii="Times New Roman" w:hAnsi="Times New Roman" w:eastAsia="方正仿宋_GB2312" w:cs="Times New Roman"/>
          <w:b w:val="0"/>
          <w:bCs w:val="0"/>
          <w:sz w:val="32"/>
          <w:szCs w:val="32"/>
          <w:highlight w:val="none"/>
        </w:rPr>
        <w:t>产业</w:t>
      </w:r>
      <w:r>
        <w:rPr>
          <w:rFonts w:hint="default" w:ascii="Times New Roman" w:hAnsi="Times New Roman" w:eastAsia="方正仿宋_GB2312" w:cs="Times New Roman"/>
          <w:b w:val="0"/>
          <w:bCs w:val="0"/>
          <w:sz w:val="32"/>
          <w:szCs w:val="32"/>
          <w:highlight w:val="none"/>
          <w:lang w:val="en-US" w:eastAsia="zh-CN"/>
        </w:rPr>
        <w:t>智慧化发展需求，</w:t>
      </w:r>
      <w:r>
        <w:rPr>
          <w:rFonts w:hint="default" w:ascii="Times New Roman" w:hAnsi="Times New Roman" w:eastAsia="方正仿宋_GB2312" w:cs="Times New Roman"/>
          <w:b w:val="0"/>
          <w:bCs w:val="0"/>
          <w:sz w:val="32"/>
          <w:szCs w:val="32"/>
          <w:highlight w:val="none"/>
          <w:lang w:eastAsia="zh-CN"/>
        </w:rPr>
        <w:t>引进和布局大型、超大型数据中心</w:t>
      </w:r>
      <w:r>
        <w:rPr>
          <w:rFonts w:hint="default" w:ascii="Times New Roman" w:hAnsi="Times New Roman" w:eastAsia="方正仿宋_GB2312" w:cs="Times New Roman"/>
          <w:b w:val="0"/>
          <w:bCs w:val="0"/>
          <w:sz w:val="32"/>
          <w:szCs w:val="32"/>
          <w:highlight w:val="none"/>
          <w:lang w:val="en-US" w:eastAsia="zh-CN"/>
        </w:rPr>
        <w:t>与智算中心</w:t>
      </w:r>
      <w:r>
        <w:rPr>
          <w:rFonts w:hint="default" w:ascii="Times New Roman" w:hAnsi="Times New Roman" w:eastAsia="方正仿宋_GB2312" w:cs="Times New Roman"/>
          <w:b w:val="0"/>
          <w:bCs w:val="0"/>
          <w:sz w:val="32"/>
          <w:szCs w:val="32"/>
          <w:highlight w:val="none"/>
          <w:lang w:eastAsia="zh-CN"/>
        </w:rPr>
        <w:t>，提升算力规模和能级</w:t>
      </w:r>
      <w:r>
        <w:rPr>
          <w:rFonts w:hint="default" w:ascii="Times New Roman" w:hAnsi="Times New Roman" w:eastAsia="方正仿宋_GB2312" w:cs="Times New Roman"/>
          <w:b w:val="0"/>
          <w:bCs w:val="0"/>
          <w:sz w:val="32"/>
          <w:szCs w:val="32"/>
          <w:highlight w:val="none"/>
        </w:rPr>
        <w:t>。到20</w:t>
      </w:r>
      <w:r>
        <w:rPr>
          <w:rFonts w:hint="default" w:ascii="Times New Roman" w:hAnsi="Times New Roman" w:eastAsia="方正仿宋_GB2312" w:cs="Times New Roman"/>
          <w:b w:val="0"/>
          <w:bCs w:val="0"/>
          <w:sz w:val="32"/>
          <w:szCs w:val="32"/>
          <w:highlight w:val="none"/>
          <w:lang w:val="en-US" w:eastAsia="zh-CN"/>
        </w:rPr>
        <w:t>30</w:t>
      </w:r>
      <w:r>
        <w:rPr>
          <w:rFonts w:hint="default" w:ascii="Times New Roman" w:hAnsi="Times New Roman" w:eastAsia="方正仿宋_GB2312" w:cs="Times New Roman"/>
          <w:b w:val="0"/>
          <w:bCs w:val="0"/>
          <w:sz w:val="32"/>
          <w:szCs w:val="32"/>
          <w:highlight w:val="none"/>
        </w:rPr>
        <w:t>年，全市</w:t>
      </w:r>
      <w:r>
        <w:rPr>
          <w:rFonts w:hint="default" w:ascii="Times New Roman" w:hAnsi="Times New Roman" w:eastAsia="方正仿宋_GB2312" w:cs="Times New Roman"/>
          <w:b w:val="0"/>
          <w:bCs w:val="0"/>
          <w:sz w:val="32"/>
          <w:szCs w:val="32"/>
          <w:highlight w:val="none"/>
          <w:lang w:eastAsia="zh-CN"/>
        </w:rPr>
        <w:t>形成</w:t>
      </w:r>
      <w:r>
        <w:rPr>
          <w:rFonts w:hint="default" w:ascii="Times New Roman" w:hAnsi="Times New Roman" w:eastAsia="方正仿宋_GB2312" w:cs="Times New Roman"/>
          <w:b w:val="0"/>
          <w:bCs w:val="0"/>
          <w:sz w:val="32"/>
          <w:szCs w:val="32"/>
          <w:highlight w:val="none"/>
          <w:lang w:val="en-US" w:eastAsia="zh-CN"/>
        </w:rPr>
        <w:t>100</w:t>
      </w:r>
      <w:r>
        <w:rPr>
          <w:rFonts w:hint="default" w:ascii="Times New Roman" w:hAnsi="Times New Roman" w:eastAsia="方正仿宋_GB2312" w:cs="Times New Roman"/>
          <w:b w:val="0"/>
          <w:bCs w:val="0"/>
          <w:sz w:val="32"/>
          <w:szCs w:val="32"/>
          <w:highlight w:val="none"/>
        </w:rPr>
        <w:t>万个标准机架</w:t>
      </w:r>
      <w:r>
        <w:rPr>
          <w:rFonts w:hint="default" w:ascii="Times New Roman" w:hAnsi="Times New Roman" w:eastAsia="方正仿宋_GB2312" w:cs="Times New Roman"/>
          <w:b w:val="0"/>
          <w:bCs w:val="0"/>
          <w:sz w:val="32"/>
          <w:szCs w:val="32"/>
          <w:highlight w:val="none"/>
          <w:lang w:eastAsia="zh-CN"/>
        </w:rPr>
        <w:t>承载能力</w:t>
      </w:r>
      <w:r>
        <w:rPr>
          <w:rFonts w:hint="default" w:ascii="Times New Roman" w:hAnsi="Times New Roman" w:eastAsia="方正仿宋_GB2312" w:cs="Times New Roman"/>
          <w:b w:val="0"/>
          <w:bCs w:val="0"/>
          <w:sz w:val="32"/>
          <w:szCs w:val="32"/>
          <w:highlight w:val="none"/>
        </w:rPr>
        <w:t>，具备超75万PFLOPS智算装机能力，成为</w:t>
      </w:r>
      <w:r>
        <w:rPr>
          <w:rFonts w:hint="default" w:ascii="Times New Roman" w:hAnsi="Times New Roman" w:eastAsia="方正仿宋_GB2312" w:cs="Times New Roman"/>
          <w:b w:val="0"/>
          <w:bCs w:val="0"/>
          <w:sz w:val="32"/>
          <w:szCs w:val="32"/>
          <w:highlight w:val="none"/>
          <w:lang w:val="en-US" w:eastAsia="zh-CN"/>
        </w:rPr>
        <w:t>湾区</w:t>
      </w:r>
      <w:r>
        <w:rPr>
          <w:rFonts w:hint="default" w:ascii="Times New Roman" w:hAnsi="Times New Roman" w:eastAsia="方正仿宋_GB2312" w:cs="Times New Roman"/>
          <w:b w:val="0"/>
          <w:bCs w:val="0"/>
          <w:sz w:val="32"/>
          <w:szCs w:val="32"/>
          <w:highlight w:val="none"/>
        </w:rPr>
        <w:t>算力支撑核心城市。</w:t>
      </w:r>
    </w:p>
    <w:p w14:paraId="0FE8D7B7">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2312" w:cs="Times New Roman"/>
          <w:b w:val="0"/>
          <w:bCs w:val="0"/>
          <w:sz w:val="32"/>
          <w:szCs w:val="32"/>
          <w:highlight w:val="none"/>
          <w:lang w:val="en-US" w:eastAsia="zh-CN"/>
        </w:rPr>
      </w:pPr>
      <w:r>
        <w:rPr>
          <w:rFonts w:hint="default" w:ascii="Times New Roman" w:hAnsi="Times New Roman" w:eastAsia="方正仿宋_GB2312" w:cs="Times New Roman"/>
          <w:b w:val="0"/>
          <w:bCs w:val="0"/>
          <w:sz w:val="32"/>
          <w:szCs w:val="32"/>
          <w:highlight w:val="none"/>
        </w:rPr>
        <w:t>——</w:t>
      </w:r>
      <w:r>
        <w:rPr>
          <w:rFonts w:hint="default" w:ascii="Times New Roman" w:hAnsi="Times New Roman" w:eastAsia="方正仿宋_GB2312" w:cs="Times New Roman"/>
          <w:b/>
          <w:bCs/>
          <w:sz w:val="32"/>
          <w:szCs w:val="32"/>
          <w:highlight w:val="none"/>
        </w:rPr>
        <w:t>赋能场景</w:t>
      </w:r>
      <w:r>
        <w:rPr>
          <w:rFonts w:hint="default" w:ascii="Times New Roman" w:hAnsi="Times New Roman" w:eastAsia="方正仿宋_GB2312" w:cs="Times New Roman"/>
          <w:b/>
          <w:bCs/>
          <w:sz w:val="32"/>
          <w:szCs w:val="32"/>
          <w:highlight w:val="none"/>
          <w:lang w:val="en-US" w:eastAsia="zh-CN"/>
        </w:rPr>
        <w:t>持续</w:t>
      </w:r>
      <w:r>
        <w:rPr>
          <w:rFonts w:hint="default" w:ascii="Times New Roman" w:hAnsi="Times New Roman" w:eastAsia="方正仿宋_GB2312" w:cs="Times New Roman"/>
          <w:b/>
          <w:bCs/>
          <w:sz w:val="32"/>
          <w:szCs w:val="32"/>
          <w:highlight w:val="none"/>
          <w:lang w:eastAsia="zh-CN"/>
        </w:rPr>
        <w:t>拓展</w:t>
      </w:r>
      <w:r>
        <w:rPr>
          <w:rFonts w:hint="default" w:ascii="Times New Roman" w:hAnsi="Times New Roman" w:eastAsia="方正仿宋_GB2312" w:cs="Times New Roman"/>
          <w:b w:val="0"/>
          <w:bCs w:val="0"/>
          <w:sz w:val="32"/>
          <w:szCs w:val="32"/>
          <w:highlight w:val="none"/>
        </w:rPr>
        <w:t>。</w:t>
      </w:r>
      <w:r>
        <w:rPr>
          <w:rFonts w:hint="default" w:ascii="Times New Roman" w:hAnsi="Times New Roman" w:eastAsia="方正仿宋_GB2312" w:cs="Times New Roman"/>
          <w:b w:val="0"/>
          <w:bCs w:val="0"/>
          <w:sz w:val="32"/>
          <w:szCs w:val="32"/>
          <w:highlight w:val="none"/>
          <w:lang w:eastAsia="zh-CN"/>
        </w:rPr>
        <w:t>依托</w:t>
      </w:r>
      <w:r>
        <w:rPr>
          <w:rFonts w:hint="default" w:ascii="Times New Roman" w:hAnsi="Times New Roman" w:eastAsia="方正仿宋_GB2312" w:cs="Times New Roman"/>
          <w:szCs w:val="32"/>
          <w:highlight w:val="none"/>
        </w:rPr>
        <w:t>国家智能网联汽车质量检验检测中心</w:t>
      </w:r>
      <w:r>
        <w:rPr>
          <w:rFonts w:hint="default" w:ascii="Times New Roman" w:hAnsi="Times New Roman" w:eastAsia="方正仿宋_GB2312" w:cs="Times New Roman"/>
          <w:szCs w:val="32"/>
          <w:highlight w:val="none"/>
          <w:lang w:eastAsia="zh-CN"/>
        </w:rPr>
        <w:t>、</w:t>
      </w:r>
      <w:r>
        <w:rPr>
          <w:rFonts w:hint="default" w:ascii="Times New Roman" w:hAnsi="Times New Roman" w:eastAsia="方正仿宋_GB2312" w:cs="Times New Roman"/>
          <w:szCs w:val="32"/>
          <w:highlight w:val="none"/>
        </w:rPr>
        <w:t>广东省智能网联汽车+低空飞行器中试平台</w:t>
      </w:r>
      <w:r>
        <w:rPr>
          <w:rFonts w:hint="default" w:ascii="Times New Roman" w:hAnsi="Times New Roman" w:eastAsia="方正仿宋_GB2312" w:cs="Times New Roman"/>
          <w:szCs w:val="32"/>
          <w:highlight w:val="none"/>
          <w:lang w:val="en-US" w:eastAsia="zh-CN"/>
        </w:rPr>
        <w:t>及</w:t>
      </w:r>
      <w:r>
        <w:rPr>
          <w:rFonts w:hint="default" w:ascii="Times New Roman" w:hAnsi="Times New Roman" w:eastAsia="方正仿宋_GB2312" w:cs="Times New Roman"/>
          <w:kern w:val="0"/>
          <w:sz w:val="32"/>
          <w:szCs w:val="32"/>
          <w:highlight w:val="none"/>
          <w:lang w:val="en-US" w:eastAsia="zh-CN" w:bidi="ar-SA"/>
        </w:rPr>
        <w:t>数据要素集聚发展区等</w:t>
      </w:r>
      <w:r>
        <w:rPr>
          <w:rFonts w:hint="default" w:ascii="Times New Roman" w:hAnsi="Times New Roman" w:eastAsia="方正仿宋_GB2312" w:cs="Times New Roman"/>
          <w:b w:val="0"/>
          <w:bCs w:val="0"/>
          <w:sz w:val="32"/>
          <w:szCs w:val="32"/>
          <w:highlight w:val="none"/>
        </w:rPr>
        <w:t>优势，加快</w:t>
      </w:r>
      <w:r>
        <w:rPr>
          <w:rFonts w:hint="default" w:ascii="Times New Roman" w:hAnsi="Times New Roman" w:eastAsia="方正仿宋_GB2312" w:cs="Times New Roman"/>
          <w:b w:val="0"/>
          <w:bCs w:val="0"/>
          <w:sz w:val="32"/>
          <w:szCs w:val="32"/>
          <w:highlight w:val="none"/>
          <w:lang w:val="en-US" w:eastAsia="zh-CN"/>
        </w:rPr>
        <w:t>推进</w:t>
      </w:r>
      <w:r>
        <w:rPr>
          <w:rFonts w:hint="default" w:ascii="Times New Roman" w:hAnsi="Times New Roman" w:eastAsia="方正仿宋_GB2312" w:cs="Times New Roman"/>
          <w:b w:val="0"/>
          <w:bCs w:val="0"/>
          <w:sz w:val="32"/>
          <w:szCs w:val="32"/>
          <w:highlight w:val="none"/>
        </w:rPr>
        <w:t>数据共享</w:t>
      </w:r>
      <w:r>
        <w:rPr>
          <w:rFonts w:hint="default" w:ascii="Times New Roman" w:hAnsi="Times New Roman" w:eastAsia="方正仿宋_GB2312" w:cs="Times New Roman"/>
          <w:b w:val="0"/>
          <w:bCs w:val="0"/>
          <w:sz w:val="32"/>
          <w:szCs w:val="32"/>
          <w:highlight w:val="none"/>
          <w:lang w:eastAsia="zh-CN"/>
        </w:rPr>
        <w:t>与</w:t>
      </w:r>
      <w:r>
        <w:rPr>
          <w:rFonts w:hint="default" w:ascii="Times New Roman" w:hAnsi="Times New Roman" w:eastAsia="方正仿宋_GB2312" w:cs="Times New Roman"/>
          <w:b w:val="0"/>
          <w:bCs w:val="0"/>
          <w:sz w:val="32"/>
          <w:szCs w:val="32"/>
          <w:highlight w:val="none"/>
        </w:rPr>
        <w:t>算法</w:t>
      </w:r>
      <w:r>
        <w:rPr>
          <w:rFonts w:hint="default" w:ascii="Times New Roman" w:hAnsi="Times New Roman" w:eastAsia="方正仿宋_GB2312" w:cs="Times New Roman"/>
          <w:b w:val="0"/>
          <w:bCs w:val="0"/>
          <w:sz w:val="32"/>
          <w:szCs w:val="32"/>
          <w:highlight w:val="none"/>
          <w:lang w:val="en-US" w:eastAsia="zh-CN"/>
        </w:rPr>
        <w:t>创新</w:t>
      </w:r>
      <w:r>
        <w:rPr>
          <w:rFonts w:hint="default" w:ascii="Times New Roman" w:hAnsi="Times New Roman" w:eastAsia="方正仿宋_GB2312" w:cs="Times New Roman"/>
          <w:b w:val="0"/>
          <w:bCs w:val="0"/>
          <w:sz w:val="32"/>
          <w:szCs w:val="32"/>
          <w:highlight w:val="none"/>
        </w:rPr>
        <w:t>，为</w:t>
      </w:r>
      <w:r>
        <w:rPr>
          <w:rFonts w:hint="default" w:ascii="Times New Roman" w:hAnsi="Times New Roman" w:eastAsia="方正仿宋_GB2312" w:cs="Times New Roman"/>
          <w:b w:val="0"/>
          <w:bCs w:val="0"/>
          <w:sz w:val="32"/>
          <w:szCs w:val="32"/>
          <w:highlight w:val="none"/>
          <w:lang w:val="en-US" w:eastAsia="zh-CN"/>
        </w:rPr>
        <w:t>智能网联、低空经济、智</w:t>
      </w:r>
      <w:r>
        <w:rPr>
          <w:rFonts w:hint="default" w:ascii="Times New Roman" w:hAnsi="Times New Roman" w:eastAsia="方正仿宋_GB2312" w:cs="Times New Roman"/>
          <w:b w:val="0"/>
          <w:bCs w:val="0"/>
          <w:sz w:val="32"/>
          <w:szCs w:val="32"/>
          <w:highlight w:val="none"/>
        </w:rPr>
        <w:t>能制造、</w:t>
      </w:r>
      <w:r>
        <w:rPr>
          <w:rFonts w:hint="default" w:ascii="Times New Roman" w:hAnsi="Times New Roman" w:eastAsia="方正仿宋_GB2312" w:cs="Times New Roman"/>
          <w:b w:val="0"/>
          <w:bCs w:val="0"/>
          <w:sz w:val="32"/>
          <w:szCs w:val="32"/>
          <w:highlight w:val="none"/>
          <w:lang w:val="en-US" w:eastAsia="zh-CN"/>
        </w:rPr>
        <w:t>来数加工</w:t>
      </w:r>
      <w:r>
        <w:rPr>
          <w:rFonts w:hint="default" w:ascii="Times New Roman" w:hAnsi="Times New Roman" w:eastAsia="方正仿宋_GB2312" w:cs="Times New Roman"/>
          <w:b w:val="0"/>
          <w:bCs w:val="0"/>
          <w:sz w:val="32"/>
          <w:szCs w:val="32"/>
          <w:highlight w:val="none"/>
        </w:rPr>
        <w:t>等</w:t>
      </w:r>
      <w:r>
        <w:rPr>
          <w:rFonts w:hint="default" w:ascii="Times New Roman" w:hAnsi="Times New Roman" w:eastAsia="方正仿宋_GB2312" w:cs="Times New Roman"/>
          <w:b w:val="0"/>
          <w:bCs w:val="0"/>
          <w:sz w:val="32"/>
          <w:szCs w:val="32"/>
          <w:highlight w:val="none"/>
          <w:lang w:val="en-US" w:eastAsia="zh-CN"/>
        </w:rPr>
        <w:t>领域</w:t>
      </w:r>
      <w:r>
        <w:rPr>
          <w:rFonts w:hint="default" w:ascii="Times New Roman" w:hAnsi="Times New Roman" w:eastAsia="方正仿宋_GB2312" w:cs="Times New Roman"/>
          <w:b w:val="0"/>
          <w:bCs w:val="0"/>
          <w:sz w:val="32"/>
          <w:szCs w:val="32"/>
          <w:highlight w:val="none"/>
        </w:rPr>
        <w:t>注智赋能</w:t>
      </w:r>
      <w:r>
        <w:rPr>
          <w:rFonts w:hint="default" w:ascii="Times New Roman" w:hAnsi="Times New Roman" w:eastAsia="方正仿宋_GB2312" w:cs="Times New Roman"/>
          <w:b w:val="0"/>
          <w:bCs w:val="0"/>
          <w:sz w:val="32"/>
          <w:szCs w:val="32"/>
          <w:highlight w:val="none"/>
          <w:lang w:eastAsia="zh-CN"/>
        </w:rPr>
        <w:t>，</w:t>
      </w:r>
      <w:r>
        <w:rPr>
          <w:rFonts w:hint="default" w:ascii="Times New Roman" w:hAnsi="Times New Roman" w:eastAsia="方正仿宋_GB2312" w:cs="Times New Roman"/>
          <w:b w:val="0"/>
          <w:bCs w:val="0"/>
          <w:sz w:val="32"/>
          <w:szCs w:val="32"/>
          <w:highlight w:val="none"/>
          <w:lang w:val="en-US" w:eastAsia="zh-CN"/>
        </w:rPr>
        <w:t>加快扩展人工智能场景应用示范案例。</w:t>
      </w:r>
    </w:p>
    <w:p w14:paraId="5DF4477D">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textAlignment w:val="auto"/>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2312" w:cs="Times New Roman"/>
          <w:b w:val="0"/>
          <w:bCs w:val="0"/>
          <w:sz w:val="32"/>
          <w:szCs w:val="32"/>
          <w:highlight w:val="none"/>
        </w:rPr>
        <w:t>——</w:t>
      </w:r>
      <w:r>
        <w:rPr>
          <w:rFonts w:hint="default" w:ascii="Times New Roman" w:hAnsi="Times New Roman" w:eastAsia="方正仿宋_GB2312" w:cs="Times New Roman"/>
          <w:b/>
          <w:bCs/>
          <w:sz w:val="32"/>
          <w:szCs w:val="32"/>
          <w:highlight w:val="none"/>
          <w:lang w:val="en-US" w:eastAsia="zh-CN"/>
        </w:rPr>
        <w:t>产业生态优化完善</w:t>
      </w:r>
      <w:r>
        <w:rPr>
          <w:rFonts w:hint="default" w:ascii="Times New Roman" w:hAnsi="Times New Roman" w:eastAsia="方正仿宋_GB2312" w:cs="Times New Roman"/>
          <w:b/>
          <w:bCs/>
          <w:sz w:val="32"/>
          <w:szCs w:val="32"/>
          <w:highlight w:val="none"/>
        </w:rPr>
        <w:t>。</w:t>
      </w:r>
      <w:r>
        <w:rPr>
          <w:rFonts w:hint="default" w:ascii="Times New Roman" w:hAnsi="Times New Roman" w:eastAsia="方正仿宋_GBK" w:cs="Times New Roman"/>
          <w:b w:val="0"/>
          <w:bCs w:val="0"/>
          <w:sz w:val="32"/>
          <w:szCs w:val="32"/>
          <w:highlight w:val="none"/>
          <w:lang w:eastAsia="zh-CN"/>
        </w:rPr>
        <w:t>健全覆盖算力、算据、算法的产业生态体系，</w:t>
      </w:r>
      <w:r>
        <w:rPr>
          <w:rFonts w:hint="default" w:ascii="Times New Roman" w:hAnsi="Times New Roman" w:eastAsia="方正仿宋_GBK" w:cs="Times New Roman"/>
          <w:b w:val="0"/>
          <w:bCs w:val="0"/>
          <w:sz w:val="32"/>
          <w:szCs w:val="32"/>
          <w:highlight w:val="none"/>
          <w:lang w:val="en-US" w:eastAsia="zh-CN"/>
        </w:rPr>
        <w:t>上游重点</w:t>
      </w:r>
      <w:r>
        <w:rPr>
          <w:rFonts w:hint="default" w:ascii="Times New Roman" w:hAnsi="Times New Roman" w:eastAsia="方正仿宋_GB2312" w:cs="Times New Roman"/>
          <w:b w:val="0"/>
          <w:bCs w:val="0"/>
          <w:sz w:val="32"/>
          <w:szCs w:val="32"/>
          <w:highlight w:val="none"/>
          <w:lang w:val="en-US" w:eastAsia="zh-CN"/>
        </w:rPr>
        <w:t>招引</w:t>
      </w:r>
      <w:r>
        <w:rPr>
          <w:rFonts w:hint="default" w:ascii="Times New Roman" w:hAnsi="Times New Roman" w:eastAsia="方正仿宋_GB2312" w:cs="Times New Roman"/>
          <w:b w:val="0"/>
          <w:bCs w:val="0"/>
          <w:sz w:val="32"/>
          <w:szCs w:val="32"/>
          <w:highlight w:val="none"/>
        </w:rPr>
        <w:t>服务器、存储设备、液冷技术、储能电池</w:t>
      </w:r>
      <w:r>
        <w:rPr>
          <w:rFonts w:hint="default" w:ascii="Times New Roman" w:hAnsi="Times New Roman" w:eastAsia="方正仿宋_GB2312" w:cs="Times New Roman"/>
          <w:b w:val="0"/>
          <w:bCs w:val="0"/>
          <w:sz w:val="32"/>
          <w:szCs w:val="32"/>
          <w:highlight w:val="none"/>
          <w:lang w:val="en-US" w:eastAsia="zh-CN"/>
        </w:rPr>
        <w:t>等硬件制造领域龙头企业，针对性布局测试实验、药品研发等特色化领域算法大模型企业；下游拓展数据采集汇聚、处理加工、开发利用、流通交易、资产评估等服务环节，</w:t>
      </w:r>
      <w:r>
        <w:rPr>
          <w:rFonts w:hint="default" w:ascii="Times New Roman" w:hAnsi="Times New Roman" w:eastAsia="方正仿宋_GBK" w:cs="Times New Roman"/>
          <w:b w:val="0"/>
          <w:bCs w:val="0"/>
          <w:sz w:val="32"/>
          <w:szCs w:val="32"/>
          <w:highlight w:val="none"/>
          <w:lang w:val="en-US" w:eastAsia="zh-CN"/>
        </w:rPr>
        <w:t>推动韶关算力产业全链条优化升级。</w:t>
      </w:r>
    </w:p>
    <w:p w14:paraId="2F8B1490">
      <w:pPr>
        <w:keepNext w:val="0"/>
        <w:keepLines w:val="0"/>
        <w:pageBreakBefore w:val="0"/>
        <w:kinsoku/>
        <w:wordWrap/>
        <w:overflowPunct w:val="0"/>
        <w:topLinePunct w:val="0"/>
        <w:autoSpaceDE w:val="0"/>
        <w:autoSpaceDN w:val="0"/>
        <w:bidi w:val="0"/>
        <w:adjustRightInd w:val="0"/>
        <w:spacing w:line="560" w:lineRule="exact"/>
        <w:ind w:left="0" w:leftChars="0" w:firstLine="0" w:firstLineChars="0"/>
        <w:jc w:val="center"/>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1</w:t>
      </w:r>
      <w:r>
        <w:rPr>
          <w:rFonts w:hint="default" w:ascii="Times New Roman" w:hAnsi="Times New Roman" w:eastAsia="黑体" w:cs="Times New Roman"/>
          <w:color w:val="auto"/>
          <w:sz w:val="24"/>
          <w:szCs w:val="24"/>
          <w:highlight w:val="none"/>
        </w:rPr>
        <w:t xml:space="preserve">  韶关市</w:t>
      </w:r>
      <w:r>
        <w:rPr>
          <w:rFonts w:hint="default" w:ascii="Times New Roman" w:hAnsi="Times New Roman" w:eastAsia="黑体" w:cs="Times New Roman"/>
          <w:color w:val="auto"/>
          <w:sz w:val="24"/>
          <w:szCs w:val="24"/>
          <w:highlight w:val="none"/>
          <w:lang w:eastAsia="zh-CN"/>
        </w:rPr>
        <w:t>“</w:t>
      </w:r>
      <w:r>
        <w:rPr>
          <w:rFonts w:hint="default" w:ascii="Times New Roman" w:hAnsi="Times New Roman" w:eastAsia="黑体" w:cs="Times New Roman"/>
          <w:color w:val="auto"/>
          <w:sz w:val="24"/>
          <w:szCs w:val="24"/>
          <w:highlight w:val="none"/>
        </w:rPr>
        <w:t>十五五</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黑体" w:cs="Times New Roman"/>
          <w:color w:val="auto"/>
          <w:sz w:val="24"/>
          <w:szCs w:val="24"/>
          <w:highlight w:val="none"/>
        </w:rPr>
        <w:t>时期</w:t>
      </w:r>
      <w:r>
        <w:rPr>
          <w:rFonts w:hint="default" w:ascii="Times New Roman" w:hAnsi="Times New Roman" w:eastAsia="黑体" w:cs="Times New Roman"/>
          <w:color w:val="auto"/>
          <w:sz w:val="24"/>
          <w:szCs w:val="24"/>
          <w:highlight w:val="none"/>
          <w:lang w:val="en-US" w:eastAsia="zh-CN"/>
        </w:rPr>
        <w:t>算力产业</w:t>
      </w:r>
      <w:r>
        <w:rPr>
          <w:rFonts w:hint="default" w:ascii="Times New Roman" w:hAnsi="Times New Roman" w:eastAsia="黑体" w:cs="Times New Roman"/>
          <w:color w:val="auto"/>
          <w:sz w:val="24"/>
          <w:szCs w:val="24"/>
          <w:highlight w:val="none"/>
        </w:rPr>
        <w:t>发展主要指标表</w:t>
      </w:r>
    </w:p>
    <w:tbl>
      <w:tblPr>
        <w:tblStyle w:val="14"/>
        <w:tblW w:w="4998" w:type="pct"/>
        <w:jc w:val="center"/>
        <w:tblLayout w:type="autofit"/>
        <w:tblCellMar>
          <w:top w:w="0" w:type="dxa"/>
          <w:left w:w="108" w:type="dxa"/>
          <w:bottom w:w="0" w:type="dxa"/>
          <w:right w:w="108" w:type="dxa"/>
        </w:tblCellMar>
      </w:tblPr>
      <w:tblGrid>
        <w:gridCol w:w="763"/>
        <w:gridCol w:w="5099"/>
        <w:gridCol w:w="1983"/>
        <w:gridCol w:w="1212"/>
      </w:tblGrid>
      <w:tr w14:paraId="4164976B">
        <w:tblPrEx>
          <w:tblCellMar>
            <w:top w:w="0" w:type="dxa"/>
            <w:left w:w="108" w:type="dxa"/>
            <w:bottom w:w="0" w:type="dxa"/>
            <w:right w:w="108" w:type="dxa"/>
          </w:tblCellMar>
        </w:tblPrEx>
        <w:trPr>
          <w:trHeight w:val="652" w:hRule="atLeast"/>
          <w:tblHeader/>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00B698CC">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kern w:val="0"/>
                <w:sz w:val="20"/>
                <w:szCs w:val="20"/>
                <w:highlight w:val="none"/>
                <w:lang w:bidi="ar"/>
              </w:rPr>
              <w:t>序号</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770499C8">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kern w:val="0"/>
                <w:sz w:val="20"/>
                <w:szCs w:val="20"/>
                <w:highlight w:val="none"/>
                <w:lang w:bidi="ar"/>
              </w:rPr>
              <w:t>指标</w:t>
            </w:r>
          </w:p>
        </w:tc>
        <w:tc>
          <w:tcPr>
            <w:tcW w:w="1095" w:type="pct"/>
            <w:tcBorders>
              <w:top w:val="single" w:color="000000" w:sz="4" w:space="0"/>
              <w:left w:val="single" w:color="000000" w:sz="4" w:space="0"/>
              <w:bottom w:val="single" w:color="000000" w:sz="4" w:space="0"/>
              <w:right w:val="single" w:color="000000" w:sz="4" w:space="0"/>
            </w:tcBorders>
            <w:noWrap/>
            <w:vAlign w:val="center"/>
          </w:tcPr>
          <w:p w14:paraId="1D77CA4B">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kern w:val="0"/>
                <w:sz w:val="20"/>
                <w:szCs w:val="20"/>
                <w:highlight w:val="none"/>
                <w:lang w:bidi="ar"/>
              </w:rPr>
              <w:t>2030年</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F4D7575">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kern w:val="0"/>
                <w:sz w:val="20"/>
                <w:szCs w:val="20"/>
                <w:highlight w:val="none"/>
                <w:lang w:bidi="ar"/>
              </w:rPr>
              <w:t>属性</w:t>
            </w:r>
          </w:p>
        </w:tc>
      </w:tr>
      <w:tr w14:paraId="51F12982">
        <w:tblPrEx>
          <w:tblCellMar>
            <w:top w:w="0" w:type="dxa"/>
            <w:left w:w="108" w:type="dxa"/>
            <w:bottom w:w="0" w:type="dxa"/>
            <w:right w:w="108" w:type="dxa"/>
          </w:tblCellMar>
        </w:tblPrEx>
        <w:trPr>
          <w:trHeight w:val="652"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238C64F6">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cs="Times New Roman"/>
                <w:b/>
                <w:bCs/>
                <w:color w:val="auto"/>
                <w:kern w:val="0"/>
                <w:sz w:val="20"/>
                <w:szCs w:val="20"/>
                <w:highlight w:val="none"/>
                <w:lang w:val="en-US" w:eastAsia="zh-CN" w:bidi="ar"/>
              </w:rPr>
            </w:pPr>
            <w:r>
              <w:rPr>
                <w:rFonts w:hint="default" w:ascii="Times New Roman" w:hAnsi="Times New Roman" w:cs="Times New Roman"/>
                <w:b/>
                <w:bCs/>
                <w:color w:val="auto"/>
                <w:kern w:val="0"/>
                <w:sz w:val="20"/>
                <w:szCs w:val="20"/>
                <w:highlight w:val="none"/>
                <w:lang w:val="en-US" w:eastAsia="zh-CN" w:bidi="ar"/>
              </w:rPr>
              <w:t>一、算力供给能力</w:t>
            </w:r>
          </w:p>
        </w:tc>
      </w:tr>
      <w:tr w14:paraId="6F9235B0">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7522B728">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1</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0593757A">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韶关算力规模（万标准机架）</w:t>
            </w:r>
          </w:p>
        </w:tc>
        <w:tc>
          <w:tcPr>
            <w:tcW w:w="1095" w:type="pct"/>
            <w:tcBorders>
              <w:top w:val="single" w:color="000000" w:sz="4" w:space="0"/>
              <w:left w:val="single" w:color="000000" w:sz="4" w:space="0"/>
              <w:bottom w:val="single" w:color="000000" w:sz="4" w:space="0"/>
              <w:right w:val="single" w:color="000000" w:sz="4" w:space="0"/>
            </w:tcBorders>
            <w:noWrap/>
            <w:vAlign w:val="center"/>
          </w:tcPr>
          <w:p w14:paraId="39579463">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100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6AFBA3E0">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预期性</w:t>
            </w:r>
          </w:p>
        </w:tc>
      </w:tr>
      <w:tr w14:paraId="79AA22A3">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63A4587C">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2</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1EFCE87F">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韶关智算承载能力（万PFlops）</w:t>
            </w:r>
          </w:p>
        </w:tc>
        <w:tc>
          <w:tcPr>
            <w:tcW w:w="1095" w:type="pct"/>
            <w:tcBorders>
              <w:top w:val="single" w:color="000000" w:sz="4" w:space="0"/>
              <w:left w:val="single" w:color="000000" w:sz="4" w:space="0"/>
              <w:bottom w:val="single" w:color="000000" w:sz="4" w:space="0"/>
              <w:right w:val="single" w:color="000000" w:sz="4" w:space="0"/>
            </w:tcBorders>
            <w:noWrap/>
            <w:vAlign w:val="center"/>
          </w:tcPr>
          <w:p w14:paraId="60125D63">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75</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70654F5">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预期性</w:t>
            </w:r>
          </w:p>
        </w:tc>
      </w:tr>
      <w:tr w14:paraId="20562F11">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1AD292AF">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3</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15054ECF">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累计引进算力中心投资（亿元）</w:t>
            </w:r>
          </w:p>
        </w:tc>
        <w:tc>
          <w:tcPr>
            <w:tcW w:w="1095" w:type="pct"/>
            <w:tcBorders>
              <w:top w:val="single" w:color="000000" w:sz="4" w:space="0"/>
              <w:left w:val="single" w:color="000000" w:sz="4" w:space="0"/>
              <w:bottom w:val="single" w:color="000000" w:sz="4" w:space="0"/>
              <w:right w:val="single" w:color="000000" w:sz="4" w:space="0"/>
            </w:tcBorders>
            <w:noWrap/>
            <w:vAlign w:val="center"/>
          </w:tcPr>
          <w:p w14:paraId="0C2502FA">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kern w:val="0"/>
                <w:sz w:val="20"/>
                <w:szCs w:val="20"/>
                <w:highlight w:val="none"/>
                <w:lang w:val="en-US" w:eastAsia="zh-CN" w:bidi="ar"/>
              </w:rPr>
              <w:t>1000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7DA9E074">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预期性</w:t>
            </w:r>
          </w:p>
        </w:tc>
      </w:tr>
      <w:tr w14:paraId="29A9DE32">
        <w:tblPrEx>
          <w:tblCellMar>
            <w:top w:w="0" w:type="dxa"/>
            <w:left w:w="108" w:type="dxa"/>
            <w:bottom w:w="0" w:type="dxa"/>
            <w:right w:w="108" w:type="dxa"/>
          </w:tblCellMar>
        </w:tblPrEx>
        <w:trPr>
          <w:trHeight w:val="758"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29F8E7BA">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4</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47FF5A24">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算力中心上架率（%）</w:t>
            </w:r>
          </w:p>
        </w:tc>
        <w:tc>
          <w:tcPr>
            <w:tcW w:w="1095" w:type="pct"/>
            <w:tcBorders>
              <w:top w:val="single" w:color="000000" w:sz="4" w:space="0"/>
              <w:left w:val="single" w:color="000000" w:sz="4" w:space="0"/>
              <w:bottom w:val="single" w:color="000000" w:sz="4" w:space="0"/>
              <w:right w:val="single" w:color="000000" w:sz="4" w:space="0"/>
            </w:tcBorders>
            <w:noWrap/>
            <w:vAlign w:val="center"/>
          </w:tcPr>
          <w:p w14:paraId="116618D8">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90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FEBAEFC">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约束性</w:t>
            </w:r>
          </w:p>
        </w:tc>
      </w:tr>
      <w:tr w14:paraId="62AB11FB">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3D52BA94">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5</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5D7AC6AC">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kern w:val="0"/>
                <w:sz w:val="20"/>
                <w:szCs w:val="20"/>
                <w:highlight w:val="none"/>
                <w:lang w:bidi="ar"/>
              </w:rPr>
            </w:pPr>
            <w:r>
              <w:rPr>
                <w:rFonts w:hint="default" w:ascii="Times New Roman" w:hAnsi="Times New Roman" w:eastAsia="仿宋_GB2312" w:cs="Times New Roman"/>
                <w:color w:val="auto"/>
                <w:kern w:val="0"/>
                <w:sz w:val="20"/>
                <w:szCs w:val="20"/>
                <w:highlight w:val="none"/>
                <w:lang w:bidi="ar"/>
              </w:rPr>
              <w:t>绿电使用率（%）</w:t>
            </w:r>
          </w:p>
        </w:tc>
        <w:tc>
          <w:tcPr>
            <w:tcW w:w="1095" w:type="pct"/>
            <w:tcBorders>
              <w:top w:val="single" w:color="000000" w:sz="4" w:space="0"/>
              <w:left w:val="single" w:color="000000" w:sz="4" w:space="0"/>
              <w:bottom w:val="single" w:color="000000" w:sz="4" w:space="0"/>
              <w:right w:val="single" w:color="000000" w:sz="4" w:space="0"/>
            </w:tcBorders>
            <w:noWrap w:val="0"/>
            <w:vAlign w:val="center"/>
          </w:tcPr>
          <w:p w14:paraId="5AAD825A">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cs="Times New Roman"/>
                <w:lang w:val="en-US" w:eastAsia="zh-CN"/>
              </w:rPr>
            </w:pPr>
            <w:r>
              <w:rPr>
                <w:rFonts w:hint="default" w:ascii="Times New Roman" w:hAnsi="Times New Roman" w:cs="Times New Roman"/>
                <w:color w:val="auto"/>
                <w:kern w:val="0"/>
                <w:sz w:val="20"/>
                <w:szCs w:val="20"/>
                <w:highlight w:val="none"/>
                <w:lang w:val="en-US" w:eastAsia="zh-CN" w:bidi="ar"/>
              </w:rPr>
              <w:t>80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F9CAAB3">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kern w:val="0"/>
                <w:sz w:val="20"/>
                <w:szCs w:val="20"/>
                <w:highlight w:val="none"/>
                <w:lang w:bidi="ar"/>
              </w:rPr>
            </w:pPr>
            <w:r>
              <w:rPr>
                <w:rFonts w:hint="default" w:ascii="Times New Roman" w:hAnsi="Times New Roman" w:eastAsia="仿宋_GB2312" w:cs="Times New Roman"/>
                <w:color w:val="auto"/>
                <w:kern w:val="0"/>
                <w:sz w:val="20"/>
                <w:szCs w:val="20"/>
                <w:highlight w:val="none"/>
                <w:lang w:bidi="ar"/>
              </w:rPr>
              <w:t>约束性</w:t>
            </w:r>
          </w:p>
        </w:tc>
      </w:tr>
      <w:tr w14:paraId="1C6FBF8B">
        <w:tblPrEx>
          <w:tblCellMar>
            <w:top w:w="0" w:type="dxa"/>
            <w:left w:w="108" w:type="dxa"/>
            <w:bottom w:w="0" w:type="dxa"/>
            <w:right w:w="108" w:type="dxa"/>
          </w:tblCellMar>
        </w:tblPrEx>
        <w:trPr>
          <w:trHeight w:val="716"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7C79FA20">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6</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3117EA0C">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sz w:val="20"/>
                <w:szCs w:val="20"/>
                <w:highlight w:val="none"/>
              </w:rPr>
              <w:t>算力中心电能使用效率（PUE）</w:t>
            </w:r>
          </w:p>
        </w:tc>
        <w:tc>
          <w:tcPr>
            <w:tcW w:w="1095" w:type="pct"/>
            <w:tcBorders>
              <w:top w:val="single" w:color="000000" w:sz="4" w:space="0"/>
              <w:left w:val="single" w:color="000000" w:sz="4" w:space="0"/>
              <w:bottom w:val="single" w:color="000000" w:sz="4" w:space="0"/>
              <w:right w:val="single" w:color="000000" w:sz="4" w:space="0"/>
            </w:tcBorders>
            <w:noWrap w:val="0"/>
            <w:vAlign w:val="center"/>
          </w:tcPr>
          <w:p w14:paraId="3D91C0CF">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cs="Times New Roman"/>
                <w:color w:val="auto"/>
                <w:kern w:val="0"/>
                <w:sz w:val="20"/>
                <w:szCs w:val="20"/>
                <w:highlight w:val="none"/>
                <w:lang w:val="en-US" w:eastAsia="zh-CN" w:bidi="ar"/>
              </w:rPr>
              <w:t>1.20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4B34992B">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约束性</w:t>
            </w:r>
          </w:p>
        </w:tc>
      </w:tr>
      <w:tr w14:paraId="6512808C">
        <w:tblPrEx>
          <w:tblCellMar>
            <w:top w:w="0" w:type="dxa"/>
            <w:left w:w="108" w:type="dxa"/>
            <w:bottom w:w="0" w:type="dxa"/>
            <w:right w:w="108" w:type="dxa"/>
          </w:tblCellMar>
        </w:tblPrEx>
        <w:trPr>
          <w:trHeight w:val="652"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69984DF1">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cs="Times New Roman"/>
                <w:b/>
                <w:bCs/>
                <w:color w:val="auto"/>
                <w:kern w:val="0"/>
                <w:sz w:val="20"/>
                <w:szCs w:val="20"/>
                <w:highlight w:val="none"/>
                <w:lang w:val="en-US" w:eastAsia="zh-CN" w:bidi="ar"/>
              </w:rPr>
            </w:pPr>
            <w:r>
              <w:rPr>
                <w:rFonts w:hint="default" w:ascii="Times New Roman" w:hAnsi="Times New Roman" w:cs="Times New Roman"/>
                <w:b/>
                <w:bCs/>
                <w:color w:val="auto"/>
                <w:kern w:val="0"/>
                <w:sz w:val="20"/>
                <w:szCs w:val="20"/>
                <w:highlight w:val="none"/>
                <w:lang w:val="en-US" w:eastAsia="zh-CN" w:bidi="ar"/>
              </w:rPr>
              <w:t>二、算力产业场景赋能</w:t>
            </w:r>
          </w:p>
        </w:tc>
      </w:tr>
      <w:tr w14:paraId="1B1E08A8">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347C0BEB">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cs="Times New Roman"/>
                <w:color w:val="auto"/>
                <w:sz w:val="22"/>
                <w:szCs w:val="22"/>
                <w:highlight w:val="none"/>
                <w:lang w:val="en-US" w:eastAsia="zh-CN"/>
              </w:rPr>
              <w:t>7</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3D6B1D76">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cs="Times New Roman"/>
                <w:color w:val="auto"/>
                <w:sz w:val="20"/>
                <w:szCs w:val="20"/>
                <w:highlight w:val="none"/>
                <w:lang w:val="en-US" w:eastAsia="zh-CN"/>
              </w:rPr>
              <w:t>新增“算力+”</w:t>
            </w:r>
            <w:r>
              <w:rPr>
                <w:rFonts w:hint="default" w:ascii="Times New Roman" w:hAnsi="Times New Roman" w:eastAsia="仿宋_GB2312" w:cs="Times New Roman"/>
                <w:color w:val="auto"/>
                <w:sz w:val="20"/>
                <w:szCs w:val="20"/>
                <w:highlight w:val="none"/>
              </w:rPr>
              <w:t>产业赋能案例数（个）</w:t>
            </w:r>
          </w:p>
        </w:tc>
        <w:tc>
          <w:tcPr>
            <w:tcW w:w="1095" w:type="pct"/>
            <w:tcBorders>
              <w:top w:val="single" w:color="auto" w:sz="4" w:space="0"/>
              <w:left w:val="single" w:color="000000" w:sz="4" w:space="0"/>
              <w:bottom w:val="single" w:color="000000" w:sz="4" w:space="0"/>
              <w:right w:val="single" w:color="000000" w:sz="4" w:space="0"/>
            </w:tcBorders>
            <w:noWrap/>
            <w:vAlign w:val="center"/>
          </w:tcPr>
          <w:p w14:paraId="7CD2CE7E">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30</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2CC1493D">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预期性</w:t>
            </w:r>
          </w:p>
        </w:tc>
      </w:tr>
      <w:tr w14:paraId="291E137B">
        <w:tblPrEx>
          <w:tblCellMar>
            <w:top w:w="0" w:type="dxa"/>
            <w:left w:w="108" w:type="dxa"/>
            <w:bottom w:w="0" w:type="dxa"/>
            <w:right w:w="108" w:type="dxa"/>
          </w:tblCellMar>
        </w:tblPrEx>
        <w:trPr>
          <w:trHeight w:val="652" w:hRule="atLeast"/>
          <w:jc w:val="center"/>
        </w:trPr>
        <w:tc>
          <w:tcPr>
            <w:tcW w:w="421" w:type="pct"/>
            <w:tcBorders>
              <w:top w:val="single" w:color="000000" w:sz="4" w:space="0"/>
              <w:left w:val="single" w:color="000000" w:sz="4" w:space="0"/>
              <w:bottom w:val="single" w:color="000000" w:sz="4" w:space="0"/>
              <w:right w:val="single" w:color="000000" w:sz="4" w:space="0"/>
            </w:tcBorders>
            <w:noWrap/>
            <w:vAlign w:val="center"/>
          </w:tcPr>
          <w:p w14:paraId="4A2309B4">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2"/>
                <w:szCs w:val="22"/>
                <w:highlight w:val="none"/>
                <w:lang w:val="en-US" w:eastAsia="zh-CN"/>
              </w:rPr>
            </w:pPr>
            <w:r>
              <w:rPr>
                <w:rFonts w:hint="default" w:ascii="Times New Roman" w:hAnsi="Times New Roman" w:cs="Times New Roman"/>
                <w:color w:val="auto"/>
                <w:sz w:val="22"/>
                <w:szCs w:val="22"/>
                <w:highlight w:val="none"/>
                <w:lang w:val="en-US" w:eastAsia="zh-CN"/>
              </w:rPr>
              <w:t>8</w:t>
            </w:r>
          </w:p>
        </w:tc>
        <w:tc>
          <w:tcPr>
            <w:tcW w:w="2815" w:type="pct"/>
            <w:tcBorders>
              <w:top w:val="single" w:color="000000" w:sz="4" w:space="0"/>
              <w:left w:val="single" w:color="000000" w:sz="4" w:space="0"/>
              <w:bottom w:val="single" w:color="000000" w:sz="4" w:space="0"/>
              <w:right w:val="single" w:color="000000" w:sz="4" w:space="0"/>
            </w:tcBorders>
            <w:noWrap/>
            <w:vAlign w:val="center"/>
          </w:tcPr>
          <w:p w14:paraId="2787B1BD">
            <w:pPr>
              <w:keepNext w:val="0"/>
              <w:keepLines w:val="0"/>
              <w:pageBreakBefore w:val="0"/>
              <w:widowControl/>
              <w:kinsoku/>
              <w:wordWrap/>
              <w:topLinePunct w:val="0"/>
              <w:bidi w:val="0"/>
              <w:adjustRightInd w:val="0"/>
              <w:spacing w:line="560" w:lineRule="exact"/>
              <w:ind w:left="0" w:leftChars="0" w:firstLine="0" w:firstLineChars="0"/>
              <w:jc w:val="left"/>
              <w:textAlignment w:val="center"/>
              <w:rPr>
                <w:rFonts w:hint="default" w:ascii="Times New Roman" w:hAnsi="Times New Roman" w:eastAsia="仿宋_GB2312" w:cs="Times New Roman"/>
                <w:color w:val="auto"/>
                <w:sz w:val="20"/>
                <w:szCs w:val="20"/>
                <w:highlight w:val="none"/>
                <w:lang w:eastAsia="zh-CN"/>
              </w:rPr>
            </w:pPr>
            <w:r>
              <w:rPr>
                <w:rFonts w:hint="default" w:ascii="Times New Roman" w:hAnsi="Times New Roman" w:cs="Times New Roman"/>
                <w:color w:val="auto"/>
                <w:sz w:val="20"/>
                <w:szCs w:val="20"/>
                <w:highlight w:val="none"/>
                <w:lang w:val="en-US" w:eastAsia="zh-CN"/>
              </w:rPr>
              <w:t>新增</w:t>
            </w:r>
            <w:r>
              <w:rPr>
                <w:rFonts w:hint="default" w:ascii="Times New Roman" w:hAnsi="Times New Roman" w:eastAsia="仿宋_GB2312" w:cs="Times New Roman"/>
                <w:color w:val="auto"/>
                <w:sz w:val="20"/>
                <w:szCs w:val="20"/>
                <w:highlight w:val="none"/>
              </w:rPr>
              <w:t>行业高质量数据集</w:t>
            </w:r>
            <w:r>
              <w:rPr>
                <w:rStyle w:val="18"/>
                <w:rFonts w:hint="default" w:ascii="Times New Roman" w:hAnsi="Times New Roman" w:eastAsia="仿宋_GB2312" w:cs="Times New Roman"/>
                <w:color w:val="auto"/>
                <w:sz w:val="20"/>
                <w:szCs w:val="20"/>
                <w:highlight w:val="none"/>
              </w:rPr>
              <w:footnoteReference w:id="0"/>
            </w:r>
            <w:r>
              <w:rPr>
                <w:rFonts w:hint="default" w:ascii="Times New Roman" w:hAnsi="Times New Roman" w:cs="Times New Roman"/>
                <w:color w:val="auto"/>
                <w:sz w:val="20"/>
                <w:szCs w:val="20"/>
                <w:highlight w:val="none"/>
                <w:lang w:eastAsia="zh-CN"/>
              </w:rPr>
              <w:t>（</w:t>
            </w:r>
            <w:r>
              <w:rPr>
                <w:rFonts w:hint="default" w:ascii="Times New Roman" w:hAnsi="Times New Roman" w:cs="Times New Roman"/>
                <w:color w:val="auto"/>
                <w:sz w:val="20"/>
                <w:szCs w:val="20"/>
                <w:highlight w:val="none"/>
                <w:lang w:val="en-US" w:eastAsia="zh-CN"/>
              </w:rPr>
              <w:t>个</w:t>
            </w:r>
            <w:r>
              <w:rPr>
                <w:rFonts w:hint="default" w:ascii="Times New Roman" w:hAnsi="Times New Roman" w:cs="Times New Roman"/>
                <w:color w:val="auto"/>
                <w:sz w:val="20"/>
                <w:szCs w:val="20"/>
                <w:highlight w:val="none"/>
                <w:lang w:eastAsia="zh-CN"/>
              </w:rPr>
              <w:t>）</w:t>
            </w:r>
          </w:p>
        </w:tc>
        <w:tc>
          <w:tcPr>
            <w:tcW w:w="1095" w:type="pct"/>
            <w:tcBorders>
              <w:top w:val="single" w:color="000000" w:sz="4" w:space="0"/>
              <w:left w:val="single" w:color="000000" w:sz="4" w:space="0"/>
              <w:bottom w:val="single" w:color="000000" w:sz="4" w:space="0"/>
              <w:right w:val="single" w:color="000000" w:sz="4" w:space="0"/>
            </w:tcBorders>
            <w:noWrap w:val="0"/>
            <w:vAlign w:val="center"/>
          </w:tcPr>
          <w:p w14:paraId="672FA2F2">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25</w:t>
            </w:r>
          </w:p>
        </w:tc>
        <w:tc>
          <w:tcPr>
            <w:tcW w:w="667" w:type="pct"/>
            <w:tcBorders>
              <w:top w:val="single" w:color="000000" w:sz="4" w:space="0"/>
              <w:left w:val="single" w:color="000000" w:sz="4" w:space="0"/>
              <w:bottom w:val="single" w:color="000000" w:sz="4" w:space="0"/>
              <w:right w:val="single" w:color="000000" w:sz="4" w:space="0"/>
            </w:tcBorders>
            <w:noWrap/>
            <w:vAlign w:val="center"/>
          </w:tcPr>
          <w:p w14:paraId="3C350AE5">
            <w:pPr>
              <w:keepNext w:val="0"/>
              <w:keepLines w:val="0"/>
              <w:pageBreakBefore w:val="0"/>
              <w:widowControl/>
              <w:kinsoku/>
              <w:wordWrap/>
              <w:topLinePunct w:val="0"/>
              <w:bidi w:val="0"/>
              <w:adjustRightInd w:val="0"/>
              <w:spacing w:line="560" w:lineRule="exact"/>
              <w:ind w:left="0" w:leftChars="0" w:firstLine="0" w:firstLineChars="0"/>
              <w:jc w:val="center"/>
              <w:textAlignment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color w:val="auto"/>
                <w:kern w:val="0"/>
                <w:sz w:val="20"/>
                <w:szCs w:val="20"/>
                <w:highlight w:val="none"/>
                <w:lang w:bidi="ar"/>
              </w:rPr>
              <w:t>预期性</w:t>
            </w:r>
          </w:p>
        </w:tc>
      </w:tr>
    </w:tbl>
    <w:p w14:paraId="5B21AD7D">
      <w:pPr>
        <w:keepNext w:val="0"/>
        <w:keepLines w:val="0"/>
        <w:pageBreakBefore w:val="0"/>
        <w:kinsoku/>
        <w:wordWrap/>
        <w:topLinePunct w:val="0"/>
        <w:bidi w:val="0"/>
        <w:adjustRightInd w:val="0"/>
        <w:spacing w:line="560" w:lineRule="exact"/>
        <w:ind w:left="0" w:leftChars="0" w:firstLine="640"/>
        <w:outlineLvl w:val="0"/>
        <w:rPr>
          <w:rFonts w:hint="default" w:ascii="Times New Roman" w:hAnsi="Times New Roman" w:eastAsia="黑体" w:cs="Times New Roman"/>
        </w:rPr>
      </w:pPr>
      <w:bookmarkStart w:id="8" w:name="_Toc26223"/>
      <w:r>
        <w:rPr>
          <w:rFonts w:hint="default" w:ascii="Times New Roman" w:hAnsi="Times New Roman" w:eastAsia="黑体" w:cs="Times New Roman"/>
        </w:rPr>
        <w:t>三、发展重点</w:t>
      </w:r>
      <w:bookmarkEnd w:id="8"/>
    </w:p>
    <w:p w14:paraId="28A3D475">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eastAsia="zh-CN"/>
        </w:rPr>
      </w:pPr>
      <w:bookmarkStart w:id="9" w:name="_Toc968"/>
      <w:r>
        <w:rPr>
          <w:rFonts w:hint="default" w:ascii="Times New Roman" w:hAnsi="Times New Roman" w:eastAsia="楷体_GB2312" w:cs="Times New Roman"/>
          <w:lang w:eastAsia="zh-CN"/>
        </w:rPr>
        <w:t>（一）强化算力供给能力</w:t>
      </w:r>
      <w:bookmarkEnd w:id="9"/>
    </w:p>
    <w:p w14:paraId="781D389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6"/>
        </w:rPr>
      </w:pPr>
      <w:r>
        <w:rPr>
          <w:rFonts w:hint="default" w:ascii="Times New Roman" w:hAnsi="Times New Roman" w:eastAsia="方正仿宋_GB2312" w:cs="Times New Roman"/>
          <w:b/>
          <w:bCs/>
          <w:sz w:val="32"/>
          <w:szCs w:val="36"/>
        </w:rPr>
        <w:t>扩大算力基础设施规模，构建多元化算力体系。</w:t>
      </w:r>
      <w:r>
        <w:rPr>
          <w:rFonts w:hint="default" w:ascii="Times New Roman" w:hAnsi="Times New Roman" w:eastAsia="方正仿宋_GB2312" w:cs="Times New Roman"/>
          <w:sz w:val="32"/>
          <w:szCs w:val="36"/>
        </w:rPr>
        <w:t>推动</w:t>
      </w:r>
      <w:r>
        <w:rPr>
          <w:rFonts w:hint="default" w:ascii="Times New Roman" w:hAnsi="Times New Roman" w:eastAsia="方正仿宋_GB2312" w:cs="Times New Roman"/>
          <w:sz w:val="32"/>
          <w:szCs w:val="36"/>
          <w:lang w:eastAsia="zh-CN"/>
        </w:rPr>
        <w:t>在建及</w:t>
      </w:r>
      <w:r>
        <w:rPr>
          <w:rFonts w:hint="default" w:ascii="Times New Roman" w:hAnsi="Times New Roman" w:eastAsia="方正仿宋_GB2312" w:cs="Times New Roman"/>
          <w:sz w:val="32"/>
          <w:szCs w:val="36"/>
        </w:rPr>
        <w:t>拟建数据中心项目加快建设进度，重点推进腾讯、万国、中联等在建项目提速建设，推动秦淮数据、电信韶塘、中金数据等项目开工建设</w:t>
      </w:r>
      <w:r>
        <w:rPr>
          <w:rFonts w:hint="default" w:ascii="Times New Roman" w:hAnsi="Times New Roman" w:eastAsia="方正仿宋_GB2312" w:cs="Times New Roman"/>
          <w:sz w:val="32"/>
          <w:szCs w:val="36"/>
          <w:lang w:eastAsia="zh-CN"/>
        </w:rPr>
        <w:t>。推进万国、联通签约腾讯250MW算力规模项目加快服务器上架，推动联通与腾讯尽快签约确定新增50MW算力规模，推动电信中标腾讯200MW韶塘算力项目加快落地建设。推动腾讯加快自用服务器上架，</w:t>
      </w:r>
      <w:r>
        <w:rPr>
          <w:rFonts w:hint="default" w:ascii="Times New Roman" w:hAnsi="Times New Roman" w:eastAsia="方正仿宋_GB2312" w:cs="Times New Roman"/>
          <w:sz w:val="32"/>
          <w:szCs w:val="36"/>
          <w:lang w:val="en-US" w:eastAsia="zh-CN"/>
        </w:rPr>
        <w:t>持续扩大</w:t>
      </w:r>
      <w:r>
        <w:rPr>
          <w:rFonts w:hint="default" w:ascii="Times New Roman" w:hAnsi="Times New Roman" w:eastAsia="方正仿宋_GB2312" w:cs="Times New Roman"/>
          <w:sz w:val="32"/>
          <w:szCs w:val="36"/>
          <w:lang w:eastAsia="zh-CN"/>
        </w:rPr>
        <w:t>万卡集群</w:t>
      </w:r>
      <w:r>
        <w:rPr>
          <w:rFonts w:hint="default" w:ascii="Times New Roman" w:hAnsi="Times New Roman" w:eastAsia="方正仿宋_GB2312" w:cs="Times New Roman"/>
          <w:sz w:val="32"/>
          <w:szCs w:val="36"/>
          <w:lang w:val="en-US" w:eastAsia="zh-CN"/>
        </w:rPr>
        <w:t>数量</w:t>
      </w:r>
      <w:r>
        <w:rPr>
          <w:rFonts w:hint="default" w:ascii="Times New Roman" w:hAnsi="Times New Roman" w:eastAsia="方正仿宋_GB2312" w:cs="Times New Roman"/>
          <w:sz w:val="32"/>
          <w:szCs w:val="36"/>
          <w:lang w:eastAsia="zh-CN"/>
        </w:rPr>
        <w:t>。</w:t>
      </w:r>
      <w:r>
        <w:rPr>
          <w:rFonts w:hint="default" w:ascii="Times New Roman" w:hAnsi="Times New Roman" w:eastAsia="方正仿宋_GB2312" w:cs="Times New Roman"/>
          <w:sz w:val="32"/>
          <w:szCs w:val="36"/>
        </w:rPr>
        <w:t>同时，为满足人工智能对大规模、低时延算力的爆发式需求，</w:t>
      </w:r>
      <w:r>
        <w:rPr>
          <w:rFonts w:hint="default" w:ascii="Times New Roman" w:hAnsi="Times New Roman" w:eastAsia="方正仿宋_GB2312" w:cs="Times New Roman"/>
          <w:sz w:val="32"/>
          <w:szCs w:val="36"/>
          <w:lang w:val="en-US" w:eastAsia="zh-CN"/>
        </w:rPr>
        <w:t>持续推进</w:t>
      </w:r>
      <w:r>
        <w:rPr>
          <w:rFonts w:hint="default" w:ascii="Times New Roman" w:hAnsi="Times New Roman" w:eastAsia="方正仿宋_GB2312" w:cs="Times New Roman"/>
          <w:sz w:val="32"/>
          <w:szCs w:val="36"/>
        </w:rPr>
        <w:t>集群起步区扩容，开展浈江产业园、曲江经济开发区、莞韶城片区扩区地块和浈江韶塘片区、武江龙归片区征收、报批、平整等工作</w:t>
      </w:r>
      <w:r>
        <w:rPr>
          <w:rFonts w:hint="default" w:ascii="Times New Roman" w:hAnsi="Times New Roman" w:eastAsia="方正仿宋_GB2312" w:cs="Times New Roman"/>
          <w:sz w:val="32"/>
          <w:szCs w:val="36"/>
          <w:lang w:eastAsia="zh-CN"/>
        </w:rPr>
        <w:t>。</w:t>
      </w:r>
      <w:r>
        <w:rPr>
          <w:rFonts w:hint="default" w:ascii="Times New Roman" w:hAnsi="Times New Roman" w:eastAsia="方正仿宋_GB2312" w:cs="Times New Roman"/>
          <w:sz w:val="32"/>
          <w:szCs w:val="36"/>
        </w:rPr>
        <w:t>建设起步区</w:t>
      </w:r>
      <w:r>
        <w:rPr>
          <w:rFonts w:hint="eastAsia" w:ascii="Times New Roman" w:hAnsi="Times New Roman" w:eastAsia="方正仿宋_GB2312" w:cs="Times New Roman"/>
          <w:sz w:val="32"/>
          <w:szCs w:val="36"/>
          <w:lang w:val="en-US" w:eastAsia="zh-CN"/>
        </w:rPr>
        <w:t>和</w:t>
      </w:r>
      <w:r>
        <w:rPr>
          <w:rFonts w:hint="default" w:ascii="Times New Roman" w:hAnsi="Times New Roman" w:eastAsia="方正仿宋_GB2312" w:cs="Times New Roman"/>
          <w:sz w:val="32"/>
          <w:szCs w:val="36"/>
        </w:rPr>
        <w:t>扩区片区双水源供水、双电源供电、双回路道路及管道等配套设施，为超大规模算力项目预留充足发展空间。积极发挥示范引领效应，推动全省党政机关、事业单位及央国企在韶关建设算力中心和灾备中心，促进核心数据资源向本地汇聚。</w:t>
      </w:r>
    </w:p>
    <w:p w14:paraId="770F7E9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6"/>
        </w:rPr>
      </w:pPr>
      <w:r>
        <w:rPr>
          <w:rFonts w:hint="default" w:ascii="Times New Roman" w:hAnsi="Times New Roman" w:eastAsia="方正仿宋_GB2312" w:cs="Times New Roman"/>
          <w:b/>
          <w:bCs/>
          <w:sz w:val="32"/>
          <w:szCs w:val="36"/>
        </w:rPr>
        <w:t>强化能源与安全保障，提升算力供给韧性。</w:t>
      </w:r>
      <w:r>
        <w:rPr>
          <w:rFonts w:hint="default" w:ascii="Times New Roman" w:hAnsi="Times New Roman" w:eastAsia="方正仿宋_GB2312" w:cs="Times New Roman"/>
          <w:sz w:val="32"/>
          <w:szCs w:val="36"/>
        </w:rPr>
        <w:t>围绕数据中心高可靠用电需求，加速推进集群内220千伏、110千伏变电站建设，实现“双电源、双回路”供电。大力推广“源网荷储”一体化试点，充分利用韶关1100万千瓦新能源开发潜力，提升绿电使用比例，有效降低数据中心用电成本。依托国家算力设施安全试点，建设</w:t>
      </w:r>
      <w:r>
        <w:rPr>
          <w:rFonts w:hint="eastAsia" w:ascii="Times New Roman" w:hAnsi="Times New Roman" w:eastAsia="方正仿宋_GB2312" w:cs="Times New Roman"/>
          <w:sz w:val="32"/>
          <w:szCs w:val="36"/>
          <w:lang w:eastAsia="zh-CN"/>
        </w:rPr>
        <w:t>“</w:t>
      </w:r>
      <w:r>
        <w:rPr>
          <w:rFonts w:hint="default" w:ascii="Times New Roman" w:hAnsi="Times New Roman" w:eastAsia="方正仿宋_GB2312" w:cs="Times New Roman"/>
          <w:sz w:val="32"/>
          <w:szCs w:val="36"/>
        </w:rPr>
        <w:t>集群</w:t>
      </w:r>
      <w:r>
        <w:rPr>
          <w:rFonts w:hint="default" w:ascii="Times New Roman" w:hAnsi="Times New Roman" w:eastAsia="方正仿宋_GB2312" w:cs="Times New Roman"/>
          <w:sz w:val="32"/>
          <w:szCs w:val="36"/>
          <w:lang w:eastAsia="zh-CN"/>
        </w:rPr>
        <w:t>－</w:t>
      </w:r>
      <w:r>
        <w:rPr>
          <w:rFonts w:hint="default" w:ascii="Times New Roman" w:hAnsi="Times New Roman" w:eastAsia="方正仿宋_GB2312" w:cs="Times New Roman"/>
          <w:sz w:val="32"/>
          <w:szCs w:val="36"/>
        </w:rPr>
        <w:t>数据中心</w:t>
      </w:r>
      <w:r>
        <w:rPr>
          <w:rFonts w:hint="eastAsia" w:ascii="Times New Roman" w:hAnsi="Times New Roman" w:eastAsia="方正仿宋_GB2312" w:cs="Times New Roman"/>
          <w:sz w:val="32"/>
          <w:szCs w:val="36"/>
          <w:lang w:eastAsia="zh-CN"/>
        </w:rPr>
        <w:t>”</w:t>
      </w:r>
      <w:r>
        <w:rPr>
          <w:rFonts w:hint="default" w:ascii="Times New Roman" w:hAnsi="Times New Roman" w:eastAsia="方正仿宋_GB2312" w:cs="Times New Roman"/>
          <w:sz w:val="32"/>
          <w:szCs w:val="36"/>
        </w:rPr>
        <w:t>两级安全防护体系，加快一体化安全保障平台投产，引入专业化网络安全运营服务，保障集群内数据与网络运行安全，为算力服务提供可信赖的安全底座。</w:t>
      </w:r>
    </w:p>
    <w:p w14:paraId="0B1E52BB">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eastAsia="zh-CN"/>
        </w:rPr>
      </w:pPr>
      <w:bookmarkStart w:id="10" w:name="_Toc1844"/>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二</w:t>
      </w:r>
      <w:r>
        <w:rPr>
          <w:rFonts w:hint="default" w:ascii="Times New Roman" w:hAnsi="Times New Roman" w:eastAsia="楷体_GB2312" w:cs="Times New Roman"/>
          <w:lang w:eastAsia="zh-CN"/>
        </w:rPr>
        <w:t>）筑牢数据要素支撑</w:t>
      </w:r>
      <w:bookmarkEnd w:id="10"/>
    </w:p>
    <w:p w14:paraId="05CE551C">
      <w:pPr>
        <w:keepNext w:val="0"/>
        <w:keepLines w:val="0"/>
        <w:pageBreakBefore w:val="0"/>
        <w:numPr>
          <w:ilvl w:val="0"/>
          <w:numId w:val="0"/>
        </w:numPr>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kern w:val="0"/>
          <w:sz w:val="32"/>
          <w:szCs w:val="32"/>
          <w:lang w:val="en-US" w:eastAsia="zh-CN" w:bidi="ar-SA"/>
        </w:rPr>
      </w:pPr>
      <w:r>
        <w:rPr>
          <w:rFonts w:hint="default" w:ascii="Times New Roman" w:hAnsi="Times New Roman" w:eastAsia="方正仿宋_GB2312" w:cs="Times New Roman"/>
          <w:b/>
          <w:bCs/>
          <w:kern w:val="0"/>
          <w:sz w:val="32"/>
          <w:szCs w:val="32"/>
          <w:lang w:val="en-US" w:eastAsia="zh-CN" w:bidi="ar-SA"/>
        </w:rPr>
        <w:t>加快数据资源集聚，夯实要素流通基础。</w:t>
      </w:r>
      <w:r>
        <w:rPr>
          <w:rFonts w:hint="default" w:ascii="Times New Roman" w:hAnsi="Times New Roman" w:eastAsia="方正仿宋_GB2312" w:cs="Times New Roman"/>
          <w:kern w:val="0"/>
          <w:sz w:val="32"/>
          <w:szCs w:val="32"/>
          <w:lang w:val="en-US" w:eastAsia="zh-CN" w:bidi="ar-SA"/>
        </w:rPr>
        <w:t>依托省首批、粤东西北唯一数据要素集聚发展区和全省政务数据存备核心枢纽定位，推动全省党政机关、事业单位及央国企的政务数据、行业数据向韶关有序汇聚，重点承接省公安厅、省档案馆、省交通集团等单位的数据存储与备份需求。同步引导气象、交通、文旅、医疗、音视频等社会数据资源向本地集中，形成公共数据与社会数据融合汇聚的良性局面。加快公共数据资源开放和授权运营步伐，建立健全数据资源登记、授权加工和运营管理机制，为企业参与数据融合开发提供丰富的数据原料。</w:t>
      </w:r>
    </w:p>
    <w:p w14:paraId="2AB4B2BC">
      <w:pPr>
        <w:keepNext w:val="0"/>
        <w:keepLines w:val="0"/>
        <w:pageBreakBefore w:val="0"/>
        <w:numPr>
          <w:ilvl w:val="0"/>
          <w:numId w:val="0"/>
        </w:numPr>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kern w:val="0"/>
          <w:sz w:val="32"/>
          <w:szCs w:val="32"/>
          <w:lang w:val="en-US" w:eastAsia="zh-CN" w:bidi="ar-SA"/>
        </w:rPr>
      </w:pPr>
      <w:r>
        <w:rPr>
          <w:rFonts w:hint="default" w:ascii="Times New Roman" w:hAnsi="Times New Roman" w:eastAsia="方正仿宋_GB2312" w:cs="Times New Roman"/>
          <w:b/>
          <w:bCs/>
          <w:kern w:val="0"/>
          <w:sz w:val="32"/>
          <w:szCs w:val="32"/>
          <w:lang w:val="en-US" w:eastAsia="zh-CN" w:bidi="ar-SA"/>
        </w:rPr>
        <w:t>深化数据开发利用，培育数据产业生态。</w:t>
      </w:r>
      <w:r>
        <w:rPr>
          <w:rFonts w:hint="default" w:ascii="Times New Roman" w:hAnsi="Times New Roman" w:eastAsia="方正仿宋_GB2312" w:cs="Times New Roman"/>
          <w:b w:val="0"/>
          <w:bCs w:val="0"/>
          <w:kern w:val="0"/>
          <w:sz w:val="32"/>
          <w:szCs w:val="32"/>
          <w:lang w:val="en-US" w:eastAsia="zh-CN" w:bidi="ar-SA"/>
        </w:rPr>
        <w:t>对接省“数据要素×”行动，聚焦工业制造、医疗健康、生态环境、气象服务等重点领域，鼓励企业开展公共数据与社会数据融合开发，打造一批具有市场价值的</w:t>
      </w:r>
      <w:r>
        <w:rPr>
          <w:rFonts w:hint="eastAsia" w:ascii="Times New Roman" w:hAnsi="Times New Roman" w:eastAsia="方正仿宋_GB2312" w:cs="Times New Roman"/>
          <w:b w:val="0"/>
          <w:bCs w:val="0"/>
          <w:kern w:val="0"/>
          <w:sz w:val="32"/>
          <w:szCs w:val="32"/>
          <w:lang w:val="en-US" w:eastAsia="zh-CN" w:bidi="ar-SA"/>
        </w:rPr>
        <w:t>高质量数据集</w:t>
      </w:r>
      <w:r>
        <w:rPr>
          <w:rFonts w:hint="default" w:ascii="Times New Roman" w:hAnsi="Times New Roman" w:eastAsia="方正仿宋_GB2312" w:cs="Times New Roman"/>
          <w:b w:val="0"/>
          <w:bCs w:val="0"/>
          <w:kern w:val="0"/>
          <w:sz w:val="32"/>
          <w:szCs w:val="32"/>
          <w:lang w:val="en-US" w:eastAsia="zh-CN" w:bidi="ar-SA"/>
        </w:rPr>
        <w:t>和</w:t>
      </w:r>
      <w:r>
        <w:rPr>
          <w:rFonts w:hint="eastAsia" w:ascii="Times New Roman" w:hAnsi="Times New Roman" w:eastAsia="方正仿宋_GB2312" w:cs="Times New Roman"/>
          <w:b w:val="0"/>
          <w:bCs w:val="0"/>
          <w:kern w:val="0"/>
          <w:sz w:val="32"/>
          <w:szCs w:val="32"/>
          <w:lang w:val="en-US" w:eastAsia="zh-CN" w:bidi="ar-SA"/>
        </w:rPr>
        <w:t>数据相关</w:t>
      </w:r>
      <w:r>
        <w:rPr>
          <w:rFonts w:hint="default" w:ascii="Times New Roman" w:hAnsi="Times New Roman" w:eastAsia="方正仿宋_GB2312" w:cs="Times New Roman"/>
          <w:b w:val="0"/>
          <w:bCs w:val="0"/>
          <w:kern w:val="0"/>
          <w:sz w:val="32"/>
          <w:szCs w:val="32"/>
          <w:lang w:val="en-US" w:eastAsia="zh-CN" w:bidi="ar-SA"/>
        </w:rPr>
        <w:t>服务。</w:t>
      </w:r>
      <w:r>
        <w:rPr>
          <w:rFonts w:hint="default" w:ascii="Times New Roman" w:hAnsi="Times New Roman" w:eastAsia="方正仿宋_GB2312" w:cs="Times New Roman"/>
          <w:kern w:val="0"/>
          <w:sz w:val="32"/>
          <w:szCs w:val="32"/>
          <w:lang w:val="en-US" w:eastAsia="zh-CN" w:bidi="ar-SA"/>
        </w:rPr>
        <w:t>依托百度、电信、粤信等数据标注基地，推动数据标注与智能驾驶、智能制造等应用场景深度融合，培育壮大数据采集、清洗、标注、加工等数据服务产业。积极引进和培育数据经纪人、数据商及第三方专业服务机构，大力发展数据经纪、数据合规、数据资产评估、数据流通等市场化服务，加快形成数据要素市场化配置能力。</w:t>
      </w:r>
    </w:p>
    <w:p w14:paraId="64DEC822">
      <w:pPr>
        <w:keepNext w:val="0"/>
        <w:keepLines w:val="0"/>
        <w:pageBreakBefore w:val="0"/>
        <w:numPr>
          <w:ilvl w:val="0"/>
          <w:numId w:val="0"/>
        </w:numPr>
        <w:kinsoku/>
        <w:wordWrap/>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kern w:val="0"/>
          <w:sz w:val="32"/>
          <w:szCs w:val="32"/>
          <w:lang w:val="en-US" w:eastAsia="zh-CN" w:bidi="ar-SA"/>
        </w:rPr>
        <w:t>强化数据安全治理，筑牢可信流通底座。</w:t>
      </w:r>
      <w:r>
        <w:rPr>
          <w:rFonts w:hint="default" w:ascii="Times New Roman" w:hAnsi="Times New Roman" w:eastAsia="方正仿宋_GB2312" w:cs="Times New Roman"/>
          <w:kern w:val="0"/>
          <w:sz w:val="32"/>
          <w:szCs w:val="32"/>
          <w:lang w:val="en-US" w:eastAsia="zh-CN" w:bidi="ar-SA"/>
        </w:rPr>
        <w:t>依托国家“来数加工”试点政策，加快研究建设韶关至香港的专用数据通道，完善数据跨境安全设施，探索数据跨境合规流通路径，推动“港数粤算”落地见效。建设可信数据空间韶关节点，促进数据在粤港澳大湾区跨区域、跨行业安全合规流通。完善数据安全管理制度和技术防护体系，强化数据分类分级保护，确保数据在采集、存储、流通、利用各环节的安全可控，为数据要素价值释放提供可靠保障。</w:t>
      </w:r>
    </w:p>
    <w:p w14:paraId="0BCFB1A8">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eastAsia="zh-CN"/>
        </w:rPr>
      </w:pPr>
      <w:bookmarkStart w:id="11" w:name="_Toc29113"/>
      <w:r>
        <w:rPr>
          <w:rFonts w:hint="default" w:ascii="Times New Roman" w:hAnsi="Times New Roman" w:eastAsia="楷体_GB2312" w:cs="Times New Roman"/>
          <w:lang w:eastAsia="zh-CN"/>
        </w:rPr>
        <w:t>（</w:t>
      </w:r>
      <w:r>
        <w:rPr>
          <w:rFonts w:hint="default" w:ascii="Times New Roman" w:hAnsi="Times New Roman" w:eastAsia="楷体_GB2312" w:cs="Times New Roman"/>
          <w:lang w:val="en-US" w:eastAsia="zh-CN"/>
        </w:rPr>
        <w:t>三</w:t>
      </w:r>
      <w:r>
        <w:rPr>
          <w:rFonts w:hint="default" w:ascii="Times New Roman" w:hAnsi="Times New Roman" w:eastAsia="楷体_GB2312" w:cs="Times New Roman"/>
          <w:lang w:eastAsia="zh-CN"/>
        </w:rPr>
        <w:t>）壮大硬件制造环节</w:t>
      </w:r>
      <w:bookmarkEnd w:id="11"/>
    </w:p>
    <w:p w14:paraId="0157CC6D">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textAlignment w:val="baseline"/>
        <w:rPr>
          <w:rFonts w:hint="default" w:ascii="Times New Roman" w:hAnsi="Times New Roman" w:eastAsia="方正仿宋_GB2312" w:cs="Times New Roman"/>
          <w:sz w:val="32"/>
          <w:szCs w:val="36"/>
          <w:lang w:val="en-US" w:eastAsia="zh-CN"/>
        </w:rPr>
      </w:pPr>
      <w:r>
        <w:rPr>
          <w:rFonts w:hint="default" w:ascii="Times New Roman" w:hAnsi="Times New Roman" w:eastAsia="方正仿宋_GB2312" w:cs="Times New Roman"/>
          <w:b/>
          <w:bCs/>
          <w:sz w:val="32"/>
          <w:szCs w:val="36"/>
          <w:lang w:val="en-US" w:eastAsia="zh-CN"/>
        </w:rPr>
        <w:t>承接大湾区电子信息制造转移</w:t>
      </w:r>
      <w:r>
        <w:rPr>
          <w:rFonts w:hint="eastAsia" w:ascii="Times New Roman" w:hAnsi="Times New Roman" w:eastAsia="方正仿宋_GB2312" w:cs="Times New Roman"/>
          <w:b/>
          <w:bCs/>
          <w:sz w:val="32"/>
          <w:szCs w:val="36"/>
          <w:lang w:val="en-US" w:eastAsia="zh-CN"/>
        </w:rPr>
        <w:t>，</w:t>
      </w:r>
      <w:r>
        <w:rPr>
          <w:rFonts w:hint="default" w:ascii="Times New Roman" w:hAnsi="Times New Roman" w:eastAsia="方正仿宋_GB2312" w:cs="Times New Roman"/>
          <w:b/>
          <w:bCs/>
          <w:sz w:val="32"/>
          <w:szCs w:val="36"/>
          <w:lang w:val="en-US" w:eastAsia="zh-CN"/>
        </w:rPr>
        <w:t>壮大服务器整机产业。</w:t>
      </w:r>
      <w:r>
        <w:rPr>
          <w:rFonts w:hint="default" w:ascii="Times New Roman" w:hAnsi="Times New Roman" w:eastAsia="方正仿宋_GB2312" w:cs="Times New Roman"/>
          <w:sz w:val="32"/>
          <w:szCs w:val="36"/>
          <w:lang w:val="en-US" w:eastAsia="zh-CN"/>
        </w:rPr>
        <w:t>紧扣“十五五”规划中关于承接珠三角产业转移和培育先进制造业集群的要求，重点发展服务器整机组装及关键零部件配套制造。支持朗科科技、华天科技等本地龙头企业扩产增效，鼓励其围绕鲲鹏、昇腾生态开发自有品牌服务器和存储设备；建立“整机+配套”联合招商机制，由整机企业发布供应链需求清单，定向招引PCB板卡、光模块、连接器等上下游配套企业落户韶关，打造大湾区算力硬件制造基地。</w:t>
      </w:r>
    </w:p>
    <w:p w14:paraId="5398D9CC">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textAlignment w:val="baseline"/>
        <w:rPr>
          <w:rFonts w:hint="default" w:ascii="Times New Roman" w:hAnsi="Times New Roman" w:eastAsia="方正仿宋_GB2312" w:cs="Times New Roman"/>
          <w:sz w:val="32"/>
          <w:szCs w:val="36"/>
          <w:lang w:val="en-US" w:eastAsia="zh-CN"/>
        </w:rPr>
      </w:pPr>
      <w:r>
        <w:rPr>
          <w:rFonts w:hint="default" w:ascii="Times New Roman" w:hAnsi="Times New Roman" w:eastAsia="方正仿宋_GB2312" w:cs="Times New Roman"/>
          <w:b/>
          <w:bCs/>
          <w:sz w:val="32"/>
          <w:szCs w:val="36"/>
          <w:lang w:val="en-US" w:eastAsia="zh-CN"/>
        </w:rPr>
        <w:t>推动传统机电企业向绿色算力装备转型。</w:t>
      </w:r>
      <w:r>
        <w:rPr>
          <w:rFonts w:hint="default" w:ascii="Times New Roman" w:hAnsi="Times New Roman" w:eastAsia="方正仿宋_GB2312" w:cs="Times New Roman"/>
          <w:sz w:val="32"/>
          <w:szCs w:val="36"/>
          <w:lang w:val="en-US" w:eastAsia="zh-CN"/>
        </w:rPr>
        <w:t>落实“十五五”绿美广东与碳达峰碳中和目标，引导本地传统机电企业向数据中心精密空调、UPS电源、液冷设备等细分领域转型升级。支持企业与科研院所合作，研发适应韶关气候特点的高效液冷技术和余热回收设备，推动供配电、温控等机电设备国产化替代；依托韶关绿电优势和低PUE要求，培育一批专注于绿色算力基础设施制造的专精特新企业，形成具有韶关特色的绿色算力装备制造集群。</w:t>
      </w:r>
    </w:p>
    <w:p w14:paraId="452BB796">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textAlignment w:val="baseline"/>
        <w:rPr>
          <w:rFonts w:hint="default" w:ascii="Times New Roman" w:hAnsi="Times New Roman" w:eastAsia="方正仿宋_GB2312" w:cs="Times New Roman"/>
          <w:sz w:val="32"/>
          <w:szCs w:val="36"/>
          <w:lang w:val="en-US" w:eastAsia="zh-CN"/>
        </w:rPr>
      </w:pPr>
      <w:r>
        <w:rPr>
          <w:rFonts w:hint="default" w:ascii="Times New Roman" w:hAnsi="Times New Roman" w:eastAsia="方正仿宋_GB2312" w:cs="Times New Roman"/>
          <w:b/>
          <w:bCs/>
          <w:sz w:val="32"/>
          <w:szCs w:val="36"/>
          <w:lang w:val="en-US" w:eastAsia="zh-CN"/>
        </w:rPr>
        <w:t>设立算力硬件专项基金</w:t>
      </w:r>
      <w:r>
        <w:rPr>
          <w:rFonts w:hint="eastAsia" w:ascii="Times New Roman" w:hAnsi="Times New Roman" w:eastAsia="方正仿宋_GB2312" w:cs="Times New Roman"/>
          <w:b/>
          <w:bCs/>
          <w:sz w:val="32"/>
          <w:szCs w:val="36"/>
          <w:lang w:val="en-US" w:eastAsia="zh-CN"/>
        </w:rPr>
        <w:t>，</w:t>
      </w:r>
      <w:r>
        <w:rPr>
          <w:rFonts w:hint="default" w:ascii="Times New Roman" w:hAnsi="Times New Roman" w:eastAsia="方正仿宋_GB2312" w:cs="Times New Roman"/>
          <w:b/>
          <w:bCs/>
          <w:sz w:val="32"/>
          <w:szCs w:val="36"/>
          <w:lang w:val="en-US" w:eastAsia="zh-CN"/>
        </w:rPr>
        <w:t>实施精准招商。</w:t>
      </w:r>
      <w:r>
        <w:rPr>
          <w:rFonts w:hint="default" w:ascii="Times New Roman" w:hAnsi="Times New Roman" w:eastAsia="方正仿宋_GB2312" w:cs="Times New Roman"/>
          <w:sz w:val="32"/>
          <w:szCs w:val="36"/>
          <w:lang w:val="en-US" w:eastAsia="zh-CN"/>
        </w:rPr>
        <w:t>发挥政府引导基金的杠杆作用，组建韶关算力产业发展基金，重点投资服务器制造、液冷设备制造、储能设备等中游制造环节。采用“拨投结合”模式，对引进的高端装备制造项目给予股权投资支持，降低企业落地成本；加强与行业协会、专业咨询机构合作，绘制算力硬件产业链招商图谱，精准锁定大湾区外溢的优质制造企业，通过资本纽带强化产业链根植性。</w:t>
      </w:r>
    </w:p>
    <w:p w14:paraId="2EBE62A9">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b w:val="0"/>
          <w:bCs w:val="0"/>
          <w:lang w:eastAsia="zh-CN"/>
        </w:rPr>
      </w:pPr>
      <w:bookmarkStart w:id="12" w:name="_Toc32321"/>
      <w:r>
        <w:rPr>
          <w:rFonts w:hint="default" w:ascii="Times New Roman" w:hAnsi="Times New Roman" w:eastAsia="楷体_GB2312" w:cs="Times New Roman"/>
          <w:b w:val="0"/>
          <w:bCs w:val="0"/>
          <w:lang w:eastAsia="zh-CN"/>
        </w:rPr>
        <w:t>（</w:t>
      </w:r>
      <w:r>
        <w:rPr>
          <w:rFonts w:hint="default" w:ascii="Times New Roman" w:hAnsi="Times New Roman" w:eastAsia="楷体_GB2312" w:cs="Times New Roman"/>
          <w:b w:val="0"/>
          <w:bCs w:val="0"/>
          <w:lang w:val="en-US" w:eastAsia="zh-CN"/>
        </w:rPr>
        <w:t>四</w:t>
      </w:r>
      <w:r>
        <w:rPr>
          <w:rFonts w:hint="default" w:ascii="Times New Roman" w:hAnsi="Times New Roman" w:eastAsia="楷体_GB2312" w:cs="Times New Roman"/>
          <w:b w:val="0"/>
          <w:bCs w:val="0"/>
          <w:lang w:eastAsia="zh-CN"/>
        </w:rPr>
        <w:t>）推动AI+应用试点</w:t>
      </w:r>
      <w:bookmarkEnd w:id="12"/>
    </w:p>
    <w:p w14:paraId="4B8DAD5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3" w:name="_Toc13711"/>
      <w:r>
        <w:rPr>
          <w:rFonts w:hint="default" w:ascii="Times New Roman" w:hAnsi="Times New Roman" w:eastAsia="方正楷体_GB2312" w:cs="Times New Roman"/>
          <w:b w:val="0"/>
          <w:bCs w:val="0"/>
          <w:sz w:val="32"/>
          <w:szCs w:val="32"/>
          <w:lang w:val="en-US" w:eastAsia="zh-CN"/>
        </w:rPr>
        <w:t>1、算力 + 智能网联汽车</w:t>
      </w:r>
      <w:bookmarkEnd w:id="13"/>
    </w:p>
    <w:p w14:paraId="3B34F1C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4B63737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国家级“超级试炼场”。</w:t>
      </w:r>
      <w:r>
        <w:rPr>
          <w:rFonts w:hint="default" w:ascii="Times New Roman" w:hAnsi="Times New Roman" w:eastAsia="方正仿宋_GB2312" w:cs="Times New Roman"/>
          <w:sz w:val="32"/>
          <w:szCs w:val="32"/>
          <w:lang w:val="en-US" w:eastAsia="zh-CN"/>
        </w:rPr>
        <w:t>韶关目前最核心的实体基础是南方（韶关）智能网联新能源汽车试验检测中心。根据规划，该项目一期已于2025年底部分建成并试运营，到2026年5月，其核心测试功能已全面投入使用。拥有国内试验场首个综合服务机库，建有长达8.5公里、最高测试时速可达280公里的高速环道</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直径300米的动态广场以及6条长直线滑行跑道。</w:t>
      </w:r>
    </w:p>
    <w:p w14:paraId="661BC5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“车路云一体化”数字引擎。</w:t>
      </w:r>
      <w:r>
        <w:rPr>
          <w:rFonts w:hint="default" w:ascii="Times New Roman" w:hAnsi="Times New Roman" w:eastAsia="方正仿宋_GB2312" w:cs="Times New Roman"/>
          <w:sz w:val="32"/>
          <w:szCs w:val="32"/>
          <w:lang w:val="en-US" w:eastAsia="zh-CN"/>
        </w:rPr>
        <w:t>韶关利用“东数西算”枢纽节点的优势，为智能网联汽车提供了强大的算力和网络支撑。在南方试验场及周边道路，韶关已部署了5G-A基站和路侧感知设备，配合低空数字化监管平台，实现了“车-机-网-空”的跨域协同验证能力。同时，韶关正在建设翁源交通行业数据中心，专门用于汇聚和处理交通行业数据，为智能网联汽车提供数据清洗、标注和存储服务。</w:t>
      </w:r>
    </w:p>
    <w:p w14:paraId="036DFAB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主体发展引领作用初步显现。</w:t>
      </w:r>
      <w:r>
        <w:rPr>
          <w:rFonts w:hint="default" w:ascii="Times New Roman" w:hAnsi="Times New Roman" w:eastAsia="方正仿宋_GB2312" w:cs="Times New Roman"/>
          <w:sz w:val="32"/>
          <w:szCs w:val="32"/>
          <w:lang w:val="en-US" w:eastAsia="zh-CN"/>
        </w:rPr>
        <w:t>2026年3月，南方试验场已成功举办了广汽飞行汽车GOVE与18台智能网联汽车的地空协同演示，验证了“路面行驶+空中飞行”的立体交通接驳场景。引进滴滴自动驾驶的新一代Robotaxi进行测试，并与中国联通、中国汽研等机构建立了联合研究中心。</w:t>
      </w:r>
    </w:p>
    <w:p w14:paraId="24343A6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大湾区智能网联汽车产业发展现状与算力需求</w:t>
      </w:r>
      <w:r>
        <w:rPr>
          <w:rFonts w:hint="default" w:ascii="Times New Roman" w:hAnsi="Times New Roman" w:eastAsia="方正仿宋_GB2312" w:cs="Times New Roman"/>
          <w:sz w:val="32"/>
          <w:szCs w:val="32"/>
          <w:lang w:val="en-US" w:eastAsia="zh-CN"/>
        </w:rPr>
        <w:t>：广东是全国最大的汽车生产基地，2024年新能源汽车产量达361.78万辆，约占全国四分之一。目前，广州、深圳、佛山、惠州、东莞、中山六市已联合培育智能网联新能源汽车产业集群，坚持“三纵三横三核”发展思路，加快打造世界级汽车产业集群。龙头企业广汽集团累计研发投入已超580亿元，正建设“万卡级算力中心”，拥有超500万用户的驾驶场景数据及超4000万公里的自动驾驶路测数据，且在智能驾驶辅助系统、飞行汽车、人形机器人等多个领域</w:t>
      </w:r>
      <w:r>
        <w:rPr>
          <w:rFonts w:hint="eastAsia" w:ascii="Times New Roman" w:hAnsi="Times New Roman" w:eastAsia="方正仿宋_GB2312" w:cs="Times New Roman"/>
          <w:sz w:val="32"/>
          <w:szCs w:val="32"/>
          <w:lang w:val="en-US" w:eastAsia="zh-CN"/>
        </w:rPr>
        <w:t>储备</w:t>
      </w:r>
      <w:r>
        <w:rPr>
          <w:rFonts w:hint="default" w:ascii="Times New Roman" w:hAnsi="Times New Roman" w:eastAsia="方正仿宋_GB2312" w:cs="Times New Roman"/>
          <w:sz w:val="32"/>
          <w:szCs w:val="32"/>
          <w:lang w:val="en-US" w:eastAsia="zh-CN"/>
        </w:rPr>
        <w:t>了丰富的垂类算法模型。从算力需求看，相关企业在大模型训练、海量路测数据回传与标注、仿真场景建模等高密度计算任务环节均对算力有高强度需求。</w:t>
      </w:r>
    </w:p>
    <w:p w14:paraId="28A3305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5F1FC09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依托“南方试验场”，构建“全天候、全地形”的实车验证闭环。</w:t>
      </w:r>
      <w:r>
        <w:rPr>
          <w:rFonts w:hint="default" w:ascii="Times New Roman" w:hAnsi="Times New Roman" w:eastAsia="方正仿宋_GB2312" w:cs="Times New Roman"/>
          <w:sz w:val="32"/>
          <w:szCs w:val="32"/>
          <w:lang w:val="en-US" w:eastAsia="zh-CN"/>
        </w:rPr>
        <w:t>充分利用南方智能网联新能源汽车试验检测中心</w:t>
      </w:r>
      <w:r>
        <w:rPr>
          <w:rFonts w:hint="default" w:ascii="Times New Roman" w:hAnsi="Times New Roman" w:eastAsia="方正仿宋_GB2312" w:cs="Times New Roman"/>
        </w:rPr>
        <w:t>（以下简称“南方试验场”）</w:t>
      </w:r>
      <w:r>
        <w:rPr>
          <w:rFonts w:hint="default" w:ascii="Times New Roman" w:hAnsi="Times New Roman" w:eastAsia="方正仿宋_GB2312" w:cs="Times New Roman"/>
          <w:sz w:val="32"/>
          <w:szCs w:val="32"/>
          <w:lang w:val="en-US" w:eastAsia="zh-CN"/>
        </w:rPr>
        <w:t>这一国家级稀缺资源，针对大湾区车企在城市拥堵路段难以开展高强度、高风险测试的痛点，重点建设“高速环路+复杂城市街区+极限越野”的综合测试场景。建立与广州、深圳交管部门的“检测互认机制”，推动大湾区车企将韶关作为新车上市前的“最后一道质检关”，实现“广州设计、韶关拿证”。</w:t>
      </w:r>
    </w:p>
    <w:p w14:paraId="6A3019E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利用“数据中心集群”，打造自动驾驶大模型的“绿色算力后厨”。</w:t>
      </w:r>
      <w:r>
        <w:rPr>
          <w:rFonts w:hint="default" w:ascii="Times New Roman" w:hAnsi="Times New Roman" w:eastAsia="方正仿宋_GB2312" w:cs="Times New Roman"/>
          <w:sz w:val="32"/>
          <w:szCs w:val="32"/>
          <w:lang w:val="en-US" w:eastAsia="zh-CN"/>
        </w:rPr>
        <w:t>针对自动驾驶大模型训练对算力成本极其敏感的痛点，依托韶关数据中心集群的绿色能源优势和低成本算力资源，为大湾区车企提供比广深成本低30%以上的“模型训练服务”。建立“数据回传专线”，将车辆在大湾区采集的海量路测数据，实时回传至韶关进行清洗、标注和训练，训练好的模型再通过OTA远程下发给车辆，形成“数据在湾区跑，算力在韶关算”的闭环。</w:t>
      </w:r>
    </w:p>
    <w:p w14:paraId="75E9D29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聚焦“车路云一体化”，建设“矿山+文旅”的特色示范场景。</w:t>
      </w:r>
      <w:r>
        <w:rPr>
          <w:rFonts w:hint="default" w:ascii="Times New Roman" w:hAnsi="Times New Roman" w:eastAsia="方正仿宋_GB2312" w:cs="Times New Roman"/>
          <w:sz w:val="32"/>
          <w:szCs w:val="32"/>
          <w:lang w:val="en-US" w:eastAsia="zh-CN"/>
        </w:rPr>
        <w:t>避开大湾区拥挤的城市道路竞争，结合韶关本土产业特色，在凡口矿、韶钢等大型工矿企业部署“5G+无人驾驶重卡编队”，解决工业物流痛点；同时，在丹霞山等核心景区开通“L4级自动驾驶旅游专线”。利用这些特定场景，验证“车路云一体化”技术在复杂环境下的稳定性，为大湾区提供可复制的“车路云”商业化运营方案。</w:t>
      </w:r>
    </w:p>
    <w:p w14:paraId="60DC385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建立“仿真测试云平台”，实现“数字孪生”的虚拟迭代。</w:t>
      </w:r>
      <w:r>
        <w:rPr>
          <w:rFonts w:hint="default" w:ascii="Times New Roman" w:hAnsi="Times New Roman" w:eastAsia="方正仿宋_GB2312" w:cs="Times New Roman"/>
          <w:sz w:val="32"/>
          <w:szCs w:val="32"/>
          <w:lang w:val="en-US" w:eastAsia="zh-CN"/>
        </w:rPr>
        <w:t>利用韶关的算力优势，将南方试验场的物理道路进行1:1数字化重建，构建高精度数字孪生测试平台。大湾区车企无需将实车开到韶关，即可在云端利用韶关的算力进行百万公里级的“虚拟路测”和“极端场景回归测试”。这既解决了物理场地资源有限的问题，又极大缩短了研发周期。</w:t>
      </w:r>
    </w:p>
    <w:p w14:paraId="62627EE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深化“广韶协同”，设立“数据标注与清洗工厂”。</w:t>
      </w:r>
      <w:r>
        <w:rPr>
          <w:rFonts w:hint="default" w:ascii="Times New Roman" w:hAnsi="Times New Roman" w:eastAsia="方正仿宋_GB2312" w:cs="Times New Roman"/>
          <w:sz w:val="32"/>
          <w:szCs w:val="32"/>
          <w:lang w:val="en-US" w:eastAsia="zh-CN"/>
        </w:rPr>
        <w:t>依托韶关学院、松山职院等韶关职业教育资源，建立大规模的自动驾驶数据标注基地。承接大湾区车企溢出的海量原始数据，在韶关完成从“原始数据”到“训练素材”的转化，形成“大湾区采集—韶关标注—韶关训练”的数据产业链条。</w:t>
      </w:r>
    </w:p>
    <w:p w14:paraId="1648BB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4" w:name="_Toc13826"/>
      <w:r>
        <w:rPr>
          <w:rFonts w:hint="default" w:ascii="Times New Roman" w:hAnsi="Times New Roman" w:eastAsia="方正楷体_GB2312" w:cs="Times New Roman"/>
          <w:b w:val="0"/>
          <w:bCs w:val="0"/>
          <w:sz w:val="32"/>
          <w:szCs w:val="32"/>
          <w:lang w:val="en-US" w:eastAsia="zh-CN"/>
        </w:rPr>
        <w:t>2、算力 + 低空经济</w:t>
      </w:r>
      <w:bookmarkEnd w:id="14"/>
    </w:p>
    <w:p w14:paraId="5477DFF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177819BD">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空域资源率先突破。</w:t>
      </w:r>
      <w:r>
        <w:rPr>
          <w:rFonts w:hint="default" w:ascii="Times New Roman" w:hAnsi="Times New Roman" w:eastAsia="方正仿宋_GB2312" w:cs="Times New Roman"/>
        </w:rPr>
        <w:t>正加快建设占地近1.2万亩的低空经济产业园</w:t>
      </w:r>
      <w:r>
        <w:rPr>
          <w:rFonts w:hint="default" w:ascii="Times New Roman" w:hAnsi="Times New Roman" w:eastAsia="方正仿宋_GB2312" w:cs="Times New Roman"/>
          <w:lang w:eastAsia="zh-CN"/>
        </w:rPr>
        <w:t>，</w:t>
      </w:r>
      <w:r>
        <w:rPr>
          <w:rFonts w:hint="eastAsia" w:eastAsia="方正仿宋_GB2312" w:cs="Times New Roman"/>
          <w:lang w:val="en-US" w:eastAsia="zh-CN"/>
        </w:rPr>
        <w:t>南方试验场</w:t>
      </w:r>
      <w:r>
        <w:rPr>
          <w:rFonts w:hint="default" w:ascii="Times New Roman" w:hAnsi="Times New Roman" w:eastAsia="方正仿宋_GB2312" w:cs="Times New Roman"/>
        </w:rPr>
        <w:t>获批近100平方公里1200米以下专属空域，是目前全省获批的最大低空空域使用范围之一，可为无人机、飞行汽车等提供“路空一体”测试所需的大范围、多层次立体空间。以上空域条件为“算力+低空经济”提供了稀缺的空中试验场。</w:t>
      </w:r>
    </w:p>
    <w:p w14:paraId="29E18B46">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测试认证高地加速成型。</w:t>
      </w:r>
      <w:r>
        <w:rPr>
          <w:rFonts w:hint="default" w:ascii="Times New Roman" w:hAnsi="Times New Roman" w:eastAsia="方正仿宋_GB2312" w:cs="Times New Roman"/>
        </w:rPr>
        <w:t>南方试验场目前已建设了低空数字化平台和5G-A通信基站等基础设施，形成了全国少有的路空协同测试环境，并且已获得国家级资质认定（CMA）和实验室认可（CNAS），正积极筹建国家智能网联汽车质量检验检测中心和广东省低空经济中试平台。定址韶关曲江的粤北区域应急救援中心将打造为广东航空应急救援与空地联合救援中心，可为低空飞行器提供实战运营验证平台。上述平台为算力赋能低空飞行器仿真测试和安全性验证提供了基础设施支撑。</w:t>
      </w:r>
    </w:p>
    <w:p w14:paraId="289A5EB1">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低空应用场景先行先试。</w:t>
      </w:r>
      <w:r>
        <w:rPr>
          <w:rFonts w:hint="default" w:ascii="Times New Roman" w:hAnsi="Times New Roman" w:eastAsia="方正仿宋_GB2312" w:cs="Times New Roman"/>
        </w:rPr>
        <w:t>丹霞山景区已开展“低空+文旅”商业化运营，祥源文旅eVTOL在丹霞山完成首飞；中科志强在农业植保、电力巡检等领域深度布局，积极与南方电网韶关段和韶关钢铁推进电力及工业厂区巡检场景解决方案落地。新丰县出台专项政策，对开通市内、城际常态化载人航线的企业给予运营奖励，并已开展低空载人飞行试点与文旅体验运营；韶关部分乡镇已建设无人机感知节点，通过低空数字化监管平台实现“车</w:t>
      </w:r>
      <w:r>
        <w:rPr>
          <w:rFonts w:hint="eastAsia" w:eastAsia="方正仿宋_GB2312" w:cs="Times New Roman"/>
          <w:lang w:eastAsia="zh-CN"/>
        </w:rPr>
        <w:t>—</w:t>
      </w:r>
      <w:r>
        <w:rPr>
          <w:rFonts w:hint="default" w:ascii="Times New Roman" w:hAnsi="Times New Roman" w:eastAsia="方正仿宋_GB2312" w:cs="Times New Roman"/>
        </w:rPr>
        <w:t>机</w:t>
      </w:r>
      <w:r>
        <w:rPr>
          <w:rFonts w:hint="eastAsia" w:eastAsia="方正仿宋_GB2312" w:cs="Times New Roman"/>
          <w:lang w:eastAsia="zh-CN"/>
        </w:rPr>
        <w:t>—</w:t>
      </w:r>
      <w:r>
        <w:rPr>
          <w:rFonts w:hint="default" w:ascii="Times New Roman" w:hAnsi="Times New Roman" w:eastAsia="方正仿宋_GB2312" w:cs="Times New Roman"/>
        </w:rPr>
        <w:t>网</w:t>
      </w:r>
      <w:r>
        <w:rPr>
          <w:rFonts w:hint="eastAsia" w:eastAsia="方正仿宋_GB2312" w:cs="Times New Roman"/>
          <w:lang w:eastAsia="zh-CN"/>
        </w:rPr>
        <w:t>—</w:t>
      </w:r>
      <w:r>
        <w:rPr>
          <w:rFonts w:hint="default" w:ascii="Times New Roman" w:hAnsi="Times New Roman" w:eastAsia="方正仿宋_GB2312" w:cs="Times New Roman"/>
        </w:rPr>
        <w:t>空”跨域协同验证能力，为后续低空数据汇聚与算力调度提供真实数据来源。</w:t>
      </w:r>
    </w:p>
    <w:p w14:paraId="6FCAEDD2">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大湾区低空经济产业发展现状与算力需求</w:t>
      </w:r>
      <w:r>
        <w:rPr>
          <w:rFonts w:hint="default" w:ascii="Times New Roman" w:hAnsi="Times New Roman" w:eastAsia="方正仿宋_GB2312" w:cs="Times New Roman"/>
        </w:rPr>
        <w:t>：广东是低空经济大省，低空经济发展指数全国第一，大湾区低空经济正处于爆发式增长阶段。省级层面出台了《广东省推动低空经济高质量发展行动方案（2024—2026年）》及配套措施，明确构建“1+N”低空经济政策体系，建设多层次算力供给体系，打造世界级低空经济产业高地，并提出到2026年低空经济规模超过3000亿元的目标。2025年，广东已集聚全国30%以上低空经济产业链企业</w:t>
      </w:r>
      <w:r>
        <w:rPr>
          <w:rFonts w:hint="eastAsia" w:eastAsia="方正仿宋_GB2312" w:cs="Times New Roman"/>
          <w:lang w:eastAsia="zh-CN"/>
        </w:rPr>
        <w:t>，</w:t>
      </w:r>
      <w:r>
        <w:rPr>
          <w:rFonts w:hint="eastAsia" w:eastAsia="方正仿宋_GB2312" w:cs="Times New Roman"/>
          <w:lang w:val="en-US" w:eastAsia="zh-CN"/>
        </w:rPr>
        <w:t>数量</w:t>
      </w:r>
      <w:r>
        <w:rPr>
          <w:rFonts w:hint="default" w:ascii="Times New Roman" w:hAnsi="Times New Roman" w:eastAsia="方正仿宋_GB2312" w:cs="Times New Roman"/>
        </w:rPr>
        <w:t>达1.5万家，民用无人机产量超690万架，稳居全国第一，产值规模达千亿级，并形成广深珠产业协同格局。韶关作为全省的后方算力仓，适宜承接飞行器研发仿真、低空空域数字化调度、飞行数据存储与模型训练等核心环节，这些环节对响应实时性要求相对宽松，计算负载可灵活迁移，算力需求旺盛，适合异地进行集中处理。</w:t>
      </w:r>
    </w:p>
    <w:p w14:paraId="3FF3C1A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6E2D713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构建低空空域智能管理与仿真算力平台，承接大湾区飞行器研发与空域调度外溢需求。</w:t>
      </w:r>
      <w:r>
        <w:rPr>
          <w:rFonts w:hint="default" w:ascii="Times New Roman" w:hAnsi="Times New Roman" w:eastAsia="方正仿宋_GB2312" w:cs="Times New Roman"/>
          <w:color w:val="000000" w:themeColor="text1"/>
          <w:sz w:val="32"/>
          <w:szCs w:val="32"/>
          <w14:textFill>
            <w14:solidFill>
              <w14:schemeClr w14:val="tx1"/>
            </w14:solidFill>
          </w14:textFill>
        </w:rPr>
        <w:t>依托韶关万卡智算集群和低时延网络，面向广深珠等地整机企业</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和</w:t>
      </w:r>
      <w:r>
        <w:rPr>
          <w:rFonts w:hint="default" w:ascii="Times New Roman" w:hAnsi="Times New Roman" w:eastAsia="方正仿宋_GB2312" w:cs="Times New Roman"/>
          <w:color w:val="000000" w:themeColor="text1"/>
          <w:sz w:val="32"/>
          <w:szCs w:val="32"/>
          <w14:textFill>
            <w14:solidFill>
              <w14:schemeClr w14:val="tx1"/>
            </w14:solidFill>
          </w14:textFill>
        </w:rPr>
        <w:t>飞控系统开发商，提供飞行器气动仿真、多物理场耦合计算、飞行控制算法训练等算力密集型服务。同步对接新丰低空经济产业园和南方试验场空域数据，建设低空空域数字化管理系统的云端训练与仿真验证环境，支持大湾区低空智联网的路径规划、冲突检测、流量调度等算法迭代，形成“湾区算法研发—韶关算力训练—湾区空域部署”的协同链条。</w:t>
      </w:r>
    </w:p>
    <w:p w14:paraId="699459A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打造适航测试算力支撑体系，服务大湾区产品研发与适航取证。</w:t>
      </w:r>
      <w:r>
        <w:rPr>
          <w:rFonts w:hint="default" w:ascii="Times New Roman" w:hAnsi="Times New Roman" w:eastAsia="方正仿宋_GB2312" w:cs="Times New Roman"/>
          <w:color w:val="000000" w:themeColor="text1"/>
          <w:sz w:val="32"/>
          <w:szCs w:val="32"/>
          <w14:textFill>
            <w14:solidFill>
              <w14:schemeClr w14:val="tx1"/>
            </w14:solidFill>
          </w14:textFill>
        </w:rPr>
        <w:t>依托南方试验场的资质和平台资源，建设适航验证算力服务中心。为大湾区无人机、eVTOL企业提供虚拟试飞、失效模式仿真、环境适应性分析等高性能计算服务，缩短实机测试周期。结合粤北区域应急救援中心的实战运营验证需求，构建“仿真测试—适航认证—场景验证”一体化算力支撑体系，推动韶关成为大湾区低空飞行器适航取证的算力后盾。</w:t>
      </w:r>
    </w:p>
    <w:p w14:paraId="4264C1D9">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培育低空数据汇聚与智能应用算力生态，赋能大湾区低空经济运营场景。</w:t>
      </w:r>
      <w:r>
        <w:rPr>
          <w:rFonts w:hint="default" w:ascii="Times New Roman" w:hAnsi="Times New Roman" w:eastAsia="方正仿宋_GB2312" w:cs="Times New Roman"/>
        </w:rPr>
        <w:t>依托韶关已部署的乡镇无人机感知节点和低空数字化监管平台，建设低空飞行数据汇聚与标注基地，为大湾区低空物流、文旅观光、应急救援、工业巡检等场景提供标准化数据集和模型训练服务。联合丹霞山、新丰载人航线等已运营场景，开发低空文旅客流预测、航线动态优化、异常行为识别等AI模型，将韶关打造为低空数据算法孵化器，支持大湾区运营企业实现从“数据采集”到“智能决策”的闭环。同时，通过算力券等政策工具，吸引大湾区中小企业将低空数据标注、模型微调等任务转移至韶关处理。</w:t>
      </w:r>
    </w:p>
    <w:p w14:paraId="214F31DE">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textAlignment w:val="auto"/>
        <w:rPr>
          <w:rFonts w:hint="default" w:ascii="Times New Roman" w:hAnsi="Times New Roman" w:eastAsia="方正仿宋_GB2312" w:cs="Times New Roman"/>
        </w:rPr>
      </w:pPr>
      <w:r>
        <w:rPr>
          <w:rFonts w:hint="default" w:ascii="Times New Roman" w:hAnsi="Times New Roman" w:eastAsia="方正仿宋_GB2312" w:cs="Times New Roman"/>
          <w:b/>
          <w:bCs/>
        </w:rPr>
        <w:t>建设低空零部件专用仿真算力中心，打造低空配套仿真验证基地。</w:t>
      </w:r>
      <w:r>
        <w:rPr>
          <w:rFonts w:hint="default" w:ascii="Times New Roman" w:hAnsi="Times New Roman" w:eastAsia="方正仿宋_GB2312" w:cs="Times New Roman"/>
        </w:rPr>
        <w:t>立足韶关装备制造产业基础，依托南方试验场已构建的“低空+试验场+实验室”三位一体测试能力及韶关数据中心集群算力资源，聚焦低空飞行器机身结构、动力系统、航电模块、轻量化新材料等领域，开展结构强度仿真、能耗模拟、耐久度测算、材料成型工艺仿真等零部件级计算服务。联合大湾区高校院所、整机企业及本地龙头企业，针对轻量化新材料、高能量密度电池、高可靠性航电等产业链短板推动协同攻关，承接大湾区整机企业配套需求。通过算力赋能零部件从设计优化到样机迭代的研发全流程，打通“算力仿真—零部件试制—整机配套”联动链路，补齐本地低空配套产业链短板，逐步形成具有区域辨识度的低空零部件仿真验证与配套制造集群。</w:t>
      </w:r>
    </w:p>
    <w:p w14:paraId="351E7AC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5" w:name="_Toc9795"/>
      <w:r>
        <w:rPr>
          <w:rFonts w:hint="default" w:ascii="Times New Roman" w:hAnsi="Times New Roman" w:eastAsia="方正楷体_GB2312" w:cs="Times New Roman"/>
          <w:b w:val="0"/>
          <w:bCs w:val="0"/>
          <w:sz w:val="32"/>
          <w:szCs w:val="32"/>
          <w:lang w:val="en-US" w:eastAsia="zh-CN"/>
        </w:rPr>
        <w:t>3、算力 + 智能制造</w:t>
      </w:r>
      <w:bookmarkEnd w:id="15"/>
    </w:p>
    <w:p w14:paraId="68F6101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230AA802">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深厚的先进材料与装备制造底蕴。</w:t>
      </w:r>
      <w:r>
        <w:rPr>
          <w:rFonts w:hint="default" w:ascii="Times New Roman" w:hAnsi="Times New Roman" w:eastAsia="方正仿宋_GB2312" w:cs="Times New Roman"/>
        </w:rPr>
        <w:t>韶关是传统重工业基地，拥有36个行业大类，240个小类工业体系，在此基础上构建了以大数据为首位产业，先进材料、先进装备制造等为支撑的“1+8”现代化产业体系。作为中国“有色金属之都”和全省最大的新能源汽车模具生产基地，韶关拥有中南股份、东阳光等一批行业龙头企业，国家级专精特新“小巨人”企业数量连续三年位列粤东西北首位，形成了具有梯度的优质制造企业群落。这些制造企业在转型过程中，面临着研发难、工艺优化复杂、良品率提升难等真实痛点，对数字孪生、工业视觉检测等技术产生了持续、稳定的智能化升级需求。</w:t>
      </w:r>
    </w:p>
    <w:p w14:paraId="0A0A5D6C">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Style w:val="20"/>
          <w:rFonts w:hint="default" w:ascii="Times New Roman" w:hAnsi="Times New Roman" w:eastAsia="方正仿宋_GB2312" w:cs="Times New Roman"/>
          <w:b/>
          <w:bCs/>
        </w:rPr>
        <w:t>全省领先的综合要素成本护城河。</w:t>
      </w:r>
      <w:r>
        <w:rPr>
          <w:rStyle w:val="20"/>
          <w:rFonts w:hint="default" w:ascii="Times New Roman" w:hAnsi="Times New Roman" w:eastAsia="方正仿宋_GB2312" w:cs="Times New Roman"/>
        </w:rPr>
        <w:t>“算力+智能制造”的规模化落地高度依赖电力、土地与人力等底层要素的支撑。韶关拥有全省最低的大工业电价</w:t>
      </w:r>
      <w:r>
        <w:rPr>
          <w:rStyle w:val="21"/>
          <w:rFonts w:hint="default" w:ascii="Times New Roman" w:hAnsi="Times New Roman" w:eastAsia="方正仿宋_GB2312" w:cs="Times New Roman"/>
        </w:rPr>
        <w:t>，叠加“算力券”后算力综合成本仅为大湾区的六成</w:t>
      </w:r>
      <w:r>
        <w:rPr>
          <w:rStyle w:val="22"/>
          <w:rFonts w:hint="default" w:ascii="Times New Roman" w:hAnsi="Times New Roman" w:eastAsia="方正仿宋_GB2312" w:cs="Times New Roman"/>
        </w:rPr>
        <w:t>，且拥有充足的绿电资源以满足制造企业出海的“双碳”合规需求</w:t>
      </w:r>
      <w:r>
        <w:rPr>
          <w:rStyle w:val="23"/>
          <w:rFonts w:hint="default" w:ascii="Times New Roman" w:hAnsi="Times New Roman" w:eastAsia="方正仿宋_GB2312" w:cs="Times New Roman"/>
        </w:rPr>
        <w:t>；在物理空间上，韶关工业用地价格比全省平均低72%，拥有超万亩可随时承接项目的工业熟地</w:t>
      </w:r>
      <w:r>
        <w:rPr>
          <w:rStyle w:val="24"/>
          <w:rFonts w:hint="default" w:ascii="Times New Roman" w:hAnsi="Times New Roman" w:eastAsia="方正仿宋_GB2312" w:cs="Times New Roman"/>
        </w:rPr>
        <w:t>；在用人保障上，</w:t>
      </w:r>
      <w:r>
        <w:rPr>
          <w:rStyle w:val="25"/>
          <w:rFonts w:hint="default" w:ascii="Times New Roman" w:hAnsi="Times New Roman" w:eastAsia="方正仿宋_GB2312" w:cs="Times New Roman"/>
        </w:rPr>
        <w:t>本地17所大中专职业院校持续输送产业工人</w:t>
      </w:r>
      <w:r>
        <w:rPr>
          <w:rStyle w:val="26"/>
          <w:rFonts w:hint="default" w:ascii="Times New Roman" w:hAnsi="Times New Roman" w:eastAsia="方正仿宋_GB2312" w:cs="Times New Roman"/>
        </w:rPr>
        <w:t>，整体用工成本比珠三角低40%</w:t>
      </w:r>
      <w:r>
        <w:rPr>
          <w:rStyle w:val="27"/>
          <w:rFonts w:hint="default" w:ascii="Times New Roman" w:hAnsi="Times New Roman" w:eastAsia="方正仿宋_GB2312" w:cs="Times New Roman"/>
        </w:rPr>
        <w:t>，而依托韶关学院</w:t>
      </w:r>
      <w:r>
        <w:rPr>
          <w:rStyle w:val="28"/>
          <w:rFonts w:hint="default" w:ascii="Times New Roman" w:hAnsi="Times New Roman" w:eastAsia="方正仿宋_GB2312" w:cs="Times New Roman"/>
        </w:rPr>
        <w:t>的产教深度融合，可实现高技术人才的本地化“即育即用”</w:t>
      </w:r>
      <w:r>
        <w:rPr>
          <w:rStyle w:val="29"/>
          <w:rFonts w:hint="default" w:ascii="Times New Roman" w:hAnsi="Times New Roman" w:eastAsia="方正仿宋_GB2312" w:cs="Times New Roman"/>
        </w:rPr>
        <w:t>。</w:t>
      </w:r>
    </w:p>
    <w:p w14:paraId="4B0BB42D">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垂直行业大模型赋能的先发示范效应。</w:t>
      </w:r>
      <w:r>
        <w:rPr>
          <w:rFonts w:hint="default" w:ascii="Times New Roman" w:hAnsi="Times New Roman" w:eastAsia="方正仿宋_GB2312" w:cs="Times New Roman"/>
        </w:rPr>
        <w:t>韶关已推动一批本地龙头企业率先跑通垂直行业大模型的实质性应用。例如，中南股份正加快建设钢铁行业垂直大模型平台，突破了合金投放和质量管控等工艺流程的模型研发，</w:t>
      </w:r>
      <w:r>
        <w:rPr>
          <w:rFonts w:hint="default" w:ascii="Times New Roman" w:hAnsi="Times New Roman" w:eastAsia="方正仿宋_GB2312" w:cs="Times New Roman"/>
          <w:lang w:eastAsia="zh-CN"/>
        </w:rPr>
        <w:t>并在</w:t>
      </w:r>
      <w:r>
        <w:rPr>
          <w:rFonts w:hint="default" w:ascii="Times New Roman" w:hAnsi="Times New Roman" w:eastAsia="方正仿宋_GB2312" w:cs="Times New Roman"/>
        </w:rPr>
        <w:t>全国首创了“铁</w:t>
      </w:r>
      <w:r>
        <w:rPr>
          <w:rFonts w:hint="eastAsia" w:eastAsia="方正仿宋_GB2312" w:cs="Times New Roman"/>
          <w:lang w:eastAsia="zh-CN"/>
        </w:rPr>
        <w:t>—</w:t>
      </w:r>
      <w:r>
        <w:rPr>
          <w:rFonts w:hint="default" w:ascii="Times New Roman" w:hAnsi="Times New Roman" w:eastAsia="方正仿宋_GB2312" w:cs="Times New Roman"/>
        </w:rPr>
        <w:t>钢</w:t>
      </w:r>
      <w:r>
        <w:rPr>
          <w:rFonts w:hint="eastAsia" w:eastAsia="方正仿宋_GB2312" w:cs="Times New Roman"/>
          <w:lang w:eastAsia="zh-CN"/>
        </w:rPr>
        <w:t>—</w:t>
      </w:r>
      <w:r>
        <w:rPr>
          <w:rFonts w:hint="default" w:ascii="Times New Roman" w:hAnsi="Times New Roman" w:eastAsia="方正仿宋_GB2312" w:cs="Times New Roman"/>
        </w:rPr>
        <w:t>材”全流程准时化生产智能管控系统；东阳光已发布HEC智能药物发现平台，提供配方筛选、辅助设计等功能；凡口铅锌矿联合龙软科技，落地了三维综合管控平台，并正在推进地下矿山综合管控AI大模型的合作项目。这些先行先试的项目为“算力+制造”提供了可复制的示范案例。</w:t>
      </w:r>
    </w:p>
    <w:p w14:paraId="52824DEC">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大湾区智能制造发展现状与算力需求</w:t>
      </w:r>
      <w:r>
        <w:rPr>
          <w:rFonts w:hint="default" w:ascii="Times New Roman" w:hAnsi="Times New Roman" w:eastAsia="方正仿宋_GB2312" w:cs="Times New Roman"/>
        </w:rPr>
        <w:t>：广东制造业规模约占全国1/8，已建成11家全球“灯塔工厂”，其数字化转型持续加速。以东莞为例，其明确提出到2030年之前要打造50个以上行业垂直领域大模型、培育200个以上“AI+制造”标杆应用场景。制造业数字化转型，尤其是工业大模型训练、数字孪生仿真、工业视觉数据回传迭代、智能排产多工序协同计算等高计算密度任务，带来旺盛的算力需求，而韶关具备了承接上述外溢算力需求的条件。26年省级层面已出台《广东省人工智能赋能制造业高质量发展行动方案（2025—2027年）》，明确通过“算力券”支持企业利用韶关集群训练工业模型，这将引导形成“湾区训练推理、韶关存储调度”的分工格局；莞韶协同也已迈出实质步伐，2026年4月东莞—韶关算力产业协同发展示范基地揭牌，明确打造“东莞研发+韶关算力”“东莞应用+韶关支撑”的新格局。</w:t>
      </w:r>
    </w:p>
    <w:p w14:paraId="2A4871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67C4F58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深化龙头企业大模型应用，筑牢“算力+制造”示范根基。</w:t>
      </w:r>
      <w:r>
        <w:rPr>
          <w:rFonts w:hint="default" w:ascii="Times New Roman" w:hAnsi="Times New Roman" w:eastAsia="方正仿宋_GB2312" w:cs="Times New Roman"/>
          <w:color w:val="000000" w:themeColor="text1"/>
          <w:sz w:val="32"/>
          <w:szCs w:val="32"/>
          <w14:textFill>
            <w14:solidFill>
              <w14:schemeClr w14:val="tx1"/>
            </w14:solidFill>
          </w14:textFill>
        </w:rPr>
        <w:t>行业垂类大模型正加速规模化落地。韶关应放大中南股份、东阳光、凡口矿等先行优势，依托万卡智算集群，将企业分散探索整合为“韶关工业大模型矩阵”。重点支持中南股份调用集群算力拓展全流程智能排产，推动东阳光利用算力加速新材料虚拟筛选与全局寻优，鼓励矿企联合构建覆盖“勘探—采选冶—安监”的全链路智慧矿山大模型。对率先跑通应用并形成可复制方案的企业，给予算力券与公共数据双重激励。同时，设立“中小企业算力试用池”，开发轻量化AI工具包，提供小额算力券与低成本试用服务，形成“龙头引领、中小跟进”的规模化应用生态。</w:t>
      </w:r>
    </w:p>
    <w:p w14:paraId="0B0E49C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发挥“超低时延”优势，构建面向大湾区的“训推一体”云端服务矩阵。</w:t>
      </w:r>
      <w:r>
        <w:rPr>
          <w:rFonts w:hint="default" w:ascii="Times New Roman" w:hAnsi="Times New Roman" w:eastAsia="方正仿宋_GB2312" w:cs="Times New Roman"/>
          <w:color w:val="000000" w:themeColor="text1"/>
          <w:sz w:val="32"/>
          <w:szCs w:val="32"/>
          <w14:textFill>
            <w14:solidFill>
              <w14:schemeClr w14:val="tx1"/>
            </w14:solidFill>
          </w14:textFill>
        </w:rPr>
        <w:t>韶关可针对湾区产线部署算力成本高及中小企业“用不起AI</w:t>
      </w:r>
      <w:r>
        <w:rPr>
          <w:rFonts w:hint="eastAsia" w:ascii="Times New Roman" w:hAnsi="Times New Roman" w:eastAsia="方正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2312" w:cs="Times New Roman"/>
          <w:color w:val="000000" w:themeColor="text1"/>
          <w:sz w:val="32"/>
          <w:szCs w:val="32"/>
          <w14:textFill>
            <w14:solidFill>
              <w14:schemeClr w14:val="tx1"/>
            </w14:solidFill>
          </w14:textFill>
        </w:rPr>
        <w:t>的痛点，依托直连广深毫秒极速网络的优势，打造“湾区轻资产、韶关强训推”闭环。一是推广“工业智能体”，将推理能力软件化为“数字员工”，封装智能配料、设备维护等前端工具，叠加算力券，直降企业的应用门槛；二是打造“云端视觉检测大脑”，创新“边缘采集+云端推理”</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模式</w:t>
      </w:r>
      <w:r>
        <w:rPr>
          <w:rFonts w:hint="default" w:ascii="Times New Roman" w:hAnsi="Times New Roman" w:eastAsia="方正仿宋_GB2312" w:cs="Times New Roman"/>
          <w:color w:val="000000" w:themeColor="text1"/>
          <w:sz w:val="32"/>
          <w:szCs w:val="32"/>
          <w14:textFill>
            <w14:solidFill>
              <w14:schemeClr w14:val="tx1"/>
            </w14:solidFill>
          </w14:textFill>
        </w:rPr>
        <w:t>，湾区产线仅留轻量化图像采集终端，数据传回韶关进行推理返回，逐步做实“前端执行在湾区，核心算力在韶关”的协同闭环。</w:t>
      </w:r>
    </w:p>
    <w:p w14:paraId="226E75F7">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rPr>
          <w:rStyle w:val="31"/>
          <w:rFonts w:hint="default" w:ascii="Times New Roman" w:hAnsi="Times New Roman" w:eastAsia="方正仿宋_GB2312" w:cs="Times New Roman"/>
        </w:rPr>
      </w:pPr>
      <w:r>
        <w:rPr>
          <w:rStyle w:val="30"/>
          <w:rFonts w:hint="default" w:ascii="Times New Roman" w:hAnsi="Times New Roman" w:eastAsia="方正仿宋_GB2312" w:cs="Times New Roman"/>
          <w:b/>
          <w:bCs/>
        </w:rPr>
        <w:t>深化“产教融合与数字孪生”，建立面向大湾区的新材料智能研发与“黑灯工厂”试验田。</w:t>
      </w:r>
      <w:r>
        <w:rPr>
          <w:rFonts w:hint="default" w:ascii="Times New Roman" w:hAnsi="Times New Roman" w:eastAsia="方正仿宋_GB2312" w:cs="Times New Roman"/>
        </w:rPr>
        <w:t>韶关可利用充沛的算力资源与低价绿电，为大湾区企业提供算力驱动型研发与测试空间</w:t>
      </w:r>
      <w:r>
        <w:rPr>
          <w:rStyle w:val="31"/>
          <w:rFonts w:hint="default" w:ascii="Times New Roman" w:hAnsi="Times New Roman" w:eastAsia="方正仿宋_GB2312" w:cs="Times New Roman"/>
        </w:rPr>
        <w:t>。利用韶关高新区研发机构及大中专职业院校的产教融合资源</w:t>
      </w:r>
      <w:r>
        <w:rPr>
          <w:rFonts w:hint="default" w:ascii="Times New Roman" w:hAnsi="Times New Roman" w:eastAsia="方正仿宋_GB2312" w:cs="Times New Roman"/>
        </w:rPr>
        <w:t>，设立智能制造联合创新实验室。同时</w:t>
      </w:r>
      <w:r>
        <w:rPr>
          <w:rStyle w:val="31"/>
          <w:rFonts w:hint="default" w:ascii="Times New Roman" w:hAnsi="Times New Roman" w:eastAsia="方正仿宋_GB2312" w:cs="Times New Roman"/>
        </w:rPr>
        <w:t>，探索建设高算力消耗、高自动化率的“黑灯工厂”试验田：短期吸引大湾区企业将数字孪生验证产线部署韶关，完成新材料的AI模拟计算与压力测试；长期引导成熟产线升级为无人化工厂，实现从“韶关验证”到“韶关量产”的跃升。</w:t>
      </w:r>
    </w:p>
    <w:p w14:paraId="413F4AC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锚定“工业具身智能”，建设特色场景验证与核心部件供给基地。</w:t>
      </w:r>
      <w:r>
        <w:rPr>
          <w:rFonts w:hint="default" w:ascii="Times New Roman" w:hAnsi="Times New Roman" w:eastAsia="方正仿宋_GB2312" w:cs="Times New Roman"/>
          <w:color w:val="000000" w:themeColor="text1"/>
          <w:sz w:val="32"/>
          <w:szCs w:val="32"/>
          <w14:textFill>
            <w14:solidFill>
              <w14:schemeClr w14:val="tx1"/>
            </w14:solidFill>
          </w14:textFill>
        </w:rPr>
        <w:t>工业具身智能是智能制造的下一个战略高地。韶关应基于优势场景，走“借力湾区、聚焦垂直、算力驱动”的错位发展之路。一方面，在凡口矿、韶钢等复杂工矿企业优先部署具身智能巡检与自主作业机器人，依托万卡智算集群进行感知模型的高效训练与持续迭代，使机器人在工作中持续进化。另一方面，深化“广韶协同”，将新能源汽车模具生产基地的底蕴转化为部件配套优势</w:t>
      </w:r>
      <w:r>
        <w:rPr>
          <w:rFonts w:hint="eastAsia" w:ascii="Times New Roman" w:hAnsi="Times New Roman" w:eastAsia="方正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2312" w:cs="Times New Roman"/>
          <w:color w:val="000000" w:themeColor="text1"/>
          <w:sz w:val="32"/>
          <w:szCs w:val="32"/>
          <w14:textFill>
            <w14:solidFill>
              <w14:schemeClr w14:val="tx1"/>
            </w14:solidFill>
          </w14:textFill>
        </w:rPr>
        <w:t>支持宏大齿轮、东南轴承等骨干企业开发机器人减速器齿轮、精密轴承等关键零部件，并联合大湾区车企在南方试验场建立联合验证中心，依托韶关智算资源对部件</w:t>
      </w:r>
      <w:r>
        <w:rPr>
          <w:rStyle w:val="31"/>
          <w:rFonts w:hint="default" w:ascii="Times New Roman" w:hAnsi="Times New Roman" w:eastAsia="方正仿宋_GB2312" w:cs="Times New Roman"/>
          <w:sz w:val="32"/>
        </w:rPr>
        <w:t>耐久</w:t>
      </w:r>
      <w:r>
        <w:rPr>
          <w:rFonts w:hint="default" w:ascii="Times New Roman" w:hAnsi="Times New Roman" w:eastAsia="方正仿宋_GB2312" w:cs="Times New Roman"/>
          <w:color w:val="000000" w:themeColor="text1"/>
          <w:sz w:val="32"/>
          <w:szCs w:val="32"/>
          <w14:textFill>
            <w14:solidFill>
              <w14:schemeClr w14:val="tx1"/>
            </w14:solidFill>
          </w14:textFill>
        </w:rPr>
        <w:t>性、运动精度、</w:t>
      </w:r>
      <w:r>
        <w:rPr>
          <w:rStyle w:val="31"/>
          <w:rFonts w:hint="default" w:ascii="Times New Roman" w:hAnsi="Times New Roman" w:eastAsia="方正仿宋_GB2312" w:cs="Times New Roman"/>
          <w:sz w:val="32"/>
        </w:rPr>
        <w:t>故</w:t>
      </w:r>
      <w:r>
        <w:rPr>
          <w:rFonts w:hint="default" w:ascii="Times New Roman" w:hAnsi="Times New Roman" w:eastAsia="方正仿宋_GB2312" w:cs="Times New Roman"/>
          <w:color w:val="000000" w:themeColor="text1"/>
          <w:sz w:val="32"/>
          <w:szCs w:val="32"/>
          <w14:textFill>
            <w14:solidFill>
              <w14:schemeClr w14:val="tx1"/>
            </w14:solidFill>
          </w14:textFill>
        </w:rPr>
        <w:t>障模</w:t>
      </w:r>
      <w:r>
        <w:rPr>
          <w:rStyle w:val="31"/>
          <w:rFonts w:hint="default" w:ascii="Times New Roman" w:hAnsi="Times New Roman" w:eastAsia="方正仿宋_GB2312" w:cs="Times New Roman"/>
          <w:sz w:val="32"/>
        </w:rPr>
        <w:t>式</w:t>
      </w:r>
      <w:r>
        <w:rPr>
          <w:rFonts w:hint="default" w:ascii="Times New Roman" w:hAnsi="Times New Roman" w:eastAsia="方正仿宋_GB2312" w:cs="Times New Roman"/>
          <w:color w:val="000000" w:themeColor="text1"/>
          <w:sz w:val="32"/>
          <w:szCs w:val="32"/>
          <w14:textFill>
            <w14:solidFill>
              <w14:schemeClr w14:val="tx1"/>
            </w14:solidFill>
          </w14:textFill>
        </w:rPr>
        <w:t>进行大规模仿真验证与数字孪生迭代，形成“湾区研发设计—韶关算力训练—韶关场景验证”的协同闭环。</w:t>
      </w:r>
    </w:p>
    <w:p w14:paraId="6993D5C5">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Style w:val="32"/>
          <w:rFonts w:hint="default" w:ascii="Times New Roman" w:hAnsi="Times New Roman" w:eastAsia="方正仿宋_GB2312" w:cs="Times New Roman"/>
          <w:b/>
          <w:bCs/>
        </w:rPr>
        <w:t>深</w:t>
      </w:r>
      <w:r>
        <w:rPr>
          <w:rFonts w:hint="default" w:ascii="Times New Roman" w:hAnsi="Times New Roman" w:eastAsia="方正仿宋_GB2312" w:cs="Times New Roman"/>
          <w:b/>
          <w:bCs/>
        </w:rPr>
        <w:t>化“算力+新材料”，打造服务大湾区的前沿材料研发算力加速器。</w:t>
      </w:r>
      <w:r>
        <w:rPr>
          <w:rFonts w:hint="default" w:ascii="Times New Roman" w:hAnsi="Times New Roman" w:eastAsia="方正仿宋_GB2312" w:cs="Times New Roman"/>
        </w:rPr>
        <w:t>先进材料是韶关的传统支撑行业，也是大湾区新能源、半导体、高端装备等产业的基础。针对新材料研发周期长、成本高的行业痛点，韶关应依托东阳光、欧莱新材等“链主”企业，联合大湾区高校及科研院所，走“算力驱动研发、成果服务湾区”的发展路径。利用算力加速机器人关节特钢配方仿真、固态电池电解质离子迁移模拟等研发环节，建设“韶关先进材料算力研发服务中心”，面向大湾区锂电、半导体、航空航天等领域企业开放材料筛选、性能仿真、工艺优化等算力服务。配合算力券政策，吸引湾区科研团队来韶开展虚拟研发与中试转化，推动韶关从“原材料供应地”向“服务大湾区的新材料研发策源地”跃升。</w:t>
      </w:r>
    </w:p>
    <w:p w14:paraId="19B0072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6" w:name="_Toc30116"/>
      <w:r>
        <w:rPr>
          <w:rFonts w:hint="default" w:ascii="Times New Roman" w:hAnsi="Times New Roman" w:eastAsia="方正楷体_GB2312" w:cs="Times New Roman"/>
          <w:b w:val="0"/>
          <w:bCs w:val="0"/>
          <w:sz w:val="32"/>
          <w:szCs w:val="32"/>
          <w:lang w:val="en-US" w:eastAsia="zh-CN"/>
        </w:rPr>
        <w:t>4、算力 + 机器人</w:t>
      </w:r>
      <w:bookmarkEnd w:id="16"/>
    </w:p>
    <w:p w14:paraId="454DDA0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50419AA8">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产业链企业初具集群雏形。</w:t>
      </w:r>
      <w:r>
        <w:rPr>
          <w:rFonts w:hint="default" w:ascii="Times New Roman" w:hAnsi="Times New Roman" w:eastAsia="方正仿宋_GB2312" w:cs="Times New Roman"/>
        </w:rPr>
        <w:t>韶关正加速构建“算力+机器人”产业链集群，目前已集聚了一批在核心零部件、整机制造及场景应用等领域的代表性企业。广东钜拓智能装备作为国家专精特新“小巨人”，为机器人精密制造提供高端数控机床保障；韶关零重空间凭借高精度卫星遥感技术，为机器人智能巡检提供空间数据支撑；空域科技作为空间智能领军企业，正利用本地山林、水库等真实场景为机器人提供“眼与脑”的算法验证。</w:t>
      </w:r>
    </w:p>
    <w:p w14:paraId="18E37DB1">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产业空间与园区载体加速落地。</w:t>
      </w:r>
      <w:r>
        <w:rPr>
          <w:rFonts w:hint="default" w:ascii="Times New Roman" w:hAnsi="Times New Roman" w:eastAsia="方正仿宋_GB2312" w:cs="Times New Roman"/>
        </w:rPr>
        <w:t>韶关高新区与深圳信拓科技合作共建“AI+机器人”应用创新创业产业园，总投资3亿元，聚焦智能制造、智慧城市、工业检测等领域，打造集技术研发、场景应用、产业孵化于一体的创新生态。该产业园将联合深圳“机器人谷”的产业链资源，深度融合本地算力资源，为AI训练、机器人仿真等提供高效算力支持。</w:t>
      </w:r>
    </w:p>
    <w:p w14:paraId="29A70263">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数据要素基础加速夯实。</w:t>
      </w:r>
      <w:r>
        <w:rPr>
          <w:rFonts w:hint="default" w:ascii="Times New Roman" w:hAnsi="Times New Roman" w:eastAsia="方正仿宋_GB2312" w:cs="Times New Roman"/>
        </w:rPr>
        <w:t>机器人产业发展，高度依赖大规模、高质量的标注数据集进行模型训练。韶关作为广东省首批数据要素集聚发展区，百度智能云数据标注基地已集聚6家服务商，为机器人视觉算法提供基础数据服务；广州数据交易所（韶关）服务基地已吸纳37家会员单位，为机器人企业提供合规训练数据流通渠道；中国电信智能标注基地也已揭牌，预计到2027年带动本地数据标注产业规模突破5亿元。</w:t>
      </w:r>
    </w:p>
    <w:p w14:paraId="73139C03">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大湾区机器人产业发展现状及算力需求：</w:t>
      </w:r>
      <w:r>
        <w:rPr>
          <w:rFonts w:hint="default" w:ascii="Times New Roman" w:hAnsi="Times New Roman" w:eastAsia="方正仿宋_GB2312" w:cs="Times New Roman"/>
        </w:rPr>
        <w:t>广东作为我国最大的机器人产销市场，工业机器人产量连续多年位居全国首位。具身智能被视为下一个万亿级赛道，截至2025年底，广东已集聚超3700家人工智能与机器人企业，优必选等龙头企业接连斩获亿元级商业订单，产业化进程显著提速。从算力需求看，核心负载集中在两大环节：一是具身智能大模型的高强度训练，依赖海量数据集和超大规模并行算力支撑；二是仿真环境下的虚实迁移，需在数字孪生中进行百万次级模拟试错，对云端弹性算力提出持续需求。韶关具备对以上的支撑能力，是机器人产业迈向智能化的理想算力后盾。</w:t>
      </w:r>
    </w:p>
    <w:p w14:paraId="260B4E0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596D9615">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面向大湾区提供具身智能模型训推一体服务，构建虚实融合算法迭代闭环。</w:t>
      </w:r>
      <w:r>
        <w:rPr>
          <w:rFonts w:hint="default" w:ascii="Times New Roman" w:hAnsi="Times New Roman" w:eastAsia="方正仿宋_GB2312" w:cs="Times New Roman"/>
          <w:sz w:val="32"/>
          <w:szCs w:val="32"/>
        </w:rPr>
        <w:t>具身智能大模型训练与仿真试错是算力消耗最大的环节。依托韶关万卡智算集群，面向广深等地机器人企业开放并行训练算力，承接大湾区企业大模型预训练、微调及仿真环境下的百万次级试错任务。联合空域科技等本地企业，利用韶关山林、矿区等真实地形积累的空间感知数据，为大湾区机器人企业提供视觉导航、运动控制算法的“虚拟训练+真实校验”迭代环境，缩短从仿真到落地的周期，并以此为基础，逐步吸引大湾区机器人企业在韶关设立中试基地与配套产线，推动从算力服务向制造配套的延伸。</w:t>
      </w:r>
    </w:p>
    <w:p w14:paraId="5C7F6607">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协同大湾区建设机器人核心部件精密制造能力，形成“仿真</w:t>
      </w:r>
      <w:r>
        <w:rPr>
          <w:rFonts w:hint="default"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检测</w:t>
      </w:r>
      <w:r>
        <w:rPr>
          <w:rFonts w:hint="default"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b/>
          <w:bCs/>
          <w:sz w:val="32"/>
          <w:szCs w:val="32"/>
        </w:rPr>
        <w:t>配套”一体化体系。</w:t>
      </w:r>
      <w:r>
        <w:rPr>
          <w:rFonts w:hint="default" w:ascii="Times New Roman" w:hAnsi="Times New Roman" w:eastAsia="方正仿宋_GB2312" w:cs="Times New Roman"/>
          <w:sz w:val="32"/>
          <w:szCs w:val="32"/>
        </w:rPr>
        <w:t>依托宏大齿轮等企业在减速器领域已实现的销售收入和产能基础，联合大湾区整机企业，针对精密减速器、伺服电机等关键部件，开展结构强度、疲劳寿命、运动精度等仿真计算与工艺优化。结合南方试验场路空一体测试能力，为部件提供耐久性、可靠性实测验证，推动本地制造企业进入大湾区头部机器人供应链。</w:t>
      </w:r>
    </w:p>
    <w:p w14:paraId="74CFBBB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rPr>
          <w:rFonts w:hint="default" w:ascii="Times New Roman" w:hAnsi="Times New Roman" w:eastAsia="方正仿宋_GB2312" w:cs="Times New Roman"/>
          <w:b/>
          <w:bCs/>
          <w:color w:val="C00000"/>
          <w:sz w:val="32"/>
          <w:szCs w:val="32"/>
        </w:rPr>
      </w:pPr>
      <w:r>
        <w:rPr>
          <w:rFonts w:hint="default" w:ascii="Times New Roman" w:hAnsi="Times New Roman" w:eastAsia="方正仿宋_GB2312" w:cs="Times New Roman"/>
          <w:b/>
          <w:bCs/>
          <w:sz w:val="32"/>
          <w:szCs w:val="32"/>
        </w:rPr>
        <w:t>依托数据标注与流通双平台，为大湾区机器人企业构建专属数据集供给体系。</w:t>
      </w:r>
      <w:r>
        <w:rPr>
          <w:rFonts w:hint="default" w:ascii="Times New Roman" w:hAnsi="Times New Roman" w:eastAsia="方正仿宋_GB2312" w:cs="Times New Roman"/>
          <w:sz w:val="32"/>
          <w:szCs w:val="32"/>
        </w:rPr>
        <w:t> 机器人视觉、触觉、运动控制等模型的训练高度依赖场景化标注数据集。发挥百度智能云及中国电信标注基地产能，面向大湾区机器人企业定向生产视觉图像、环境感知、操作轨迹等高质量标注数据。依托广州数据交易所（韶关）服务基地，为大湾区企业建立机器人训练数据合规流通渠道，降低企业自建标注团队和合规获取数据的成本。</w:t>
      </w:r>
    </w:p>
    <w:p w14:paraId="05D581E9">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强化本地特种场景牵引，推动智能巡检机器人的示范推广。</w:t>
      </w:r>
      <w:r>
        <w:rPr>
          <w:rFonts w:hint="default" w:ascii="Times New Roman" w:hAnsi="Times New Roman" w:eastAsia="方正仿宋_GB2312" w:cs="Times New Roman"/>
          <w:sz w:val="32"/>
          <w:szCs w:val="32"/>
        </w:rPr>
        <w:t> 韶关在矿山和电力等领域具备一定的智能巡检机器人应用基础。凡口矿已明确将智能巡检机器人纳入矿山智能化建设重点场景。新丰供电局已成功应用机器蛇，在电缆管道检测、配电房环境排查等场景实现常态化作业。建议依托上述真实场景积累，面向全省矿山、电力、冶金等行业推广成熟的智能巡检机器人解决方案，将韶关打造为华南地区特种机器人应用示范与测试验证基地。</w:t>
      </w:r>
    </w:p>
    <w:p w14:paraId="4B93F850">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深度融入省级产业生态，争取大湾区机器人产业链资源外溢。</w:t>
      </w:r>
      <w:r>
        <w:rPr>
          <w:rFonts w:hint="default" w:ascii="Times New Roman" w:hAnsi="Times New Roman" w:eastAsia="方正仿宋_GB2312" w:cs="Times New Roman"/>
          <w:sz w:val="32"/>
          <w:szCs w:val="32"/>
        </w:rPr>
        <w:t> 韶关市数据产业投资公司已正式加入广东省人工智能与机器人产业联盟，在深度融入大湾区人工智能产业生态方面迈出了关键一步。建议依托这一省级平台，定期参与联盟组织的产业对接、技术交流及成果展示活动，主动承接联盟成员单位的产业转移需求，争取将大湾区头部企业在核心零部件代工、中试基地布局、产业孵化等方面的外溢订单引入韶关，逐步纳入联盟供应链体系。</w:t>
      </w:r>
    </w:p>
    <w:p w14:paraId="7967567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7" w:name="_Toc2110"/>
      <w:r>
        <w:rPr>
          <w:rFonts w:hint="default" w:ascii="Times New Roman" w:hAnsi="Times New Roman" w:eastAsia="方正楷体_GB2312" w:cs="Times New Roman"/>
          <w:b w:val="0"/>
          <w:bCs w:val="0"/>
          <w:sz w:val="32"/>
          <w:szCs w:val="32"/>
          <w:lang w:val="en-US" w:eastAsia="zh-CN"/>
        </w:rPr>
        <w:t>5、算力 + 生物医药</w:t>
      </w:r>
      <w:bookmarkEnd w:id="17"/>
    </w:p>
    <w:p w14:paraId="542FA6C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22DE4EAF">
      <w:pPr>
        <w:pStyle w:val="5"/>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药材资源禀赋深厚，提供天然数据源头。</w:t>
      </w:r>
      <w:r>
        <w:rPr>
          <w:rFonts w:hint="default" w:ascii="Times New Roman" w:hAnsi="Times New Roman" w:eastAsia="方正仿宋_GB2312" w:cs="Times New Roman"/>
        </w:rPr>
        <w:t>韶关地处南岭山脉，是天然的“南岭药库”，常见药用植物达800多种，占全省药用植物约半数。依托这一资源优势，可支撑道地药材种质资源数字化、药用植物活性成分数据库建设等数据基础工作，为AI辅助药物筛选、药效预测、中药材质量溯源等场景提供数据支撑。</w:t>
      </w:r>
    </w:p>
    <w:p w14:paraId="06952A77">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产业集群已成型，具备“算力+”融合的载体基础。</w:t>
      </w:r>
      <w:r>
        <w:rPr>
          <w:rFonts w:hint="default" w:ascii="Times New Roman" w:hAnsi="Times New Roman" w:eastAsia="方正仿宋_GB2312" w:cs="Times New Roman"/>
        </w:rPr>
        <w:t>韶关目前已建成南雄南药、乳源瑶药2个省级现代农业产业园；获得省内多个方案明确支持和基金赋能的翁源创新原料药科技产业园已初具规模，将聚焦特色原料药、生物仿制药及医药中间体等领域，积极承接大湾区生物医药产业转移；瑞石制药、瑞德林、兴合生物、微纯生物等企业已相继落地或加快建设；全市拥有5个省级专业化工园，其中翁源华彩化工园区和甘棠化工园分别以“创新原料药”和“生物医药”为主要发展方向之一，其余园区也均有医药相关企业入驻。目前，韶关的生物医药产业链已</w:t>
      </w:r>
      <w:r>
        <w:rPr>
          <w:rFonts w:hint="eastAsia" w:eastAsia="方正仿宋_GB2312" w:cs="Times New Roman"/>
          <w:lang w:val="en-US" w:eastAsia="zh-CN"/>
        </w:rPr>
        <w:t>包括</w:t>
      </w:r>
      <w:r>
        <w:rPr>
          <w:rFonts w:hint="default" w:ascii="Times New Roman" w:hAnsi="Times New Roman" w:eastAsia="方正仿宋_GB2312" w:cs="Times New Roman"/>
        </w:rPr>
        <w:t>中药材种植、原料药、化学制剂、中成药、生物制品、医疗器械等多个环节。</w:t>
      </w:r>
    </w:p>
    <w:p w14:paraId="3C03E668">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rPr>
          <w:rFonts w:hint="default" w:ascii="Times New Roman" w:hAnsi="Times New Roman" w:eastAsia="方正仿宋_GB2312" w:cs="Times New Roman"/>
        </w:rPr>
      </w:pPr>
      <w:r>
        <w:rPr>
          <w:rFonts w:hint="default" w:ascii="Times New Roman" w:hAnsi="Times New Roman" w:eastAsia="方正仿宋_GB2312" w:cs="Times New Roman"/>
          <w:b/>
          <w:bCs/>
        </w:rPr>
        <w:t>大湾区生物医药发展现状及算力需求：</w:t>
      </w:r>
      <w:r>
        <w:rPr>
          <w:rFonts w:hint="default" w:ascii="Times New Roman" w:hAnsi="Times New Roman" w:eastAsia="方正仿宋_GB2312" w:cs="Times New Roman"/>
        </w:rPr>
        <w:t>2025年广东规上医药工业营收3358亿元，增速高于全国1.3个百分点，形成广深双核引领、多点支撑</w:t>
      </w:r>
      <w:r>
        <w:rPr>
          <w:rFonts w:hint="eastAsia" w:eastAsia="方正仿宋_GB2312" w:cs="Times New Roman"/>
          <w:lang w:val="en-US" w:eastAsia="zh-CN"/>
        </w:rPr>
        <w:t>的</w:t>
      </w:r>
      <w:r>
        <w:rPr>
          <w:rFonts w:hint="default" w:ascii="Times New Roman" w:hAnsi="Times New Roman" w:eastAsia="方正仿宋_GB2312" w:cs="Times New Roman"/>
        </w:rPr>
        <w:t>格局，大湾区各城市</w:t>
      </w:r>
      <w:r>
        <w:rPr>
          <w:rFonts w:hint="eastAsia" w:eastAsia="方正仿宋_GB2312" w:cs="Times New Roman"/>
          <w:lang w:val="en-US" w:eastAsia="zh-CN"/>
        </w:rPr>
        <w:t>的</w:t>
      </w:r>
      <w:r>
        <w:rPr>
          <w:rFonts w:hint="default" w:ascii="Times New Roman" w:hAnsi="Times New Roman" w:eastAsia="方正仿宋_GB2312" w:cs="Times New Roman"/>
        </w:rPr>
        <w:t>AI药物筛选、分子对接、中药材数字化等研发环节快速扩张，对算力需求旺盛且本地算力供给承压。26年省级层面也出台了</w:t>
      </w:r>
      <w:r>
        <w:rPr>
          <w:rFonts w:hint="default" w:ascii="Times New Roman" w:hAnsi="Times New Roman" w:eastAsia="方正仿宋_GB2312" w:cs="Times New Roman"/>
          <w:b w:val="0"/>
          <w:bCs w:val="0"/>
        </w:rPr>
        <w:t>《广东省加快推进人工智能全域全时全行业高水平应用行动方案》</w:t>
      </w:r>
      <w:r>
        <w:rPr>
          <w:rFonts w:hint="default" w:ascii="Times New Roman" w:hAnsi="Times New Roman" w:eastAsia="方正仿宋_GB2312" w:cs="Times New Roman"/>
        </w:rPr>
        <w:t>，明确支持AI药物筛选、药物研发等环节。这类研发环节多属于离线计算型任务，无需即时反馈，可批量提交、排队处理，是异地算力调度的理想场景。韶关凭借区位优势、算力条件和资源禀赋，对此类任务具备良好承接条件。</w:t>
      </w:r>
    </w:p>
    <w:p w14:paraId="522595C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23F479BF">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3"/>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建设“南岭药用植物数据底座”，夯实中药材数字化源头基础。</w:t>
      </w:r>
      <w:r>
        <w:rPr>
          <w:rFonts w:hint="default" w:ascii="Times New Roman" w:hAnsi="Times New Roman" w:eastAsia="方正仿宋_GB2312" w:cs="Times New Roman"/>
          <w:sz w:val="32"/>
          <w:szCs w:val="32"/>
        </w:rPr>
        <w:t> 依托韶关800多种药用植物的独特资源禀赋，系统开展道地药材种质资源数字化、药用植物活性成分高通量筛选与数据库建设工作，构建覆盖“种质基因—化学成分—药理活性”的多维数据平台，为AI辅助药物筛选、中药材质量溯源提供高质量训练数据。在此基础上，可探索“数据+算力”打包服务模式，适时向大湾区药企及研发机构开放，将资源优势转化为数据服务优势。</w:t>
      </w:r>
    </w:p>
    <w:p w14:paraId="4BDBBE5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color w:val="000000" w:themeColor="text1"/>
          <w:sz w:val="32"/>
          <w:szCs w:val="32"/>
          <w14:textFill>
            <w14:solidFill>
              <w14:schemeClr w14:val="tx1"/>
            </w14:solidFill>
          </w14:textFill>
        </w:rPr>
      </w:pPr>
      <w:r>
        <w:rPr>
          <w:rFonts w:hint="default" w:ascii="Times New Roman" w:hAnsi="Times New Roman" w:eastAsia="方正仿宋_GB2312" w:cs="Times New Roman"/>
          <w:b/>
          <w:bCs/>
          <w:color w:val="000000" w:themeColor="text1"/>
          <w:sz w:val="32"/>
          <w:szCs w:val="32"/>
          <w14:textFill>
            <w14:solidFill>
              <w14:schemeClr w14:val="tx1"/>
            </w14:solidFill>
          </w14:textFill>
        </w:rPr>
        <w:t>打造新药筛选算力服务体系，承接湾区早期研发算力需求。</w:t>
      </w:r>
      <w:r>
        <w:rPr>
          <w:rFonts w:hint="default" w:ascii="Times New Roman" w:hAnsi="Times New Roman" w:eastAsia="方正仿宋_GB2312" w:cs="Times New Roman"/>
          <w:color w:val="000000" w:themeColor="text1"/>
          <w:sz w:val="32"/>
          <w:szCs w:val="32"/>
          <w14:textFill>
            <w14:solidFill>
              <w14:schemeClr w14:val="tx1"/>
            </w14:solidFill>
          </w14:textFill>
        </w:rPr>
        <w:t> 针对大湾区药企在新药虚拟筛选、分子对接、药效预测等早期发现环节对高性能算力的刚性需求，韶关可依托万卡智算集群，建立面向生物医药领域的算力专区，提供按需计费、弹性扩缩的算力服务。推广“数据在湾区采集、算力在韶关运行”的协同模式，吸引广深药企将算力消耗型计算任务迁移至韶关，形成“湾区药物设计—韶关算力验证—湾区临床推进”的接力链条。</w:t>
      </w:r>
    </w:p>
    <w:p w14:paraId="0F11A6A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z w:val="32"/>
          <w:szCs w:val="32"/>
        </w:rPr>
        <w:t>推进原料药生产工艺智能优化，构建湾区中试算力协同平台。 </w:t>
      </w:r>
      <w:r>
        <w:rPr>
          <w:rFonts w:hint="default" w:ascii="Times New Roman" w:hAnsi="Times New Roman" w:eastAsia="方正仿宋_GB2312" w:cs="Times New Roman"/>
          <w:sz w:val="32"/>
          <w:szCs w:val="32"/>
        </w:rPr>
        <w:t>依托翁源创新原料药科技产业园和丹霞生物等生物医药企业的数字化基础，联合大湾区药企与研发机构，推动AI技术在原料药合成路线优化、工艺参数智能调优、质量预测性管控等生产环节深度应用。共建原料药智能工艺仿真平台，为大湾区药企提供合成路径探索与反应条件筛选的算力服务，缩短中试放大周期。支持园区企业打造智能化生产示范线，形成可向湾区复制推广的“AI+原料药”生产协同方案。</w:t>
      </w:r>
    </w:p>
    <w:p w14:paraId="79065DE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color w:val="C00000"/>
          <w:sz w:val="32"/>
          <w:szCs w:val="32"/>
        </w:rPr>
      </w:pPr>
      <w:r>
        <w:rPr>
          <w:rFonts w:hint="default" w:ascii="Times New Roman" w:hAnsi="Times New Roman" w:eastAsia="方正仿宋_GB2312" w:cs="Times New Roman"/>
          <w:b/>
          <w:bCs/>
          <w:sz w:val="32"/>
          <w:szCs w:val="32"/>
        </w:rPr>
        <w:t>探索“算力+药品监管”数字化创新，融入全省智慧监管体系。</w:t>
      </w:r>
      <w:r>
        <w:rPr>
          <w:rFonts w:hint="default" w:ascii="Times New Roman" w:hAnsi="Times New Roman" w:eastAsia="方正仿宋_GB2312" w:cs="Times New Roman"/>
          <w:b/>
          <w:bCs/>
          <w:sz w:val="32"/>
          <w:szCs w:val="32"/>
          <w:highlight w:val="none"/>
        </w:rPr>
        <w:t> </w:t>
      </w:r>
      <w:r>
        <w:rPr>
          <w:rFonts w:hint="default" w:ascii="Times New Roman" w:hAnsi="Times New Roman" w:eastAsia="方正仿宋_GB2312" w:cs="Times New Roman"/>
          <w:sz w:val="32"/>
          <w:szCs w:val="32"/>
          <w:highlight w:val="none"/>
        </w:rPr>
        <w:t>开</w:t>
      </w:r>
      <w:r>
        <w:rPr>
          <w:rFonts w:hint="default" w:ascii="Times New Roman" w:hAnsi="Times New Roman" w:eastAsia="方正仿宋_GB2312" w:cs="Times New Roman"/>
          <w:sz w:val="32"/>
          <w:szCs w:val="32"/>
        </w:rPr>
        <w:t>展AI辅助审评、药品全生命周期数字化追溯等先行先试。建设原料药数字化监管平台，利用算力实现生产过程实时监控、质量数据智能分析与风险预警。推动韶关监管数据与大湾区药品追溯体系互联互通，并探索形成可向全省复制推广的“韶关经验”，以制度创新赋能产业升级。</w:t>
      </w:r>
    </w:p>
    <w:p w14:paraId="0DB4E35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2"/>
        <w:rPr>
          <w:rFonts w:hint="default" w:ascii="Times New Roman" w:hAnsi="Times New Roman" w:eastAsia="方正楷体_GB2312" w:cs="Times New Roman"/>
          <w:b w:val="0"/>
          <w:bCs w:val="0"/>
          <w:sz w:val="32"/>
          <w:szCs w:val="32"/>
          <w:lang w:val="en-US" w:eastAsia="zh-CN"/>
        </w:rPr>
      </w:pPr>
      <w:bookmarkStart w:id="18" w:name="_Toc27308"/>
      <w:r>
        <w:rPr>
          <w:rFonts w:hint="default" w:ascii="Times New Roman" w:hAnsi="Times New Roman" w:eastAsia="方正楷体_GB2312" w:cs="Times New Roman"/>
          <w:b w:val="0"/>
          <w:bCs w:val="0"/>
          <w:sz w:val="32"/>
          <w:szCs w:val="32"/>
          <w:lang w:val="en-US" w:eastAsia="zh-CN"/>
        </w:rPr>
        <w:t>6、算力 + 来数加工</w:t>
      </w:r>
      <w:bookmarkEnd w:id="18"/>
    </w:p>
    <w:p w14:paraId="113929D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（1）发展基础及环境</w:t>
      </w:r>
    </w:p>
    <w:p w14:paraId="79412EF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网络与算力基础设施：华南最大、低时延的“绿色底座”。</w:t>
      </w:r>
      <w:r>
        <w:rPr>
          <w:rFonts w:hint="default" w:ascii="Times New Roman" w:hAnsi="Times New Roman" w:eastAsia="方正仿宋_GB2312" w:cs="Times New Roman"/>
          <w:sz w:val="32"/>
          <w:szCs w:val="32"/>
          <w:lang w:val="en-US" w:eastAsia="zh-CN"/>
        </w:rPr>
        <w:t>韶关作为华南地区最大的算力集群，韶关已吸引多家互联网巨头入驻，随着多个万卡集群投产，这里已成为承接大湾区甚至国外“热数据”处理的理想“前置仓”。此外，韶关已建成13条400G全光运力网络直达广州、深圳，珠三角城市到韶关的网络通信费比其他集群便宜约30%。目前韶关到广深骨干机房的单向网络时延已分别降至1.3毫秒和1.66毫秒，三大运营商正构建“市区1毫秒、大湾区3毫秒”的高速算力时延圈。</w:t>
      </w:r>
    </w:p>
    <w:p w14:paraId="227C0AE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国家级业务资质</w:t>
      </w:r>
      <w:r>
        <w:rPr>
          <w:rFonts w:hint="default" w:ascii="Times New Roman" w:hAnsi="Times New Roman" w:eastAsia="方正仿宋_GB2312" w:cs="Times New Roman"/>
          <w:sz w:val="32"/>
          <w:szCs w:val="32"/>
          <w:lang w:val="en-US" w:eastAsia="zh-CN"/>
        </w:rPr>
        <w:t>：2026年1月中央网信办正式批复同意韶关集群开展“来数加工”业务。这意味着韶关具备了合法处理粤港澳大湾区乃至跨境人工智能数据的资格，能够打通“境外数据进入</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境内可信加工</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成果合规输出</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全过程监管留痕”的全链路，为企业承接海外大模型训练、自动驾驶数据处理等业务扫清了制度障碍。</w:t>
      </w:r>
    </w:p>
    <w:p w14:paraId="3207449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完整的上下游产业链</w:t>
      </w:r>
      <w:r>
        <w:rPr>
          <w:rFonts w:hint="default" w:ascii="Times New Roman" w:hAnsi="Times New Roman" w:eastAsia="方正仿宋_GB2312" w:cs="Times New Roman"/>
          <w:sz w:val="32"/>
          <w:szCs w:val="32"/>
          <w:lang w:val="en-US" w:eastAsia="zh-CN"/>
        </w:rPr>
        <w:t>：韶关正在加速从单纯的“数据存储仓库”向“数据加工厂”迭代。百度、电信、粤信等数据标注基地已落地运营；在上游，华天科技封测、朗科科技存储等项目已投产；在下游，27万平方米的数据应用产业园已集聚了30家人工智能企业。</w:t>
      </w:r>
    </w:p>
    <w:p w14:paraId="1D62859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广阔的实体产业赋能空间：</w:t>
      </w:r>
      <w:r>
        <w:rPr>
          <w:rFonts w:hint="default" w:ascii="Times New Roman" w:hAnsi="Times New Roman" w:eastAsia="方正仿宋_GB2312" w:cs="Times New Roman"/>
          <w:sz w:val="32"/>
          <w:szCs w:val="32"/>
          <w:lang w:val="en-US" w:eastAsia="zh-CN"/>
        </w:rPr>
        <w:t>韶关并非一座孤立的数字孤岛，它背靠华南、华中广阔的经济腹地，拥有雄厚的先进材料、装备制造、生物医药等制造业基础。“来数加工”可以深度赋能这些本地及周边传统产业，例如开发药物研发AI辅助算法、工业质检智能诊断模型等，为数据加工后的价值转化提供了丰富的本地落地场景。</w:t>
      </w:r>
    </w:p>
    <w:p w14:paraId="617DC5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lang w:val="en-US" w:eastAsia="zh-CN"/>
        </w:rPr>
      </w:pPr>
      <w:r>
        <w:rPr>
          <w:rFonts w:hint="default" w:ascii="Times New Roman" w:hAnsi="Times New Roman" w:eastAsia="方正仿宋_GB2312" w:cs="Times New Roman"/>
          <w:b w:val="0"/>
          <w:bCs w:val="0"/>
          <w:sz w:val="32"/>
          <w:szCs w:val="36"/>
          <w:lang w:val="en-US" w:eastAsia="zh-CN"/>
        </w:rPr>
        <w:t>（2）发展方向</w:t>
      </w:r>
    </w:p>
    <w:p w14:paraId="13200E6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金融领域：“高频量化与跨境风控”算力服务：</w:t>
      </w:r>
      <w:r>
        <w:rPr>
          <w:rFonts w:hint="default" w:ascii="Times New Roman" w:hAnsi="Times New Roman" w:eastAsia="方正仿宋_GB2312" w:cs="Times New Roman"/>
          <w:sz w:val="32"/>
          <w:szCs w:val="32"/>
          <w:lang w:val="en-US" w:eastAsia="zh-CN"/>
        </w:rPr>
        <w:t>韶关可依托国家级干线节点优势和物理隔离的安全机房，打造面向大湾区的金融专属算力专区。一方面，承接证券公司、量化私募的高频交易回测需求；另一方面，利用“来数加工”政策试点，探索跨境金融数据的合规处理。在量化交易方面，为金融机构提供极低时延的算力环境，支持其对海量历史行情数据进行快速的策略回测与模型训练；在跨境金融方面，允许境外金融机构将脱敏后的信贷、征信等数据传入韶关，在符合国内数据安全法规的前提下，利用本地算力完成反欺诈模型运算或信用风险评估，实现“数据可用不可见”。</w:t>
      </w:r>
    </w:p>
    <w:p w14:paraId="4D36E31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数字文创领域：“AIGC渲染与多语种内容”生产基地。</w:t>
      </w:r>
      <w:r>
        <w:rPr>
          <w:rFonts w:hint="default" w:ascii="Times New Roman" w:hAnsi="Times New Roman" w:eastAsia="方正仿宋_GB2312" w:cs="Times New Roman"/>
          <w:sz w:val="32"/>
          <w:szCs w:val="32"/>
          <w:lang w:val="en-US" w:eastAsia="zh-CN"/>
        </w:rPr>
        <w:t>发挥韶关全省最低的电价成本等优势，依托广东省文化智算中心等基础设施，吸引广深乃至全国的影视游戏公司、跨境电商企业入驻。建立集模型训练、内容渲染、人工精修于一体的数字内容流水线。重点布局影视动漫的云端渲染与游戏资产的AI生成。利用万卡集群的强大算力进行大规模的文生图、文生视频推理，配合本地团队进行精细化的画面修正与质量把关。同时，针对出海企业，开展短视频、直播内容的多语种字幕生成与文化适配加工，打造大湾区的“数字内容后花园”。</w:t>
      </w:r>
    </w:p>
    <w:p w14:paraId="650893D5">
      <w:pPr>
        <w:keepNext w:val="0"/>
        <w:keepLines w:val="0"/>
        <w:pageBreakBefore w:val="0"/>
        <w:kinsoku/>
        <w:wordWrap/>
        <w:topLinePunct w:val="0"/>
        <w:bidi w:val="0"/>
        <w:adjustRightInd w:val="0"/>
        <w:spacing w:line="560" w:lineRule="exact"/>
        <w:ind w:left="0" w:leftChars="0" w:firstLine="640"/>
        <w:outlineLvl w:val="0"/>
        <w:rPr>
          <w:rFonts w:hint="default" w:ascii="Times New Roman" w:hAnsi="Times New Roman" w:eastAsia="黑体" w:cs="Times New Roman"/>
        </w:rPr>
      </w:pPr>
      <w:bookmarkStart w:id="19" w:name="_Toc13584"/>
      <w:r>
        <w:rPr>
          <w:rFonts w:hint="default" w:ascii="Times New Roman" w:hAnsi="Times New Roman" w:eastAsia="黑体" w:cs="Times New Roman"/>
        </w:rPr>
        <w:t>四、主要任务</w:t>
      </w:r>
      <w:bookmarkEnd w:id="19"/>
    </w:p>
    <w:p w14:paraId="4FB31EF4">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eastAsia="zh-CN"/>
        </w:rPr>
      </w:pPr>
      <w:bookmarkStart w:id="20" w:name="_Toc31072"/>
      <w:r>
        <w:rPr>
          <w:rFonts w:hint="default" w:ascii="Times New Roman" w:hAnsi="Times New Roman" w:eastAsia="楷体_GB2312" w:cs="Times New Roman"/>
          <w:lang w:eastAsia="zh-CN"/>
        </w:rPr>
        <w:t>（一）算网融合与</w:t>
      </w:r>
      <w:r>
        <w:rPr>
          <w:rFonts w:hint="default" w:ascii="Times New Roman" w:hAnsi="Times New Roman" w:eastAsia="楷体_GB2312" w:cs="Times New Roman"/>
          <w:lang w:val="en-US" w:eastAsia="zh-CN"/>
        </w:rPr>
        <w:t>算力</w:t>
      </w:r>
      <w:r>
        <w:rPr>
          <w:rFonts w:hint="default" w:ascii="Times New Roman" w:hAnsi="Times New Roman" w:eastAsia="楷体_GB2312" w:cs="Times New Roman"/>
          <w:lang w:eastAsia="zh-CN"/>
        </w:rPr>
        <w:t>调度并重，构建高效算力服务体系</w:t>
      </w:r>
      <w:bookmarkEnd w:id="20"/>
    </w:p>
    <w:p w14:paraId="014C37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rPr>
      </w:pPr>
      <w:r>
        <w:rPr>
          <w:rFonts w:hint="default" w:ascii="Times New Roman" w:hAnsi="Times New Roman" w:eastAsia="方正仿宋_GB2312" w:cs="Times New Roman"/>
          <w:b w:val="0"/>
          <w:bCs w:val="0"/>
          <w:sz w:val="32"/>
          <w:szCs w:val="36"/>
        </w:rPr>
        <w:t>1</w:t>
      </w:r>
      <w:r>
        <w:rPr>
          <w:rFonts w:hint="default" w:ascii="Times New Roman" w:hAnsi="Times New Roman" w:eastAsia="方正仿宋_GB2312" w:cs="Times New Roman"/>
          <w:b w:val="0"/>
          <w:bCs w:val="0"/>
          <w:sz w:val="32"/>
          <w:szCs w:val="36"/>
          <w:lang w:eastAsia="zh-CN"/>
        </w:rPr>
        <w:t>、</w:t>
      </w:r>
      <w:r>
        <w:rPr>
          <w:rFonts w:hint="default" w:ascii="Times New Roman" w:hAnsi="Times New Roman" w:eastAsia="方正仿宋_GB2312" w:cs="Times New Roman"/>
          <w:b w:val="0"/>
          <w:bCs w:val="0"/>
          <w:sz w:val="32"/>
          <w:szCs w:val="36"/>
        </w:rPr>
        <w:t>深化算网融合，打造“毫秒级”运力直联通道。</w:t>
      </w:r>
    </w:p>
    <w:p w14:paraId="71B6A12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sz w:val="32"/>
          <w:szCs w:val="36"/>
        </w:rPr>
      </w:pPr>
      <w:r>
        <w:rPr>
          <w:rFonts w:hint="default" w:ascii="Times New Roman" w:hAnsi="Times New Roman" w:eastAsia="方正仿宋_GB2312" w:cs="Times New Roman"/>
          <w:sz w:val="32"/>
          <w:szCs w:val="36"/>
        </w:rPr>
        <w:t>依托韶关作为国家级网络干线节点的优势，持续优化“400G全光运力网络”布局并加快推进“深广韶数据大通道”试验示范项目建设，全力推动韶关至广州、深圳骨干节点的单向网络时延进一步压缩至1.2ms以内，稳固“市区1ms、大湾区3ms”的高速算力时延圈，为大湾区人工智能、自动驾驶、低空经济等对时延敏感的业务提供确定性运力保障；同时，积极申报并建设国家算网枢纽互联中心，构建与广州、深圳骨干直联点“一省三互联”的骨干网络架构，实现网间数据在韶关本地高效交换，从而有效降低网络通信成本并提升跨网访问体验。</w:t>
      </w:r>
    </w:p>
    <w:p w14:paraId="3567429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rPr>
      </w:pPr>
      <w:r>
        <w:rPr>
          <w:rFonts w:hint="default" w:ascii="Times New Roman" w:hAnsi="Times New Roman" w:eastAsia="方正仿宋_GB2312" w:cs="Times New Roman"/>
          <w:b w:val="0"/>
          <w:bCs w:val="0"/>
          <w:sz w:val="32"/>
          <w:szCs w:val="36"/>
        </w:rPr>
        <w:t>2</w:t>
      </w:r>
      <w:r>
        <w:rPr>
          <w:rFonts w:hint="default" w:ascii="Times New Roman" w:hAnsi="Times New Roman" w:eastAsia="方正仿宋_GB2312" w:cs="Times New Roman"/>
          <w:b w:val="0"/>
          <w:bCs w:val="0"/>
          <w:sz w:val="32"/>
          <w:szCs w:val="36"/>
          <w:lang w:eastAsia="zh-CN"/>
        </w:rPr>
        <w:t>、</w:t>
      </w:r>
      <w:r>
        <w:rPr>
          <w:rFonts w:hint="default" w:ascii="Times New Roman" w:hAnsi="Times New Roman" w:eastAsia="方正仿宋_GB2312" w:cs="Times New Roman"/>
          <w:b w:val="0"/>
          <w:bCs w:val="0"/>
          <w:sz w:val="32"/>
          <w:szCs w:val="36"/>
        </w:rPr>
        <w:t>建设调度枢纽，构建湾区算力“神经中枢”。</w:t>
      </w:r>
    </w:p>
    <w:p w14:paraId="03C5F35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sz w:val="32"/>
          <w:szCs w:val="36"/>
        </w:rPr>
      </w:pPr>
      <w:r>
        <w:rPr>
          <w:rFonts w:hint="default" w:ascii="Times New Roman" w:hAnsi="Times New Roman" w:eastAsia="方正仿宋_GB2312" w:cs="Times New Roman"/>
          <w:sz w:val="32"/>
          <w:szCs w:val="36"/>
        </w:rPr>
        <w:t>联合鹏城实验室等顶尖科研机构搭建粤港澳大湾区公共算力服务平台（韶关节点），建设集约高效、安全可控的区域级算力调度与监测平台。在具体实施上，一方面构建“1+N”调度体系，以韶关集群为核心主节点，通过高速全光网连接大湾区N个城市边缘节点，部署基于AI的算力调度算法，实现跨地域、跨层级、跨云商的算力资源统一编排；另一方面实施“算力并网”工程，推动省内政务云、行业云及互联网头部企业的闲置算力接入韶关调度平台，建立“广深研发下单、韶关后台响应”的潮汐调度机制，在广深算力高峰期自动分流至韶关，实现算力资源的削峰填谷与高效利用；此外，还将推广“算力券”核销闭环，依托调度平台建立全省统一的算力交易结算系统，支持大湾区企业购买韶关算力服务后通过平台自动核销省级“算力券”，真正实现“交易在平台、结算在韶关、受益在全网”。</w:t>
      </w:r>
    </w:p>
    <w:p w14:paraId="6F01714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rPr>
      </w:pPr>
      <w:r>
        <w:rPr>
          <w:rFonts w:hint="default" w:ascii="Times New Roman" w:hAnsi="Times New Roman" w:eastAsia="方正仿宋_GB2312" w:cs="Times New Roman"/>
          <w:b w:val="0"/>
          <w:bCs w:val="0"/>
          <w:sz w:val="32"/>
          <w:szCs w:val="36"/>
        </w:rPr>
        <w:t>3</w:t>
      </w:r>
      <w:r>
        <w:rPr>
          <w:rFonts w:hint="default" w:ascii="Times New Roman" w:hAnsi="Times New Roman" w:eastAsia="方正仿宋_GB2312" w:cs="Times New Roman"/>
          <w:b w:val="0"/>
          <w:bCs w:val="0"/>
          <w:sz w:val="32"/>
          <w:szCs w:val="36"/>
          <w:lang w:eastAsia="zh-CN"/>
        </w:rPr>
        <w:t>、</w:t>
      </w:r>
      <w:r>
        <w:rPr>
          <w:rFonts w:hint="default" w:ascii="Times New Roman" w:hAnsi="Times New Roman" w:eastAsia="方正仿宋_GB2312" w:cs="Times New Roman"/>
          <w:b w:val="0"/>
          <w:bCs w:val="0"/>
          <w:sz w:val="32"/>
          <w:szCs w:val="36"/>
        </w:rPr>
        <w:t>筑牢安全底座，强化算力设施监测监管。</w:t>
      </w:r>
    </w:p>
    <w:p w14:paraId="15E4155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sz w:val="32"/>
          <w:szCs w:val="36"/>
        </w:rPr>
      </w:pPr>
      <w:r>
        <w:rPr>
          <w:rFonts w:hint="default" w:ascii="Times New Roman" w:hAnsi="Times New Roman" w:eastAsia="方正仿宋_GB2312" w:cs="Times New Roman"/>
          <w:sz w:val="32"/>
          <w:szCs w:val="36"/>
        </w:rPr>
        <w:t>依托国家算力设施安全和算力监测调度两个试点，加快构建“集群</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6"/>
        </w:rPr>
        <w:t>数据中心”两级安全防护体系。在安全保障方面，将引入专业化网络安全运营服务，针对“来数加工”等跨境业务场景，建立符合国际标准的数据安全防御体系和合规隔离机制，切实保障集群内数据与网络运行安全；在运行监测方面，将在集群内数据中心部署高精度传感器，实时采集PUE、WUE、CUE及设备运行状态，建立“算力健康码”机制，对入驻企业进行算力利用率评估，对长期“占而不用”的僵尸机架进行预警和清退，同时对高能效、高算效的“双高”企业给予能耗指标倾斜，以此全面提升集群的整体运行效率。</w:t>
      </w:r>
    </w:p>
    <w:p w14:paraId="59CFFC42">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21" w:name="_Toc14444"/>
      <w:r>
        <w:rPr>
          <w:rFonts w:hint="default" w:ascii="Times New Roman" w:hAnsi="Times New Roman" w:eastAsia="楷体_GB2312" w:cs="Times New Roman"/>
          <w:lang w:eastAsia="zh-CN"/>
        </w:rPr>
        <w:t>（二）绿电直供与源网荷储协同，</w:t>
      </w:r>
      <w:r>
        <w:rPr>
          <w:rFonts w:hint="default" w:ascii="Times New Roman" w:hAnsi="Times New Roman" w:eastAsia="楷体_GB2312" w:cs="Times New Roman"/>
          <w:lang w:val="en-US" w:eastAsia="zh-CN"/>
        </w:rPr>
        <w:t>保障</w:t>
      </w:r>
      <w:r>
        <w:rPr>
          <w:rFonts w:hint="default" w:ascii="Times New Roman" w:hAnsi="Times New Roman" w:eastAsia="楷体_GB2312" w:cs="Times New Roman"/>
          <w:lang w:eastAsia="zh-CN"/>
        </w:rPr>
        <w:t>清洁低碳</w:t>
      </w:r>
      <w:r>
        <w:rPr>
          <w:rFonts w:hint="default" w:ascii="Times New Roman" w:hAnsi="Times New Roman" w:eastAsia="楷体_GB2312" w:cs="Times New Roman"/>
          <w:lang w:val="en-US" w:eastAsia="zh-CN"/>
        </w:rPr>
        <w:t>能源供给</w:t>
      </w:r>
      <w:bookmarkEnd w:id="21"/>
    </w:p>
    <w:p w14:paraId="350B11F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rPr>
      </w:pPr>
      <w:r>
        <w:rPr>
          <w:rFonts w:hint="default" w:ascii="Times New Roman" w:hAnsi="Times New Roman" w:eastAsia="方正仿宋_GB2312" w:cs="Times New Roman"/>
          <w:b w:val="0"/>
          <w:bCs w:val="0"/>
          <w:sz w:val="32"/>
          <w:szCs w:val="36"/>
        </w:rPr>
        <w:t>1</w:t>
      </w:r>
      <w:r>
        <w:rPr>
          <w:rFonts w:hint="default" w:ascii="Times New Roman" w:hAnsi="Times New Roman" w:eastAsia="方正仿宋_GB2312" w:cs="Times New Roman"/>
          <w:b w:val="0"/>
          <w:bCs w:val="0"/>
          <w:sz w:val="32"/>
          <w:szCs w:val="36"/>
          <w:lang w:eastAsia="zh-CN"/>
        </w:rPr>
        <w:t>、</w:t>
      </w:r>
      <w:r>
        <w:rPr>
          <w:rFonts w:hint="default" w:ascii="Times New Roman" w:hAnsi="Times New Roman" w:eastAsia="方正仿宋_GB2312" w:cs="Times New Roman"/>
          <w:b w:val="0"/>
          <w:bCs w:val="0"/>
          <w:sz w:val="32"/>
          <w:szCs w:val="36"/>
        </w:rPr>
        <w:t>强化绿电保障，构建清洁低碳能源体系。</w:t>
      </w:r>
    </w:p>
    <w:p w14:paraId="48B38705">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依托韶关年发电量270亿度、富余100亿度的能源优势，以及全省最低的输配电价，大力发展清洁能源，为制造业高质量发展提供稳定、低成本的绿电支撑。支持企业利用厂区空地、厂房屋顶建设分布式光伏发电站，通过“绿电直供”等多种方式提升绿色能源消耗占比。积极争取试点在韶关高新区、数据中心集群起步区开展绿电直供与隔墙售电，由新能源电站直接向制造业企业售电，有效降低企业用电成本，打造绿色制造新优势。</w:t>
      </w:r>
    </w:p>
    <w:p w14:paraId="07A4024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2312" w:cs="Times New Roman"/>
          <w:b w:val="0"/>
          <w:bCs w:val="0"/>
          <w:sz w:val="32"/>
          <w:szCs w:val="36"/>
        </w:rPr>
      </w:pPr>
      <w:r>
        <w:rPr>
          <w:rFonts w:hint="default" w:ascii="Times New Roman" w:hAnsi="Times New Roman" w:eastAsia="方正仿宋_GB2312" w:cs="Times New Roman"/>
          <w:b w:val="0"/>
          <w:bCs w:val="0"/>
          <w:sz w:val="32"/>
          <w:szCs w:val="36"/>
        </w:rPr>
        <w:t>2</w:t>
      </w:r>
      <w:r>
        <w:rPr>
          <w:rFonts w:hint="default" w:ascii="Times New Roman" w:hAnsi="Times New Roman" w:eastAsia="方正仿宋_GB2312" w:cs="Times New Roman"/>
          <w:b w:val="0"/>
          <w:bCs w:val="0"/>
          <w:sz w:val="32"/>
          <w:szCs w:val="36"/>
          <w:lang w:eastAsia="zh-CN"/>
        </w:rPr>
        <w:t>、</w:t>
      </w:r>
      <w:r>
        <w:rPr>
          <w:rFonts w:hint="default" w:ascii="Times New Roman" w:hAnsi="Times New Roman" w:eastAsia="方正仿宋_GB2312" w:cs="Times New Roman"/>
          <w:b w:val="0"/>
          <w:bCs w:val="0"/>
          <w:sz w:val="32"/>
          <w:szCs w:val="36"/>
        </w:rPr>
        <w:t>深化源网荷储，提升能源系统调节能力。</w:t>
      </w:r>
    </w:p>
    <w:p w14:paraId="73709C39">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围绕“源、网、荷、储”一体化发展，加快构建灵活高效的能源系统。在“源”端，大力发展风电、光伏等新能源，并依托东阳光等企业，布局三元锂电池、磷酸铁锂电池、钠离子电池等储能电池及材料产业。在“网”端，持续优化全光运力网络，提升电网对新能源的接纳和配置能力。在“荷”端，引导数据中心、工业企业等负荷侧资源参与需求侧响应，实现削峰填谷。在“储”端，引进培育储能变流器</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PCS</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、储能逆变器、电池管理系统</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BMS</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等关键设备制造，突破发展光储一体化系统，提升能源系统的灵活性和安全性。</w:t>
      </w:r>
    </w:p>
    <w:p w14:paraId="705F20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outlineLvl w:val="9"/>
        <w:rPr>
          <w:rFonts w:hint="default" w:ascii="Times New Roman" w:hAnsi="Times New Roman" w:eastAsia="方正仿宋_GB2312" w:cs="Times New Roman"/>
          <w:szCs w:val="36"/>
          <w:lang w:eastAsia="zh-CN"/>
        </w:rPr>
      </w:pPr>
      <w:bookmarkStart w:id="22" w:name="_Toc17602"/>
      <w:r>
        <w:rPr>
          <w:rFonts w:hint="default" w:ascii="Times New Roman" w:hAnsi="Times New Roman" w:eastAsia="方正仿宋_GB2312" w:cs="Times New Roman"/>
          <w:szCs w:val="36"/>
          <w:lang w:eastAsia="zh-CN"/>
        </w:rPr>
        <w:t>（三）招商扩产与</w:t>
      </w:r>
      <w:r>
        <w:rPr>
          <w:rFonts w:hint="default" w:ascii="Times New Roman" w:hAnsi="Times New Roman" w:eastAsia="方正仿宋_GB2312" w:cs="Times New Roman"/>
          <w:szCs w:val="36"/>
          <w:lang w:val="en-US" w:eastAsia="zh-CN"/>
        </w:rPr>
        <w:t>需求挖掘联动</w:t>
      </w:r>
      <w:r>
        <w:rPr>
          <w:rFonts w:hint="default" w:ascii="Times New Roman" w:hAnsi="Times New Roman" w:eastAsia="方正仿宋_GB2312" w:cs="Times New Roman"/>
          <w:szCs w:val="36"/>
          <w:lang w:eastAsia="zh-CN"/>
        </w:rPr>
        <w:t>，壮大</w:t>
      </w:r>
      <w:r>
        <w:rPr>
          <w:rFonts w:hint="default" w:ascii="Times New Roman" w:hAnsi="Times New Roman" w:eastAsia="方正仿宋_GB2312" w:cs="Times New Roman"/>
          <w:szCs w:val="36"/>
          <w:lang w:val="en-US" w:eastAsia="zh-CN"/>
        </w:rPr>
        <w:t>完善算力产业生态</w:t>
      </w:r>
      <w:bookmarkEnd w:id="22"/>
    </w:p>
    <w:p w14:paraId="41356F11">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b w:val="0"/>
          <w:bCs w:val="0"/>
          <w:szCs w:val="36"/>
        </w:rPr>
      </w:pPr>
      <w:r>
        <w:rPr>
          <w:rFonts w:hint="default" w:ascii="Times New Roman" w:hAnsi="Times New Roman" w:eastAsia="方正仿宋_GB2312" w:cs="Times New Roman"/>
          <w:b w:val="0"/>
          <w:bCs w:val="0"/>
          <w:szCs w:val="36"/>
        </w:rPr>
        <w:t>1</w:t>
      </w:r>
      <w:r>
        <w:rPr>
          <w:rFonts w:hint="default" w:ascii="Times New Roman" w:hAnsi="Times New Roman" w:eastAsia="方正仿宋_GB2312" w:cs="Times New Roman"/>
          <w:b w:val="0"/>
          <w:bCs w:val="0"/>
          <w:szCs w:val="36"/>
          <w:lang w:eastAsia="zh-CN"/>
        </w:rPr>
        <w:t>、</w:t>
      </w:r>
      <w:r>
        <w:rPr>
          <w:rFonts w:hint="default" w:ascii="Times New Roman" w:hAnsi="Times New Roman" w:eastAsia="方正仿宋_GB2312" w:cs="Times New Roman"/>
          <w:b w:val="0"/>
          <w:bCs w:val="0"/>
          <w:szCs w:val="36"/>
        </w:rPr>
        <w:t>狠抓精准招商，强化产业链延链补链。</w:t>
      </w:r>
    </w:p>
    <w:p w14:paraId="5E31B4B8">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坚持“项目为王”理念，围绕大数据电子信息、先进材料、先进装备制造等重点产业链，绘制产业图谱，形成“靶向”招商企业清单。深化莞韶对口帮扶、广韶合作机制，探索建立与大湾区核心城市的联合招商机制，主动承接产业有序转移。狠抓乡贤投资，引导各地建立乡贤数据库，通过家乡行、座谈会等活动维系乡情纽带，广泛联系各地乡贤回韶投资兴业。丰富招商渠道，加强与重点产业链相关商协会、上市公司</w:t>
      </w:r>
      <w:r>
        <w:rPr>
          <w:rFonts w:hint="eastAsia" w:ascii="Times New Roman" w:hAnsi="Times New Roman" w:eastAsia="方正仿宋_GB2312" w:cs="Times New Roman"/>
          <w:szCs w:val="36"/>
          <w:lang w:val="en-US" w:eastAsia="zh-CN"/>
        </w:rPr>
        <w:t>的</w:t>
      </w:r>
      <w:r>
        <w:rPr>
          <w:rFonts w:hint="default" w:ascii="Times New Roman" w:hAnsi="Times New Roman" w:eastAsia="方正仿宋_GB2312" w:cs="Times New Roman"/>
          <w:szCs w:val="36"/>
        </w:rPr>
        <w:t>紧密联系，积极举办和参与各类投资推介会，吸引优质项目来韶落地发展。</w:t>
      </w:r>
    </w:p>
    <w:p w14:paraId="35F0D0D9">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2</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推动增资扩产，壮大制造业企业梯队。</w:t>
      </w:r>
    </w:p>
    <w:p w14:paraId="293DA7E8">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加强对中南股份、中金岭南、东阳光等本地龙头企业及总部集团的协调服务，密切关注其投资布局动态，引导企业增资扩产项目在韶关落地。强化对专精特新企业的支持，建立“增资扩产需求库”，探索“一企一档”跟踪服务，支持一批创新能力强、发展潜力大的企业做大做强。实施“工业倍增”计划，建立年度“小升规”重点企业培育库，力争“十五五”期间规上企业、高新技术企业、上市公司数量实现倍增，培育壮大制造业企业梯队。</w:t>
      </w:r>
    </w:p>
    <w:p w14:paraId="55AAE8C5">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3</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牵引市场需求，促进供需高效对接。</w:t>
      </w:r>
    </w:p>
    <w:p w14:paraId="7E92271E">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实施“百场千亿”供需对接行动，坚持“政府引导、市场运作、企业主体、多方联动”原则，每年举办专场供需对接活动，并建立线上供需对接信息平台。推动</w:t>
      </w:r>
      <w:r>
        <w:rPr>
          <w:rFonts w:hint="eastAsia" w:ascii="Times New Roman" w:hAnsi="Times New Roman" w:eastAsia="方正仿宋_GB2312" w:cs="Times New Roman"/>
          <w:szCs w:val="36"/>
          <w:lang w:val="en-US" w:eastAsia="zh-CN"/>
        </w:rPr>
        <w:t>韶关</w:t>
      </w:r>
      <w:r>
        <w:rPr>
          <w:rFonts w:hint="default" w:ascii="Times New Roman" w:hAnsi="Times New Roman" w:eastAsia="方正仿宋_GB2312" w:cs="Times New Roman"/>
          <w:szCs w:val="36"/>
        </w:rPr>
        <w:t>企业积极强链、融链、补链，扩大企业本地采购率，促进上下游企业协同发展、合作共赢。依托韶关作为连接大湾区与内陆腹地关键节点的区位优势，主动融入大湾区产业分工体系，以大湾区市场需求牵引</w:t>
      </w:r>
      <w:r>
        <w:rPr>
          <w:rFonts w:hint="eastAsia" w:ascii="Times New Roman" w:hAnsi="Times New Roman" w:eastAsia="方正仿宋_GB2312" w:cs="Times New Roman"/>
          <w:szCs w:val="36"/>
          <w:lang w:val="en-US" w:eastAsia="zh-CN"/>
        </w:rPr>
        <w:t>韶关</w:t>
      </w:r>
      <w:r>
        <w:rPr>
          <w:rFonts w:hint="default" w:ascii="Times New Roman" w:hAnsi="Times New Roman" w:eastAsia="方正仿宋_GB2312" w:cs="Times New Roman"/>
          <w:szCs w:val="36"/>
        </w:rPr>
        <w:t>制造业产品升级和产能释放，实现“广深研发、韶关制造”的协同发展格局。</w:t>
      </w:r>
    </w:p>
    <w:p w14:paraId="09B2095A">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lang w:val="en-US" w:eastAsia="zh-CN"/>
        </w:rPr>
      </w:pPr>
      <w:r>
        <w:rPr>
          <w:rFonts w:hint="default" w:ascii="Times New Roman" w:hAnsi="Times New Roman" w:eastAsia="方正仿宋_GB2312" w:cs="Times New Roman"/>
          <w:szCs w:val="36"/>
          <w:lang w:val="en-US" w:eastAsia="zh-CN"/>
        </w:rPr>
        <w:t>4、深化龙头合作，构建算力产业生态</w:t>
      </w:r>
    </w:p>
    <w:p w14:paraId="5630F271">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实施“算力换生态”战略，依托韶关作为大湾区算力枢纽的绿电与网络优势，探索“算力券”补贴机制，吸引龙头企业将核心推理算力及大模型训练任务部署在韶，将本地算力资源转化为面向大湾区的MaaS（模型即服务）能力。同时，开展“场景换产业”行动，开放钢铁、矿山、文旅等本地特色场景，作为龙头企业新技术的“练兵场”，以场景应用带动本地AI应用开发产业集群的形成。此外，要充分发挥“链主”招商效应，利用龙头企业的产业链号召力，重点引进数据中心上下游配套企业及生态伙伴，实现从“引入一家企业”到“带动一串企业、形成一个集群”的生态裂变。</w:t>
      </w:r>
    </w:p>
    <w:p w14:paraId="4F1AA26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outlineLvl w:val="9"/>
        <w:rPr>
          <w:rFonts w:hint="default" w:ascii="Times New Roman" w:hAnsi="Times New Roman" w:eastAsia="方正仿宋_GB2312" w:cs="Times New Roman"/>
          <w:szCs w:val="36"/>
          <w:lang w:eastAsia="zh-CN"/>
        </w:rPr>
      </w:pPr>
      <w:bookmarkStart w:id="23" w:name="_Toc15104"/>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lang w:val="en-US" w:eastAsia="zh-CN"/>
        </w:rPr>
        <w:t>四</w:t>
      </w:r>
      <w:r>
        <w:rPr>
          <w:rFonts w:hint="default" w:ascii="Times New Roman" w:hAnsi="Times New Roman" w:eastAsia="方正仿宋_GB2312" w:cs="Times New Roman"/>
          <w:szCs w:val="36"/>
          <w:lang w:eastAsia="zh-CN"/>
        </w:rPr>
        <w:t>）园区提质与要素保障</w:t>
      </w:r>
      <w:r>
        <w:rPr>
          <w:rFonts w:hint="default" w:ascii="Times New Roman" w:hAnsi="Times New Roman" w:eastAsia="方正仿宋_GB2312" w:cs="Times New Roman"/>
          <w:szCs w:val="36"/>
          <w:lang w:val="en-US" w:eastAsia="zh-CN"/>
        </w:rPr>
        <w:t>共举</w:t>
      </w:r>
      <w:r>
        <w:rPr>
          <w:rFonts w:hint="default" w:ascii="Times New Roman" w:hAnsi="Times New Roman" w:eastAsia="方正仿宋_GB2312" w:cs="Times New Roman"/>
          <w:szCs w:val="36"/>
          <w:lang w:eastAsia="zh-CN"/>
        </w:rPr>
        <w:t>，打造一流产业发展平台</w:t>
      </w:r>
      <w:bookmarkEnd w:id="23"/>
    </w:p>
    <w:p w14:paraId="41876DDD">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1</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优化园区布局，提升平台承载能力。</w:t>
      </w:r>
    </w:p>
    <w:p w14:paraId="7E2B4A7E">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加快打造“1+2+8”产业发展平台，即1个国家高新技术开发区、2个省级经济技术开发区、8个省级产业园区，强化工业园区作为全市制造业“主战场”的地位。实施“主城崛起”行动，将主城区打造成为先进制造业产业承载空间和要素配置核心节点，重点抓好韶关高新区、华南装备园两大市级平台建设。引导各县（市）因地制宜建强特色园区平台载体，围绕1-2个重点产业进行重点培育，加快创建一批国家级中小企业特色产业集群和省特色产业园，推动产业有序转移、科学集聚。</w:t>
      </w:r>
    </w:p>
    <w:p w14:paraId="27D12503">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2</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加快项目建设，形成滚动发展格局。</w:t>
      </w:r>
    </w:p>
    <w:p w14:paraId="71E1DB71">
      <w:pPr>
        <w:keepNext w:val="0"/>
        <w:keepLines w:val="0"/>
        <w:pageBreakBefore w:val="0"/>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发挥好市制造业高质量发展工作领导小组协调机制作用，对“新投产、新动工、新储备”项目实行全周期、动态化跟踪管理。建立滚动发展的项目推进机制，形成“签约一批、储备一批、开工一批、投产一批”的发展格局。坚持重大项目并联审批工作专班高效运转，开辟建设项目审批绿色通道，推进制造业项目执行并联审查、容缺预审、承诺补办机制，进一步提升审批效率，加快项目落地建设。</w:t>
      </w:r>
    </w:p>
    <w:p w14:paraId="3AF93371">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3</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强化要素保障，打造一流营商环境。</w:t>
      </w:r>
    </w:p>
    <w:p w14:paraId="4CE2124A">
      <w:pPr>
        <w:keepNext w:val="0"/>
        <w:keepLines w:val="0"/>
        <w:pageBreakBefore w:val="0"/>
        <w:numPr>
          <w:ilvl w:val="0"/>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加强用地保障，推动工业用地“标准地”出让，大力推行重点平台项目带“方案”出让，推进工业项目“交地即开工”。强化资金支持，全力争取超长期国债、中央预算内投资等财政支持，发挥韶关市产业投资母基金作用，以股权投资方式参与重大项目投资。加强人才支持，深入实施“百团千才万匠”人才工程，深化产教融合、校企合作，培育一批具有专业技能的企业实用人才。持续开展营商环境补短板强优势专项行动，当好服务企业的“店小二”，努力打造活力有序的市场环境和高效便捷的政务环境。</w:t>
      </w:r>
    </w:p>
    <w:p w14:paraId="1AE8F12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textAlignment w:val="auto"/>
        <w:outlineLvl w:val="9"/>
        <w:rPr>
          <w:rFonts w:hint="default" w:ascii="Times New Roman" w:hAnsi="Times New Roman" w:eastAsia="方正仿宋_GB2312" w:cs="Times New Roman"/>
          <w:szCs w:val="36"/>
          <w:lang w:val="en-US" w:eastAsia="zh-CN"/>
        </w:rPr>
      </w:pPr>
      <w:bookmarkStart w:id="24" w:name="_Toc24434"/>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lang w:val="en-US" w:eastAsia="zh-CN"/>
        </w:rPr>
        <w:t>五</w:t>
      </w:r>
      <w:r>
        <w:rPr>
          <w:rFonts w:hint="default" w:ascii="Times New Roman" w:hAnsi="Times New Roman" w:eastAsia="方正仿宋_GB2312" w:cs="Times New Roman"/>
          <w:szCs w:val="36"/>
          <w:lang w:eastAsia="zh-CN"/>
        </w:rPr>
        <w:t>）数智赋能与区域协同</w:t>
      </w:r>
      <w:r>
        <w:rPr>
          <w:rFonts w:hint="default" w:ascii="Times New Roman" w:hAnsi="Times New Roman" w:eastAsia="方正仿宋_GB2312" w:cs="Times New Roman"/>
          <w:szCs w:val="36"/>
          <w:lang w:val="en-US" w:eastAsia="zh-CN"/>
        </w:rPr>
        <w:t>互促</w:t>
      </w:r>
      <w:r>
        <w:rPr>
          <w:rFonts w:hint="default" w:ascii="Times New Roman" w:hAnsi="Times New Roman" w:eastAsia="方正仿宋_GB2312" w:cs="Times New Roman"/>
          <w:szCs w:val="36"/>
          <w:lang w:eastAsia="zh-CN"/>
        </w:rPr>
        <w:t>，打造数字经济创新</w:t>
      </w:r>
      <w:r>
        <w:rPr>
          <w:rFonts w:hint="default" w:ascii="Times New Roman" w:hAnsi="Times New Roman" w:eastAsia="方正仿宋_GB2312" w:cs="Times New Roman"/>
          <w:szCs w:val="36"/>
          <w:lang w:val="en-US" w:eastAsia="zh-CN"/>
        </w:rPr>
        <w:t>格局</w:t>
      </w:r>
      <w:bookmarkEnd w:id="24"/>
    </w:p>
    <w:p w14:paraId="5A2613B2">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1</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挖掘数据价值，夯实数字经济发展底座。</w:t>
      </w:r>
    </w:p>
    <w:p w14:paraId="3086D8FE">
      <w:pPr>
        <w:keepNext w:val="0"/>
        <w:keepLines w:val="0"/>
        <w:pageBreakBefore w:val="0"/>
        <w:numPr>
          <w:ilvl w:val="0"/>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依托全国一体化算力网络国家枢纽节点的政策优势，加快打造服务于大湾区的实时性算力底座。发挥数据中心集群的引领作用，推动数字技术深度赋能，促进数字经济和实体经济深度融合。实施全链路透视监测，在集群内数据中心部署高精度传感器，实时采集PUE、WUE、CUE及设备运行状态，建立“算力健康码”机制，提升集群整体运行效率。针对“来数加工”等跨境业务场景，建立符合国际标准的数据安全防御体系和合规隔离机制，保障集群内数据与网络运行安全。</w:t>
      </w:r>
    </w:p>
    <w:p w14:paraId="65571B44">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2</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发展行业大模型，赋能千行百业转型。</w:t>
      </w:r>
    </w:p>
    <w:p w14:paraId="3C51A1EF">
      <w:pPr>
        <w:keepNext w:val="0"/>
        <w:keepLines w:val="0"/>
        <w:pageBreakBefore w:val="0"/>
        <w:numPr>
          <w:ilvl w:val="0"/>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抢抓人工智能发展机遇，将大数据电子信息制造业作为全市首位产业进行重点培育。聚焦行业大模型、工业互联网、5G工厂等方向，支持行业龙头骨干企业开展智能制造试点应用，形成一批可复制、可推广的“数字化车间”和“智能工厂”样板。引导企业以数字化、智能化生产为导向，加强MES系统应用，通过数字化精细管控，实现实时监测与预测工厂运行状态，持续提升生产效率和制造环节的智能化水平。推动“人工智能+”融合应用，加速赋能传统产业数字化、智能化转型。</w:t>
      </w:r>
    </w:p>
    <w:p w14:paraId="0EB0B032">
      <w:pPr>
        <w:keepNext w:val="0"/>
        <w:keepLines w:val="0"/>
        <w:pageBreakBefore w:val="0"/>
        <w:numPr>
          <w:ilvl w:val="-1"/>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3</w:t>
      </w:r>
      <w:r>
        <w:rPr>
          <w:rFonts w:hint="default" w:ascii="Times New Roman" w:hAnsi="Times New Roman" w:eastAsia="方正仿宋_GB2312" w:cs="Times New Roman"/>
          <w:szCs w:val="36"/>
          <w:lang w:eastAsia="zh-CN"/>
        </w:rPr>
        <w:t>、</w:t>
      </w:r>
      <w:r>
        <w:rPr>
          <w:rFonts w:hint="default" w:ascii="Times New Roman" w:hAnsi="Times New Roman" w:eastAsia="方正仿宋_GB2312" w:cs="Times New Roman"/>
          <w:szCs w:val="36"/>
        </w:rPr>
        <w:t>深化区域合作，构建协同创新生态。</w:t>
      </w:r>
    </w:p>
    <w:p w14:paraId="068C3B5F">
      <w:pPr>
        <w:keepNext w:val="0"/>
        <w:keepLines w:val="0"/>
        <w:pageBreakBefore w:val="0"/>
        <w:numPr>
          <w:ilvl w:val="0"/>
          <w:numId w:val="0"/>
        </w:numPr>
        <w:kinsoku/>
        <w:wordWrap/>
        <w:topLinePunct w:val="0"/>
        <w:bidi w:val="0"/>
        <w:adjustRightInd w:val="0"/>
        <w:snapToGrid w:val="0"/>
        <w:spacing w:line="560" w:lineRule="exact"/>
        <w:ind w:left="0" w:leftChars="0" w:firstLine="640"/>
        <w:rPr>
          <w:rFonts w:hint="default" w:ascii="Times New Roman" w:hAnsi="Times New Roman" w:eastAsia="方正仿宋_GB2312" w:cs="Times New Roman"/>
          <w:szCs w:val="36"/>
        </w:rPr>
      </w:pPr>
      <w:r>
        <w:rPr>
          <w:rFonts w:hint="default" w:ascii="Times New Roman" w:hAnsi="Times New Roman" w:eastAsia="方正仿宋_GB2312" w:cs="Times New Roman"/>
          <w:szCs w:val="36"/>
        </w:rPr>
        <w:t>深化莞韶对口帮扶、广韶合作、广深合作，探索建立与大湾区核心城市的联合招商机制和产业协作体系。探索在大湾区发达地市设立产业创新“反向飞地”，深化“湾区研发孵化+韶关生产”区域协作机制。联合鹏城实验室等顶尖科研机构，搭建粤港澳大湾区公共算力服务平台，建设区域级算力调度与监测平台。引导制造业企业与高校、科研院所联合共建研究中心，加强产业关键技术攻关，积极构建以企业为主体、市场为导向、产学研用相结合的协同创新体系。</w:t>
      </w:r>
    </w:p>
    <w:p w14:paraId="4081EB33">
      <w:pPr>
        <w:keepNext w:val="0"/>
        <w:keepLines w:val="0"/>
        <w:pageBreakBefore w:val="0"/>
        <w:kinsoku/>
        <w:wordWrap/>
        <w:topLinePunct w:val="0"/>
        <w:bidi w:val="0"/>
        <w:adjustRightInd w:val="0"/>
        <w:spacing w:line="560" w:lineRule="exact"/>
        <w:ind w:left="0" w:leftChars="0" w:firstLine="640"/>
        <w:outlineLvl w:val="0"/>
        <w:rPr>
          <w:rFonts w:hint="default" w:ascii="Times New Roman" w:hAnsi="Times New Roman" w:eastAsia="黑体" w:cs="Times New Roman"/>
        </w:rPr>
      </w:pPr>
      <w:bookmarkStart w:id="25" w:name="_Toc4554"/>
      <w:r>
        <w:rPr>
          <w:rFonts w:hint="default" w:ascii="Times New Roman" w:hAnsi="Times New Roman" w:eastAsia="黑体" w:cs="Times New Roman"/>
        </w:rPr>
        <w:t>五、保障措施</w:t>
      </w:r>
      <w:bookmarkEnd w:id="25"/>
    </w:p>
    <w:p w14:paraId="7BF4A681">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26" w:name="_Toc15403"/>
      <w:bookmarkStart w:id="27" w:name="_Toc18475"/>
      <w:r>
        <w:rPr>
          <w:rFonts w:hint="default" w:ascii="Times New Roman" w:hAnsi="Times New Roman" w:eastAsia="楷体_GB2312" w:cs="Times New Roman"/>
          <w:lang w:val="en-US" w:eastAsia="zh-CN"/>
        </w:rPr>
        <w:t>（一）加强组织领导</w:t>
      </w:r>
      <w:bookmarkEnd w:id="26"/>
      <w:bookmarkEnd w:id="27"/>
    </w:p>
    <w:p w14:paraId="7498D41F">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0"/>
        <w:rPr>
          <w:rFonts w:hint="default" w:ascii="Times New Roman" w:hAnsi="Times New Roman" w:eastAsia="方正仿宋_GB2312" w:cs="Times New Roman"/>
        </w:rPr>
      </w:pPr>
      <w:r>
        <w:rPr>
          <w:rFonts w:hint="default" w:ascii="Times New Roman" w:hAnsi="Times New Roman" w:eastAsia="方正仿宋_GB2312" w:cs="Times New Roman"/>
        </w:rPr>
        <w:t>深</w:t>
      </w:r>
      <w:r>
        <w:rPr>
          <w:rFonts w:hint="default" w:ascii="Times New Roman" w:hAnsi="Times New Roman" w:eastAsia="方正仿宋_GB2312" w:cs="Times New Roman"/>
          <w:szCs w:val="36"/>
        </w:rPr>
        <w:t>化与</w:t>
      </w:r>
      <w:r>
        <w:rPr>
          <w:rFonts w:hint="default" w:ascii="Times New Roman" w:hAnsi="Times New Roman" w:eastAsia="方正仿宋_GB2312" w:cs="Times New Roman"/>
          <w:szCs w:val="36"/>
          <w:lang w:val="en-US" w:eastAsia="zh-CN"/>
        </w:rPr>
        <w:t>省发改委</w:t>
      </w:r>
      <w:r>
        <w:rPr>
          <w:rFonts w:hint="default" w:ascii="Times New Roman" w:hAnsi="Times New Roman" w:eastAsia="方正仿宋_GB2312" w:cs="Times New Roman"/>
          <w:szCs w:val="36"/>
        </w:rPr>
        <w:t>等上级部门的纵向联动，重点在算力集群接入大湾区骨干网、绿色电力</w:t>
      </w:r>
      <w:r>
        <w:rPr>
          <w:rFonts w:hint="default" w:ascii="Times New Roman" w:hAnsi="Times New Roman" w:eastAsia="方正仿宋_GB2312" w:cs="Times New Roman"/>
        </w:rPr>
        <w:t>交易与算力调度、跨市算力资源互补等方</w:t>
      </w:r>
      <w:r>
        <w:rPr>
          <w:rFonts w:hint="default" w:ascii="Times New Roman" w:hAnsi="Times New Roman" w:eastAsia="方正仿宋_GB2312" w:cs="Times New Roman"/>
          <w:szCs w:val="36"/>
        </w:rPr>
        <w:t>面建立常态</w:t>
      </w:r>
      <w:r>
        <w:rPr>
          <w:rFonts w:hint="default" w:ascii="Times New Roman" w:hAnsi="Times New Roman" w:eastAsia="方正仿宋_GB2312" w:cs="Times New Roman"/>
        </w:rPr>
        <w:t>化协调机制。强化市级“算力产业发展工作专班”职能，厘清市发改局、市工信局、市政务服务数据管理局等部门在项目落地、网络升级、绿电配给等环节的权责边界，确保韶关数据中心集群高效协同运转。依托现有韶关数据中心集群建设领导小组，强化统筹协调职能。对年度重点项目、技术路线变更、能耗指标分配等重大事项，实行专家论证与第三方评估相结合的联合审议制度。建立项目全周期弹性调整机制，对因电价波动、技术迭代或市场变化导致难以推进的项目，适时组织风险评估并动态优化实施方案，保障算力建设科学有序。</w:t>
      </w:r>
    </w:p>
    <w:p w14:paraId="6F638326">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28" w:name="_Toc11604"/>
      <w:bookmarkStart w:id="29" w:name="_Toc22399"/>
      <w:r>
        <w:rPr>
          <w:rFonts w:hint="default" w:ascii="Times New Roman" w:hAnsi="Times New Roman" w:eastAsia="楷体_GB2312" w:cs="Times New Roman"/>
          <w:lang w:val="en-US" w:eastAsia="zh-CN"/>
        </w:rPr>
        <w:t>（二）加强要素保障</w:t>
      </w:r>
      <w:bookmarkEnd w:id="28"/>
      <w:bookmarkEnd w:id="29"/>
    </w:p>
    <w:p w14:paraId="68FED034">
      <w:pPr>
        <w:pStyle w:val="13"/>
        <w:keepNext w:val="0"/>
        <w:keepLines w:val="0"/>
        <w:pageBreakBefore w:val="0"/>
        <w:widowControl w:val="0"/>
        <w:kinsoku/>
        <w:wordWrap/>
        <w:overflowPunct/>
        <w:topLinePunct w:val="0"/>
        <w:autoSpaceDE/>
        <w:autoSpaceDN/>
        <w:bidi w:val="0"/>
        <w:adjustRightInd w:val="0"/>
        <w:snapToGrid w:val="0"/>
        <w:spacing w:afterLines="0" w:line="560" w:lineRule="exact"/>
        <w:ind w:left="0" w:leftChars="0" w:firstLine="640"/>
        <w:rPr>
          <w:rFonts w:hint="default" w:ascii="Times New Roman" w:hAnsi="Times New Roman" w:eastAsia="方正仿宋_GB2312" w:cs="Times New Roman"/>
        </w:rPr>
      </w:pPr>
      <w:r>
        <w:rPr>
          <w:rFonts w:hint="default" w:ascii="Times New Roman" w:hAnsi="Times New Roman" w:eastAsia="方正仿宋_GB2312" w:cs="Times New Roman"/>
        </w:rPr>
        <w:t>资金要素方面，设立“韶关算力应用引导基金”和智算生态创投基金，发挥市数投公司</w:t>
      </w:r>
      <w:r>
        <w:rPr>
          <w:rFonts w:hint="default" w:ascii="Times New Roman" w:hAnsi="Times New Roman" w:eastAsia="方正仿宋_GB2312" w:cs="Times New Roman"/>
          <w:lang w:val="en-US" w:eastAsia="zh-CN"/>
        </w:rPr>
        <w:t>等</w:t>
      </w:r>
      <w:r>
        <w:rPr>
          <w:rFonts w:hint="default" w:ascii="Times New Roman" w:hAnsi="Times New Roman" w:eastAsia="方正仿宋_GB2312" w:cs="Times New Roman"/>
        </w:rPr>
        <w:t>市级国有平台引领作用，探索“算力+股权</w:t>
      </w:r>
      <w:r>
        <w:rPr>
          <w:rFonts w:hint="default" w:ascii="Times New Roman" w:hAnsi="Times New Roman" w:eastAsia="方正仿宋_GB2312" w:cs="Times New Roman"/>
          <w:lang w:eastAsia="zh-CN"/>
        </w:rPr>
        <w:t>”“</w:t>
      </w:r>
      <w:r>
        <w:rPr>
          <w:rFonts w:hint="default" w:ascii="Times New Roman" w:hAnsi="Times New Roman" w:eastAsia="方正仿宋_GB2312" w:cs="Times New Roman"/>
        </w:rPr>
        <w:t>设备租赁+分成”等多元化融资模式，撬动社会资本参与数据中心及配套网络建设，优先支持有核心技术且能与本地钢铁、制造、文旅等传统行业深度融合的成长型企业，形成政府引导、市场主导的风险分担机制。服务体系方面，依托韶关公共算力服务平台与粤港澳大湾区公共算力服务平台，持续拓展算力资源智能匹配、应用适配测试、政策自动推送、补贴在线申领等一体化服务功能，深化“三零”帮办代办模式，畅通算力创新项目服务通道，切实降低企业制度性交易成本，打造“韶关算力服务一窗通办”特色品牌。</w:t>
      </w:r>
    </w:p>
    <w:p w14:paraId="748A3BB0">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30" w:name="_Toc21923"/>
      <w:bookmarkStart w:id="31" w:name="_Toc23050"/>
      <w:r>
        <w:rPr>
          <w:rFonts w:hint="default" w:ascii="Times New Roman" w:hAnsi="Times New Roman" w:eastAsia="楷体_GB2312" w:cs="Times New Roman"/>
          <w:lang w:val="en-US" w:eastAsia="zh-CN"/>
        </w:rPr>
        <w:t>（三）加强人才支撑</w:t>
      </w:r>
      <w:bookmarkEnd w:id="30"/>
      <w:bookmarkEnd w:id="31"/>
    </w:p>
    <w:p w14:paraId="1BAC348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深入落实韶关“大数据产业人才振兴计划”，针对大湾区核心城市的“虹吸效应”实施差异化引才策略，重点吸引算力应用型、复合型人才来韶开展模型训练、推理验证等研发创新活动。充分发挥</w:t>
      </w:r>
      <w:r>
        <w:rPr>
          <w:rFonts w:hint="eastAsia" w:ascii="Times New Roman" w:hAnsi="Times New Roman" w:eastAsia="方正仿宋_GB2312" w:cs="Times New Roman"/>
          <w:sz w:val="32"/>
          <w:szCs w:val="32"/>
          <w:lang w:eastAsia="zh-CN"/>
        </w:rPr>
        <w:t>韶关市大数据产业平台</w:t>
      </w:r>
      <w:r>
        <w:rPr>
          <w:rFonts w:hint="default" w:ascii="Times New Roman" w:hAnsi="Times New Roman" w:eastAsia="方正仿宋_GB2312" w:cs="Times New Roman"/>
          <w:sz w:val="32"/>
          <w:szCs w:val="32"/>
        </w:rPr>
        <w:t>优势，聘请业内专家学者组建算力产业发展专家智库，依托韶关学院、广东松山职业技术学院等大中专院校推广“订单式”定向培养模式，重点培养数据标注与垂直领域知识兼具的复合型技术人才。</w:t>
      </w:r>
      <w:r>
        <w:rPr>
          <w:rFonts w:hint="default" w:ascii="Times New Roman" w:hAnsi="Times New Roman" w:eastAsia="方正仿宋_GB2312" w:cs="Times New Roman"/>
          <w:sz w:val="32"/>
          <w:szCs w:val="32"/>
          <w:highlight w:val="none"/>
        </w:rPr>
        <w:t>依托“百万英才汇南粤”行动，</w:t>
      </w:r>
      <w:r>
        <w:rPr>
          <w:rFonts w:hint="default" w:ascii="Times New Roman" w:hAnsi="Times New Roman" w:eastAsia="方正仿宋_GB2312" w:cs="Times New Roman"/>
          <w:sz w:val="32"/>
          <w:szCs w:val="32"/>
        </w:rPr>
        <w:t>积极参加大型综合招聘会，精准引进AI算法、项目管理等紧缺人才，为算力应用型人才提供一站式服务。定期举办大湾区算力人才交流活动，促进人才供需有效对接，逐步提高韶关对算力产业人才的吸引力。</w:t>
      </w:r>
    </w:p>
    <w:p w14:paraId="4799D333">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textAlignment w:val="auto"/>
        <w:outlineLvl w:val="1"/>
        <w:rPr>
          <w:rFonts w:hint="default" w:ascii="Times New Roman" w:hAnsi="Times New Roman" w:eastAsia="楷体_GB2312" w:cs="Times New Roman"/>
          <w:lang w:val="en-US" w:eastAsia="zh-CN"/>
        </w:rPr>
      </w:pPr>
      <w:bookmarkStart w:id="32" w:name="_Toc10499"/>
      <w:r>
        <w:rPr>
          <w:rFonts w:hint="default" w:ascii="Times New Roman" w:hAnsi="Times New Roman" w:eastAsia="楷体_GB2312" w:cs="Times New Roman"/>
          <w:lang w:val="en-US" w:eastAsia="zh-CN"/>
        </w:rPr>
        <w:t>（四）深化开放合作</w:t>
      </w:r>
      <w:bookmarkEnd w:id="32"/>
    </w:p>
    <w:p w14:paraId="3EA9638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rPr>
          <w:rFonts w:hint="default" w:ascii="Times New Roman" w:hAnsi="Times New Roman" w:eastAsia="仿宋_GB2312" w:cs="Times New Roman"/>
          <w:lang w:eastAsia="zh-CN"/>
        </w:rPr>
      </w:pPr>
      <w:r>
        <w:rPr>
          <w:rFonts w:hint="default" w:ascii="Times New Roman" w:hAnsi="Times New Roman" w:eastAsia="方正仿宋_GB2312" w:cs="Times New Roman"/>
          <w:sz w:val="32"/>
          <w:szCs w:val="32"/>
        </w:rPr>
        <w:t>抢抓粤港澳大湾区数据特区建设机遇，全面做实“来数加工”跨境算力专区。依托三大运营商直达港澳的跨境专线与物理隔离安全体系，常态化运营“港数韶算”“澳数韶算”业务链路，为港澳及海外企业提供数据跨境加工、Token转化等合规服务，打造面向东南亚的算力出海桥头堡。建立与广州、深圳等大湾区核心城市的算力协同机制，加快深广韶数据大通道（空芯光纤）项目建设，依托粤港澳大湾区公共算力服务平台，推动算力资源跨区域智能调度与Token标准化交易，构建“湾区研发训练、韶关算力支撑、成果湾区应用”的产业分工格局。联合大湾区城市共建数据要素流通市场，推动广州数据交易所（韶关）服务基地与深圳数据交易所互联互通，探索算力券跨市互认、绿电交易联动与能耗指标统筹，构建适配全国一体化算力网的韶关开放合作体系。</w:t>
      </w:r>
    </w:p>
    <w:sectPr>
      <w:footerReference r:id="rId11" w:type="default"/>
      <w:pgSz w:w="11906" w:h="16838"/>
      <w:pgMar w:top="2098" w:right="1474" w:bottom="1984" w:left="1587"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A6514F-3D2C-4BE7-B9FC-5F44CDAD1E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F47EC935-3FF3-49E4-971B-EDE059295716}"/>
  </w:font>
  <w:font w:name="方正小标宋简体">
    <w:panose1 w:val="03000509000000000000"/>
    <w:charset w:val="86"/>
    <w:family w:val="script"/>
    <w:pitch w:val="default"/>
    <w:sig w:usb0="00000001" w:usb1="080E0000" w:usb2="00000000" w:usb3="00000000" w:csb0="00040000" w:csb1="00000000"/>
    <w:embedRegular r:id="rId3" w:fontKey="{55105FB6-8630-4008-8CAA-0EE4E582B87D}"/>
  </w:font>
  <w:font w:name="楷体_GB2312">
    <w:panose1 w:val="02010609030101010101"/>
    <w:charset w:val="86"/>
    <w:family w:val="modern"/>
    <w:pitch w:val="default"/>
    <w:sig w:usb0="00000001" w:usb1="080E0000" w:usb2="00000000" w:usb3="00000000" w:csb0="00040000" w:csb1="00000000"/>
    <w:embedRegular r:id="rId4" w:fontKey="{29B00DDB-592F-466B-8388-31430440E5E7}"/>
  </w:font>
  <w:font w:name="方正仿宋_GB2312">
    <w:altName w:val="方正仿宋_GBK"/>
    <w:panose1 w:val="02000000000000000000"/>
    <w:charset w:val="86"/>
    <w:family w:val="auto"/>
    <w:pitch w:val="default"/>
    <w:sig w:usb0="00000000" w:usb1="00000000" w:usb2="00000012" w:usb3="00000000" w:csb0="00040001" w:csb1="00000000"/>
    <w:embedRegular r:id="rId5" w:fontKey="{33838E99-BABD-475A-A75E-112939FC8D4E}"/>
  </w:font>
  <w:font w:name="方正仿宋_GBK">
    <w:panose1 w:val="03000509000000000000"/>
    <w:charset w:val="86"/>
    <w:family w:val="auto"/>
    <w:pitch w:val="default"/>
    <w:sig w:usb0="00000001" w:usb1="080E0000" w:usb2="00000000" w:usb3="00000000" w:csb0="00040000" w:csb1="00000000"/>
    <w:embedRegular r:id="rId6" w:fontKey="{CA56FA08-9DE3-4E23-A8FB-77B3D8ECC673}"/>
  </w:font>
  <w:font w:name="方正楷体_GB2312">
    <w:altName w:val="方正楷体_GBK"/>
    <w:panose1 w:val="02000000000000000000"/>
    <w:charset w:val="86"/>
    <w:family w:val="auto"/>
    <w:pitch w:val="default"/>
    <w:sig w:usb0="00000000" w:usb1="00000000" w:usb2="00000012" w:usb3="00000000" w:csb0="00040001" w:csb1="00000000"/>
    <w:embedRegular r:id="rId7" w:fontKey="{C8711F3C-CB3E-46B8-B509-7FA6A52CE60C}"/>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FE6E">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C94F">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EB9A7">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437D0">
    <w:pPr>
      <w:pStyle w:val="7"/>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A5AA4">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8A5AA4">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ind w:firstLine="640"/>
      </w:pPr>
      <w:r>
        <w:separator/>
      </w:r>
    </w:p>
  </w:footnote>
  <w:footnote w:type="continuationSeparator" w:id="3">
    <w:p>
      <w:pPr>
        <w:spacing w:line="240" w:lineRule="auto"/>
        <w:ind w:firstLine="640"/>
      </w:pPr>
      <w:r>
        <w:continuationSeparator/>
      </w:r>
    </w:p>
  </w:footnote>
  <w:footnote w:id="0">
    <w:p w14:paraId="571F8BB8">
      <w:pPr>
        <w:pStyle w:val="10"/>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eastAsia="仿宋_GB2312"/>
          <w:lang w:val="en-US" w:eastAsia="zh-CN"/>
        </w:rPr>
      </w:pPr>
      <w:r>
        <w:rPr>
          <w:rStyle w:val="18"/>
        </w:rPr>
        <w:footnoteRef/>
      </w:r>
      <w:r>
        <w:t xml:space="preserve"> </w:t>
      </w:r>
      <w:r>
        <w:rPr>
          <w:rFonts w:hint="eastAsia" w:ascii="仿宋_GB2312" w:hAnsi="仿宋_GB2312" w:eastAsia="仿宋_GB2312" w:cs="仿宋_GB2312"/>
          <w:color w:val="auto"/>
          <w:sz w:val="20"/>
          <w:szCs w:val="20"/>
          <w:highlight w:val="none"/>
        </w:rPr>
        <w:t>行业高质量数据集</w:t>
      </w:r>
      <w:r>
        <w:rPr>
          <w:rFonts w:hint="eastAsia" w:ascii="仿宋_GB2312" w:hAnsi="仿宋_GB2312" w:cs="仿宋_GB2312"/>
          <w:color w:val="auto"/>
          <w:sz w:val="20"/>
          <w:szCs w:val="20"/>
          <w:highlight w:val="none"/>
          <w:lang w:eastAsia="zh-CN"/>
        </w:rPr>
        <w:t>：</w:t>
      </w:r>
      <w:r>
        <w:rPr>
          <w:rFonts w:hint="eastAsia" w:ascii="仿宋_GB2312" w:hAnsi="仿宋_GB2312" w:cs="仿宋_GB2312"/>
          <w:color w:val="auto"/>
          <w:sz w:val="20"/>
          <w:szCs w:val="20"/>
          <w:highlight w:val="none"/>
          <w:lang w:val="en-US" w:eastAsia="zh-CN"/>
        </w:rPr>
        <w:t>是指经过规范采集、清洗、加工、标注等处理，可直接用于AI模型训练、微调、推理，能有效提升模型、智能体、智能终端应用效能的行业数据集合。参考国家标准《高质量数据集 质量评测规范》标准号为TC609-5-2025-04，说明文档、数据质量、模型应用三大维度的评测均需达到90分及以上才可认定为高质量数据集。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03E62">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A4987">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492F2">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93"/>
    <w:rsid w:val="000C3156"/>
    <w:rsid w:val="001A4E98"/>
    <w:rsid w:val="001B447B"/>
    <w:rsid w:val="00204511"/>
    <w:rsid w:val="002E4B77"/>
    <w:rsid w:val="00303EF6"/>
    <w:rsid w:val="00481E3F"/>
    <w:rsid w:val="004C2185"/>
    <w:rsid w:val="006B02E6"/>
    <w:rsid w:val="007F2596"/>
    <w:rsid w:val="008B62F5"/>
    <w:rsid w:val="00982F44"/>
    <w:rsid w:val="00AE6AF0"/>
    <w:rsid w:val="00E82D31"/>
    <w:rsid w:val="00EC1493"/>
    <w:rsid w:val="02C24BF1"/>
    <w:rsid w:val="032C25BC"/>
    <w:rsid w:val="08901346"/>
    <w:rsid w:val="0F9067A2"/>
    <w:rsid w:val="10624B25"/>
    <w:rsid w:val="11927A83"/>
    <w:rsid w:val="1ADD03C2"/>
    <w:rsid w:val="1D093746"/>
    <w:rsid w:val="1E7828DC"/>
    <w:rsid w:val="27541A0C"/>
    <w:rsid w:val="2C424B8E"/>
    <w:rsid w:val="2E1E4B22"/>
    <w:rsid w:val="376C4B50"/>
    <w:rsid w:val="3FFF8D40"/>
    <w:rsid w:val="43FF4393"/>
    <w:rsid w:val="48AA360B"/>
    <w:rsid w:val="4B126583"/>
    <w:rsid w:val="4DB91557"/>
    <w:rsid w:val="584A36FB"/>
    <w:rsid w:val="585F21FD"/>
    <w:rsid w:val="5EEC7E51"/>
    <w:rsid w:val="5FF66B46"/>
    <w:rsid w:val="687D2D9A"/>
    <w:rsid w:val="68916D37"/>
    <w:rsid w:val="6C8E5267"/>
    <w:rsid w:val="79082CB7"/>
    <w:rsid w:val="7A141127"/>
    <w:rsid w:val="7B58325D"/>
    <w:rsid w:val="7D375955"/>
    <w:rsid w:val="7D4D6D63"/>
    <w:rsid w:val="7F3379FA"/>
    <w:rsid w:val="7FDF5877"/>
    <w:rsid w:val="ABD72180"/>
    <w:rsid w:val="AFE8CE4A"/>
    <w:rsid w:val="BBEB58B4"/>
    <w:rsid w:val="E1CFD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eastAsia="仿宋_GB2312" w:asciiTheme="minorHAnsi" w:hAnsiTheme="minorHAnsi" w:cstheme="minorBidi"/>
      <w:kern w:val="2"/>
      <w:sz w:val="32"/>
      <w:szCs w:val="22"/>
      <w:lang w:val="en-US" w:eastAsia="zh-CN" w:bidi="ar-SA"/>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color w:val="auto"/>
      <w:szCs w:val="21"/>
    </w:rPr>
  </w:style>
  <w:style w:type="paragraph" w:styleId="4">
    <w:name w:val="Body Text"/>
    <w:basedOn w:val="1"/>
    <w:next w:val="5"/>
    <w:qFormat/>
    <w:uiPriority w:val="0"/>
  </w:style>
  <w:style w:type="paragraph" w:styleId="5">
    <w:name w:val="Body Text 2"/>
    <w:basedOn w:val="1"/>
    <w:next w:val="1"/>
    <w:qFormat/>
    <w:uiPriority w:val="0"/>
    <w:pPr>
      <w:widowControl w:val="0"/>
      <w:spacing w:after="120" w:afterLines="0" w:afterAutospacing="0" w:line="480" w:lineRule="auto"/>
      <w:ind w:firstLine="880" w:firstLineChars="200"/>
      <w:jc w:val="both"/>
    </w:pPr>
    <w:rPr>
      <w:rFonts w:ascii="Times New Roman" w:hAnsi="Times New Roman" w:eastAsia="仿宋_GB2312" w:cs="Times New Roman"/>
      <w:kern w:val="2"/>
      <w:sz w:val="32"/>
      <w:szCs w:val="24"/>
      <w:lang w:val="en-US" w:eastAsia="zh-CN" w:bidi="ar-SA"/>
    </w:rPr>
  </w:style>
  <w:style w:type="paragraph" w:styleId="6">
    <w:name w:val="Body Text Indent"/>
    <w:basedOn w:val="1"/>
    <w:qFormat/>
    <w:uiPriority w:val="0"/>
    <w:pPr>
      <w:widowControl w:val="0"/>
      <w:spacing w:afterLines="0" w:afterAutospacing="0" w:line="600" w:lineRule="exact"/>
      <w:ind w:left="0" w:leftChars="0" w:firstLine="880" w:firstLineChars="200"/>
      <w:jc w:val="both"/>
    </w:pPr>
    <w:rPr>
      <w:rFonts w:ascii="Times New Roman" w:hAnsi="Times New Roman" w:eastAsia="仿宋_GB2312" w:cs="Times New Roman"/>
      <w:kern w:val="2"/>
      <w:sz w:val="32"/>
      <w:szCs w:val="24"/>
      <w:lang w:val="en-US" w:eastAsia="zh-CN" w:bidi="ar-SA"/>
    </w:rPr>
  </w:style>
  <w:style w:type="paragraph" w:styleId="7">
    <w:name w:val="footer"/>
    <w:basedOn w:val="1"/>
    <w:semiHidden/>
    <w:unhideWhenUsed/>
    <w:qFormat/>
    <w:uiPriority w:val="99"/>
    <w:pPr>
      <w:tabs>
        <w:tab w:val="center" w:pos="4153"/>
        <w:tab w:val="right" w:pos="8306"/>
      </w:tabs>
      <w:snapToGrid w:val="0"/>
      <w:jc w:val="left"/>
    </w:pPr>
    <w:rPr>
      <w:sz w:val="18"/>
    </w:rPr>
  </w:style>
  <w:style w:type="paragraph" w:styleId="8">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nhideWhenUsed/>
    <w:qFormat/>
    <w:uiPriority w:val="39"/>
  </w:style>
  <w:style w:type="paragraph" w:styleId="10">
    <w:name w:val="footnote text"/>
    <w:basedOn w:val="1"/>
    <w:qFormat/>
    <w:uiPriority w:val="0"/>
    <w:pPr>
      <w:snapToGrid w:val="0"/>
      <w:jc w:val="left"/>
    </w:pPr>
    <w:rPr>
      <w:sz w:val="18"/>
    </w:rPr>
  </w:style>
  <w:style w:type="paragraph" w:styleId="11">
    <w:name w:val="toc 2"/>
    <w:basedOn w:val="1"/>
    <w:next w:val="1"/>
    <w:unhideWhenUsed/>
    <w:qFormat/>
    <w:uiPriority w:val="39"/>
    <w:pPr>
      <w:ind w:left="420" w:leftChars="200"/>
    </w:p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Body Text First Indent 2"/>
    <w:basedOn w:val="6"/>
    <w:next w:val="4"/>
    <w:qFormat/>
    <w:uiPriority w:val="0"/>
    <w:pPr>
      <w:widowControl w:val="0"/>
      <w:spacing w:afterLines="0" w:afterAutospacing="0" w:line="360" w:lineRule="auto"/>
      <w:ind w:left="0" w:leftChars="0" w:firstLine="420" w:firstLineChars="200"/>
      <w:jc w:val="both"/>
    </w:pPr>
    <w:rPr>
      <w:rFonts w:ascii="Times New Roman" w:hAnsi="Times New Roman" w:eastAsia="仿宋_GB2312" w:cs="Times New Roman"/>
      <w:kern w:val="2"/>
      <w:sz w:val="32"/>
      <w:szCs w:val="24"/>
      <w:lang w:val="en-US" w:eastAsia="zh-CN" w:bidi="ar-SA"/>
    </w:rPr>
  </w:style>
  <w:style w:type="character" w:styleId="16">
    <w:name w:val="Strong"/>
    <w:basedOn w:val="15"/>
    <w:qFormat/>
    <w:uiPriority w:val="22"/>
    <w:rPr>
      <w:b/>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footnote reference"/>
    <w:basedOn w:val="15"/>
    <w:qFormat/>
    <w:uiPriority w:val="0"/>
    <w:rPr>
      <w:vertAlign w:val="superscript"/>
    </w:rPr>
  </w:style>
  <w:style w:type="paragraph" w:styleId="19">
    <w:name w:val="List Paragraph"/>
    <w:basedOn w:val="1"/>
    <w:qFormat/>
    <w:uiPriority w:val="34"/>
    <w:pPr>
      <w:ind w:firstLine="420"/>
    </w:pPr>
  </w:style>
  <w:style w:type="character" w:customStyle="1" w:styleId="20">
    <w:name w:val="citation-93"/>
    <w:basedOn w:val="15"/>
    <w:qFormat/>
    <w:uiPriority w:val="0"/>
  </w:style>
  <w:style w:type="character" w:customStyle="1" w:styleId="21">
    <w:name w:val="citation-92"/>
    <w:basedOn w:val="15"/>
    <w:qFormat/>
    <w:uiPriority w:val="0"/>
  </w:style>
  <w:style w:type="character" w:customStyle="1" w:styleId="22">
    <w:name w:val="citation-91"/>
    <w:basedOn w:val="15"/>
    <w:qFormat/>
    <w:uiPriority w:val="0"/>
  </w:style>
  <w:style w:type="character" w:customStyle="1" w:styleId="23">
    <w:name w:val="citation-90"/>
    <w:basedOn w:val="15"/>
    <w:qFormat/>
    <w:uiPriority w:val="0"/>
  </w:style>
  <w:style w:type="character" w:customStyle="1" w:styleId="24">
    <w:name w:val="citation-89"/>
    <w:basedOn w:val="15"/>
    <w:qFormat/>
    <w:uiPriority w:val="0"/>
  </w:style>
  <w:style w:type="character" w:customStyle="1" w:styleId="25">
    <w:name w:val="citation-115"/>
    <w:basedOn w:val="15"/>
    <w:qFormat/>
    <w:uiPriority w:val="0"/>
  </w:style>
  <w:style w:type="character" w:customStyle="1" w:styleId="26">
    <w:name w:val="citation-114"/>
    <w:basedOn w:val="15"/>
    <w:qFormat/>
    <w:uiPriority w:val="0"/>
  </w:style>
  <w:style w:type="character" w:customStyle="1" w:styleId="27">
    <w:name w:val="citation-113"/>
    <w:basedOn w:val="15"/>
    <w:qFormat/>
    <w:uiPriority w:val="0"/>
  </w:style>
  <w:style w:type="character" w:customStyle="1" w:styleId="28">
    <w:name w:val="citation-111"/>
    <w:basedOn w:val="15"/>
    <w:qFormat/>
    <w:uiPriority w:val="0"/>
  </w:style>
  <w:style w:type="character" w:customStyle="1" w:styleId="29">
    <w:name w:val="citation-87"/>
    <w:basedOn w:val="15"/>
    <w:qFormat/>
    <w:uiPriority w:val="0"/>
  </w:style>
  <w:style w:type="character" w:customStyle="1" w:styleId="30">
    <w:name w:val="citation-72"/>
    <w:basedOn w:val="15"/>
    <w:qFormat/>
    <w:uiPriority w:val="0"/>
  </w:style>
  <w:style w:type="character" w:customStyle="1" w:styleId="31">
    <w:name w:val="citation-71"/>
    <w:basedOn w:val="15"/>
    <w:qFormat/>
    <w:uiPriority w:val="0"/>
  </w:style>
  <w:style w:type="character" w:customStyle="1" w:styleId="32">
    <w:name w:val="citation-240"/>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47</Pages>
  <Words>49</Words>
  <Characters>49</Characters>
  <Lines>5</Lines>
  <Paragraphs>1</Paragraphs>
  <TotalTime>83</TotalTime>
  <ScaleCrop>false</ScaleCrop>
  <LinksUpToDate>false</LinksUpToDate>
  <CharactersWithSpaces>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2026-07-05T15:53:00Z</dcterms:created>
  <dc:creator>Administrator</dc:creator>
  <cp:lastModifiedBy>J-Y_Jerry</cp:lastModifiedBy>
  <dcterms:modified xsi:type="dcterms:W3CDTF">2026-09-14T00:39:57Z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eyJoZGlkIjoiMzgyZmRhNGY3YjFlYTMyNWJmYmQyMGI1OTM2Zjc5ZTIiLCJ1c2VySWQiOiIxNDk1NDE0NjU0In0=</vt:lpwstr>
  </property>
  <property fmtid="{D5CDD505-2E9C-101B-9397-08002B2CF9AE}" pid="3" name="KSOProductBuildVer">
    <vt:lpwstr>2052-12.1.0.28505</vt:lpwstr>
  </property>
  <property fmtid="{D5CDD505-2E9C-101B-9397-08002B2CF9AE}" pid="4" name="ICV">
    <vt:lpwstr>C5BFD21A94514B66969ABC7D8180D930_13</vt:lpwstr>
  </property>
</Properties>
</file>