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3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A类部门网站评估结果</w:t>
      </w:r>
    </w:p>
    <w:p>
      <w:pPr>
        <w:spacing w:line="360" w:lineRule="auto"/>
        <w:jc w:val="center"/>
        <w:rPr>
          <w:rFonts w:ascii="Times New Roman" w:eastAsia="仿宋_GB2312"/>
          <w:b/>
          <w:bCs/>
          <w:sz w:val="32"/>
          <w:szCs w:val="32"/>
        </w:rPr>
      </w:pPr>
    </w:p>
    <w:tbl>
      <w:tblPr>
        <w:tblStyle w:val="4"/>
        <w:tblW w:w="947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6142"/>
        <w:gridCol w:w="1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016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部门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南宁市发展和改革委员会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103.25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南宁市教育局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98.9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南宁市科学技术局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南宁市工业和信息化局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91.75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南宁市民族事务委员会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87.25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南宁市公安局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94.05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南宁市民政局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93.55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南宁市司法局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南宁市人力资源和社会保障局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103.4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南宁市自然资源局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102.2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南宁市生态环境局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南宁市住房和城乡建设局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99.65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南宁市交通运输局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94.83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南宁市市场监督管理局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93.85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南宁市水利局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97.2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南宁市商务局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89.75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南宁市文化广电和旅游局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南宁市卫生健康委员会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南宁市应急管理局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100.6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南宁市体育局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85.55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南宁市金融工作办公室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104.3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南宁市人民防空办公室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92.85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南宁市医疗保障局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南宁市市政和园林管理局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83.03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南宁市投资促进局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88.85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南宁市行政审批局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96.85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南宁市住房公积金管理中心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77.35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南宁市人民政府地方志编纂办公室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98.55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南宁市气象局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6142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南宁市林业局</w:t>
            </w:r>
          </w:p>
        </w:tc>
        <w:tc>
          <w:tcPr>
            <w:tcW w:w="1317" w:type="dxa"/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72.4</w:t>
            </w:r>
          </w:p>
        </w:tc>
      </w:tr>
    </w:tbl>
    <w:p>
      <w:pPr>
        <w:spacing w:line="360" w:lineRule="auto"/>
        <w:rPr>
          <w:rFonts w:ascii="Times New Roman" w:eastAsia="仿宋_GB2312"/>
          <w:b/>
          <w:bCs/>
          <w:sz w:val="24"/>
          <w:szCs w:val="24"/>
        </w:rPr>
      </w:pPr>
    </w:p>
    <w:p>
      <w:pPr>
        <w:widowControl/>
        <w:jc w:val="left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创艺简老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75125"/>
    <w:rsid w:val="1077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2022-02-24T08:05:00Z</dcterms:created>
  <dc:creator>星光</dc:creator>
  <cp:lastModifiedBy>星光</cp:lastModifiedBy>
  <dcterms:modified xsi:type="dcterms:W3CDTF">2022-02-24T08:08:02Z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852D2043F0014AE9BB4FA67528892F8B</vt:lpwstr>
  </property>
</Properties>
</file>