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B4C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0C0C0C"/>
          <w:sz w:val="44"/>
          <w:szCs w:val="44"/>
        </w:rPr>
      </w:pPr>
    </w:p>
    <w:p w14:paraId="4036EE9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0C0C0C"/>
          <w:sz w:val="44"/>
          <w:szCs w:val="44"/>
        </w:rPr>
      </w:pPr>
      <w:r>
        <w:rPr>
          <w:rFonts w:hint="eastAsia" w:ascii="Times New Roman" w:hAnsi="Times New Roman" w:eastAsia="方正小标宋简体" w:cs="方正小标宋简体"/>
          <w:color w:val="0C0C0C"/>
          <w:sz w:val="44"/>
          <w:szCs w:val="44"/>
        </w:rPr>
        <w:t>南宁市2024年第四季度服务业提速增长</w:t>
      </w:r>
    </w:p>
    <w:p w14:paraId="5E4160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0C0C0C"/>
          <w:sz w:val="44"/>
          <w:szCs w:val="44"/>
          <w:lang w:eastAsia="zh-CN"/>
        </w:rPr>
      </w:pPr>
      <w:r>
        <w:rPr>
          <w:rFonts w:hint="eastAsia" w:ascii="Times New Roman" w:hAnsi="Times New Roman" w:eastAsia="方正小标宋简体" w:cs="方正小标宋简体"/>
          <w:color w:val="0C0C0C"/>
          <w:sz w:val="44"/>
          <w:szCs w:val="44"/>
        </w:rPr>
        <w:t>若干措施</w:t>
      </w:r>
      <w:r>
        <w:rPr>
          <w:rFonts w:hint="eastAsia" w:ascii="Times New Roman" w:hAnsi="Times New Roman" w:eastAsia="方正小标宋简体" w:cs="方正小标宋简体"/>
          <w:color w:val="0C0C0C"/>
          <w:sz w:val="44"/>
          <w:szCs w:val="44"/>
          <w:lang w:eastAsia="zh-CN"/>
        </w:rPr>
        <w:t>起草说明</w:t>
      </w:r>
    </w:p>
    <w:p w14:paraId="7A3188F4">
      <w:pPr>
        <w:spacing w:line="560" w:lineRule="exact"/>
        <w:jc w:val="center"/>
        <w:rPr>
          <w:rFonts w:ascii="Times New Roman" w:hAnsi="Times New Roman" w:eastAsia="方正小标宋简体"/>
          <w:sz w:val="44"/>
          <w:szCs w:val="44"/>
        </w:rPr>
      </w:pPr>
    </w:p>
    <w:p w14:paraId="37D8BE16">
      <w:pPr>
        <w:ind w:firstLine="640"/>
        <w:rPr>
          <w:rFonts w:hint="eastAsia" w:ascii="Times New Roman" w:hAnsi="Times New Roman" w:eastAsia="仿宋_GB2312" w:cs="仿宋_GB2312"/>
          <w:color w:val="0C0C0C"/>
          <w:sz w:val="32"/>
          <w:szCs w:val="32"/>
        </w:rPr>
      </w:pPr>
      <w:r>
        <w:rPr>
          <w:rFonts w:hint="eastAsia" w:ascii="Times New Roman" w:hAnsi="Times New Roman" w:eastAsia="仿宋_GB2312" w:cs="Times New Roman"/>
          <w:snapToGrid w:val="0"/>
          <w:color w:val="auto"/>
          <w:kern w:val="0"/>
          <w:sz w:val="32"/>
          <w:szCs w:val="32"/>
          <w:highlight w:val="none"/>
          <w:lang w:val="en-US" w:eastAsia="zh-CN"/>
        </w:rPr>
        <w:t>为深入贯彻落实</w:t>
      </w:r>
      <w:r>
        <w:rPr>
          <w:rFonts w:hint="eastAsia" w:ascii="Times New Roman" w:hAnsi="Times New Roman" w:eastAsia="仿宋_GB2312" w:cs="仿宋_GB2312"/>
          <w:color w:val="0C0C0C"/>
          <w:sz w:val="32"/>
          <w:szCs w:val="32"/>
        </w:rPr>
        <w:t>自治区党委、政府关于推动服务业高质量发展的决策部署和《关于冲刺四季度全区服务业提速增长的若干措施》精神，</w:t>
      </w:r>
      <w:r>
        <w:rPr>
          <w:rFonts w:hint="eastAsia" w:ascii="Times New Roman" w:hAnsi="Times New Roman" w:eastAsia="仿宋_GB2312" w:cs="Times New Roman"/>
          <w:snapToGrid w:val="0"/>
          <w:color w:val="auto"/>
          <w:kern w:val="0"/>
          <w:sz w:val="32"/>
          <w:szCs w:val="32"/>
          <w:highlight w:val="none"/>
          <w:lang w:val="en-US" w:eastAsia="zh-CN"/>
        </w:rPr>
        <w:t>按照市委、市政府工作部署，</w:t>
      </w:r>
      <w:r>
        <w:rPr>
          <w:rFonts w:hint="eastAsia" w:ascii="Times New Roman" w:hAnsi="Times New Roman" w:eastAsia="仿宋_GB2312" w:cs="仿宋_GB2312"/>
          <w:color w:val="0C0C0C"/>
          <w:sz w:val="32"/>
          <w:szCs w:val="32"/>
        </w:rPr>
        <w:t>聚焦当前服务业稳增长薄弱环节，采取针对性政策措施，加快培育壮大新动能，促进服务业提速增长，</w:t>
      </w:r>
      <w:r>
        <w:rPr>
          <w:rFonts w:hint="eastAsia" w:ascii="Times New Roman" w:hAnsi="Times New Roman" w:eastAsia="仿宋_GB2312" w:cs="仿宋_GB2312"/>
          <w:color w:val="0C0C0C"/>
          <w:sz w:val="32"/>
          <w:szCs w:val="32"/>
          <w:lang w:val="en-US" w:eastAsia="zh-CN"/>
        </w:rPr>
        <w:t>我委起草了《南宁市2024年第四季度服务业提速增长若干措施（审议稿）》</w:t>
      </w:r>
      <w:r>
        <w:rPr>
          <w:rFonts w:hint="eastAsia" w:ascii="Times New Roman" w:hAnsi="Times New Roman" w:eastAsia="仿宋_GB2312" w:cs="仿宋_GB2312"/>
          <w:color w:val="0C0C0C"/>
          <w:sz w:val="32"/>
          <w:szCs w:val="32"/>
        </w:rPr>
        <w:t>。</w:t>
      </w:r>
      <w:r>
        <w:rPr>
          <w:rFonts w:ascii="Times New Roman" w:eastAsia="仿宋_GB2312"/>
          <w:sz w:val="32"/>
          <w:szCs w:val="32"/>
        </w:rPr>
        <w:t>有关情况说明如下：</w:t>
      </w:r>
    </w:p>
    <w:p w14:paraId="188E9B04">
      <w:pPr>
        <w:ind w:firstLine="640"/>
        <w:rPr>
          <w:rFonts w:hint="eastAsia" w:ascii="Times New Roman" w:eastAsia="仿宋_GB2312"/>
          <w:sz w:val="32"/>
          <w:szCs w:val="32"/>
          <w:lang w:eastAsia="zh-CN"/>
        </w:rPr>
      </w:pPr>
      <w:r>
        <w:rPr>
          <w:rFonts w:ascii="Times New Roman" w:eastAsia="黑体"/>
          <w:sz w:val="32"/>
          <w:szCs w:val="32"/>
        </w:rPr>
        <w:t>一、文件起草背景</w:t>
      </w:r>
    </w:p>
    <w:p w14:paraId="3E74880F">
      <w:pPr>
        <w:ind w:firstLine="640"/>
        <w:rPr>
          <w:rFonts w:hint="eastAsia" w:ascii="Times New Roman" w:eastAsia="仿宋_GB2312"/>
          <w:sz w:val="32"/>
          <w:szCs w:val="32"/>
          <w:u w:val="none"/>
          <w:lang w:val="en-US" w:eastAsia="zh-CN"/>
        </w:rPr>
      </w:pPr>
      <w:r>
        <w:rPr>
          <w:rFonts w:hint="eastAsia" w:ascii="Times New Roman" w:eastAsia="仿宋_GB2312"/>
          <w:sz w:val="32"/>
          <w:szCs w:val="32"/>
          <w:u w:val="none"/>
          <w:lang w:val="en-US" w:eastAsia="zh-CN"/>
        </w:rPr>
        <w:t>10月15日，自治区发改委会同5部门印发《关于冲刺四季度全区服务业提速增长的若干措施》，明确对全区批零住餐业及营利性服务业有重要拉动作用的设区市进行一次性切块激励，经与自治区发改委对接，拟安排南宁市3000万元专项用于支持四季度营利性服务业增长。</w:t>
      </w:r>
    </w:p>
    <w:p w14:paraId="5BED6937">
      <w:pPr>
        <w:ind w:firstLine="640"/>
        <w:rPr>
          <w:rFonts w:hint="eastAsia" w:ascii="Times New Roman" w:eastAsia="仿宋_GB2312"/>
          <w:sz w:val="32"/>
          <w:szCs w:val="32"/>
          <w:u w:val="none"/>
          <w:lang w:val="en-US" w:eastAsia="zh-CN"/>
        </w:rPr>
      </w:pPr>
      <w:r>
        <w:rPr>
          <w:rFonts w:hint="eastAsia" w:ascii="Times New Roman" w:eastAsia="仿宋_GB2312"/>
          <w:sz w:val="32"/>
          <w:szCs w:val="32"/>
          <w:u w:val="none"/>
          <w:lang w:val="en-US" w:eastAsia="zh-CN"/>
        </w:rPr>
        <w:t>前三季度</w:t>
      </w:r>
      <w:r>
        <w:rPr>
          <w:rFonts w:hint="default" w:ascii="Times New Roman" w:eastAsia="仿宋_GB2312"/>
          <w:sz w:val="32"/>
          <w:szCs w:val="32"/>
          <w:u w:val="none"/>
          <w:lang w:val="en-US" w:eastAsia="zh-CN"/>
        </w:rPr>
        <w:t>，</w:t>
      </w:r>
      <w:r>
        <w:rPr>
          <w:rFonts w:hint="eastAsia" w:ascii="Times New Roman" w:eastAsia="仿宋_GB2312"/>
          <w:sz w:val="32"/>
          <w:szCs w:val="32"/>
          <w:u w:val="none"/>
          <w:lang w:val="en-US" w:eastAsia="zh-CN"/>
        </w:rPr>
        <w:t>我市</w:t>
      </w:r>
      <w:r>
        <w:rPr>
          <w:rFonts w:hint="default" w:ascii="Times New Roman" w:eastAsia="仿宋_GB2312"/>
          <w:sz w:val="32"/>
          <w:szCs w:val="32"/>
          <w:u w:val="none"/>
          <w:lang w:val="en-US" w:eastAsia="zh-CN"/>
        </w:rPr>
        <w:t>三产增加值</w:t>
      </w:r>
      <w:r>
        <w:rPr>
          <w:rFonts w:hint="eastAsia" w:ascii="Times New Roman" w:eastAsia="仿宋_GB2312"/>
          <w:sz w:val="32"/>
          <w:szCs w:val="32"/>
          <w:u w:val="none"/>
          <w:lang w:val="en-US" w:eastAsia="zh-CN"/>
        </w:rPr>
        <w:t>总量2920.07亿元，</w:t>
      </w:r>
      <w:r>
        <w:rPr>
          <w:rFonts w:hint="default" w:ascii="Times New Roman" w:eastAsia="仿宋_GB2312"/>
          <w:sz w:val="32"/>
          <w:szCs w:val="32"/>
          <w:u w:val="none"/>
          <w:lang w:val="en-US" w:eastAsia="zh-CN"/>
        </w:rPr>
        <w:t>同比增长2.2%，</w:t>
      </w:r>
      <w:r>
        <w:rPr>
          <w:rFonts w:hint="default" w:ascii="Times New Roman" w:eastAsia="仿宋_GB2312"/>
          <w:sz w:val="32"/>
          <w:szCs w:val="32"/>
          <w:u w:val="none"/>
          <w:lang w:val="en" w:eastAsia="zh-CN"/>
        </w:rPr>
        <w:t>低于目标增速（</w:t>
      </w:r>
      <w:r>
        <w:rPr>
          <w:rFonts w:hint="default" w:ascii="Times New Roman" w:eastAsia="仿宋_GB2312"/>
          <w:sz w:val="32"/>
          <w:szCs w:val="32"/>
          <w:u w:val="none"/>
          <w:lang w:val="en-US" w:eastAsia="zh-CN"/>
        </w:rPr>
        <w:t>5.2%</w:t>
      </w:r>
      <w:r>
        <w:rPr>
          <w:rFonts w:hint="default" w:ascii="Times New Roman" w:eastAsia="仿宋_GB2312"/>
          <w:sz w:val="32"/>
          <w:szCs w:val="32"/>
          <w:u w:val="none"/>
          <w:lang w:val="en" w:eastAsia="zh-CN"/>
        </w:rPr>
        <w:t>）</w:t>
      </w:r>
      <w:r>
        <w:rPr>
          <w:rFonts w:hint="default" w:ascii="Times New Roman" w:eastAsia="仿宋_GB2312"/>
          <w:sz w:val="32"/>
          <w:szCs w:val="32"/>
          <w:u w:val="none"/>
          <w:lang w:val="en-US" w:eastAsia="zh-CN"/>
        </w:rPr>
        <w:t>3个百分点</w:t>
      </w:r>
      <w:r>
        <w:rPr>
          <w:rFonts w:hint="eastAsia" w:ascii="Times New Roman" w:eastAsia="仿宋_GB2312"/>
          <w:sz w:val="32"/>
          <w:szCs w:val="32"/>
          <w:u w:val="none"/>
          <w:lang w:val="en-US" w:eastAsia="zh-CN"/>
        </w:rPr>
        <w:t>，</w:t>
      </w:r>
      <w:r>
        <w:rPr>
          <w:rFonts w:hint="default" w:ascii="Times New Roman" w:eastAsia="仿宋_GB2312"/>
          <w:sz w:val="32"/>
          <w:szCs w:val="32"/>
          <w:u w:val="none"/>
          <w:lang w:val="en-US" w:eastAsia="zh-CN"/>
        </w:rPr>
        <w:t>比全国低2.5个百分点、比全区低0.6个百分点，较上半年（2.6%）下降0.4个百分点</w:t>
      </w:r>
      <w:r>
        <w:rPr>
          <w:rFonts w:hint="eastAsia" w:ascii="Times New Roman" w:eastAsia="仿宋_GB2312"/>
          <w:sz w:val="32"/>
          <w:szCs w:val="32"/>
          <w:u w:val="none"/>
          <w:lang w:val="en-US" w:eastAsia="zh-CN"/>
        </w:rPr>
        <w:t>。四季度服务业</w:t>
      </w:r>
      <w:r>
        <w:rPr>
          <w:rFonts w:hint="default" w:ascii="Times New Roman" w:eastAsia="仿宋_GB2312"/>
          <w:sz w:val="32"/>
          <w:szCs w:val="32"/>
          <w:u w:val="none"/>
          <w:lang w:val="en-US" w:eastAsia="zh-CN"/>
        </w:rPr>
        <w:t>持续提速增长压力显著增</w:t>
      </w:r>
      <w:r>
        <w:rPr>
          <w:rFonts w:hint="eastAsia" w:ascii="Times New Roman" w:eastAsia="仿宋_GB2312"/>
          <w:sz w:val="32"/>
          <w:szCs w:val="32"/>
          <w:u w:val="none"/>
          <w:lang w:val="en-US" w:eastAsia="zh-CN"/>
        </w:rPr>
        <w:t>大，距年初制定的全年目标（4.8%）有较大差距。</w:t>
      </w:r>
    </w:p>
    <w:p w14:paraId="7DA50751">
      <w:pPr>
        <w:ind w:firstLine="640"/>
        <w:rPr>
          <w:rFonts w:ascii="Times New Roman" w:hAnsi="Times New Roman" w:eastAsia="仿宋_GB2312"/>
          <w:sz w:val="32"/>
          <w:szCs w:val="32"/>
        </w:rPr>
      </w:pPr>
      <w:r>
        <w:rPr>
          <w:rFonts w:ascii="Times New Roman" w:eastAsia="黑体"/>
          <w:sz w:val="32"/>
          <w:szCs w:val="32"/>
        </w:rPr>
        <w:t>二、文件编制过程</w:t>
      </w:r>
    </w:p>
    <w:p w14:paraId="5DACB87B">
      <w:pPr>
        <w:ind w:firstLine="640"/>
        <w:rPr>
          <w:rFonts w:hint="default" w:ascii="Times New Roman" w:eastAsia="仿宋_GB2312"/>
          <w:sz w:val="32"/>
          <w:szCs w:val="32"/>
          <w:lang w:val="en-US" w:eastAsia="zh-CN"/>
        </w:rPr>
      </w:pPr>
      <w:r>
        <w:rPr>
          <w:rFonts w:hint="eastAsia" w:ascii="Times New Roman" w:eastAsia="仿宋_GB2312"/>
          <w:sz w:val="32"/>
          <w:szCs w:val="32"/>
          <w:lang w:val="en-US" w:eastAsia="zh-CN"/>
        </w:rPr>
        <w:t>2024年9月25日，自治区发改委来文征求《关于冲刺四季度全区服务业提速增长的若干措施（征求意见稿）》修改意见，为强化对服务业重点行业、重点企业的正向激励，争取一次性切块资金向南宁倾斜，我委立即组织起草</w:t>
      </w:r>
      <w:r>
        <w:rPr>
          <w:rFonts w:hint="eastAsia" w:ascii="Times New Roman" w:hAnsi="Times New Roman" w:eastAsia="仿宋_GB2312" w:cs="仿宋_GB2312"/>
          <w:color w:val="0C0C0C"/>
          <w:sz w:val="32"/>
          <w:szCs w:val="32"/>
          <w:lang w:val="en-US" w:eastAsia="zh-CN"/>
        </w:rPr>
        <w:t>南宁市对应措施</w:t>
      </w:r>
      <w:r>
        <w:rPr>
          <w:rFonts w:hint="eastAsia" w:ascii="Times New Roman" w:eastAsia="仿宋_GB2312"/>
          <w:sz w:val="32"/>
          <w:szCs w:val="32"/>
          <w:lang w:val="en-US" w:eastAsia="zh-CN"/>
        </w:rPr>
        <w:t>。10月15日，我委召集市委金融办、市财政局、商务局、文广旅局、体育局等单位召开四季度服务业提速增长若干措施讨论会，并请各部门在会后提供细化的措施条款及资金测算情况。10月16日，我委形成</w:t>
      </w:r>
      <w:r>
        <w:rPr>
          <w:rFonts w:hint="eastAsia" w:ascii="Times New Roman" w:hAnsi="Times New Roman" w:eastAsia="仿宋_GB2312" w:cs="仿宋_GB2312"/>
          <w:color w:val="0C0C0C"/>
          <w:sz w:val="32"/>
          <w:szCs w:val="32"/>
          <w:lang w:val="en-US" w:eastAsia="zh-CN"/>
        </w:rPr>
        <w:t>《南宁市2024年第四季度服务业提速增长若干措施（征求意见稿）》</w:t>
      </w:r>
      <w:r>
        <w:rPr>
          <w:rFonts w:hint="eastAsia" w:ascii="Times New Roman" w:eastAsia="仿宋_GB2312"/>
          <w:sz w:val="32"/>
          <w:szCs w:val="32"/>
          <w:lang w:val="en-US" w:eastAsia="zh-CN"/>
        </w:rPr>
        <w:t>书面征求各相关部门意见，根据部门意见，经委主要领导、分管领导与相关科室再次研究修改，形成</w:t>
      </w:r>
      <w:r>
        <w:rPr>
          <w:rFonts w:hint="eastAsia" w:ascii="Times New Roman" w:hAnsi="Times New Roman" w:eastAsia="仿宋_GB2312" w:cs="仿宋_GB2312"/>
          <w:color w:val="0C0C0C"/>
          <w:sz w:val="32"/>
          <w:szCs w:val="32"/>
          <w:lang w:val="en-US" w:eastAsia="zh-CN"/>
        </w:rPr>
        <w:t>《南宁市2024年第四季度服务业提速增长若干措施（审议稿）》。</w:t>
      </w:r>
    </w:p>
    <w:p w14:paraId="4A7B233C">
      <w:pPr>
        <w:ind w:firstLine="640"/>
        <w:rPr>
          <w:rFonts w:ascii="Times New Roman" w:hAnsi="Times New Roman" w:eastAsia="仿宋_GB2312"/>
          <w:sz w:val="32"/>
          <w:szCs w:val="32"/>
        </w:rPr>
      </w:pPr>
      <w:r>
        <w:rPr>
          <w:rFonts w:ascii="Times New Roman" w:eastAsia="黑体"/>
          <w:sz w:val="32"/>
          <w:szCs w:val="32"/>
        </w:rPr>
        <w:t>三、文件主要内容</w:t>
      </w:r>
    </w:p>
    <w:p w14:paraId="13BF42C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color w:val="0C0C0C"/>
          <w:sz w:val="32"/>
          <w:szCs w:val="32"/>
          <w:lang w:val="en-US" w:eastAsia="zh-CN"/>
        </w:rPr>
      </w:pPr>
      <w:r>
        <w:rPr>
          <w:rFonts w:hint="eastAsia" w:ascii="Times New Roman" w:hAnsi="Times New Roman" w:eastAsia="仿宋_GB2312" w:cs="仿宋_GB2312"/>
          <w:color w:val="0C0C0C"/>
          <w:sz w:val="32"/>
          <w:szCs w:val="32"/>
          <w:lang w:val="en-US" w:eastAsia="zh-CN"/>
        </w:rPr>
        <w:t>文件分为</w:t>
      </w:r>
      <w:r>
        <w:rPr>
          <w:rFonts w:hint="default" w:ascii="Times New Roman" w:hAnsi="Times New Roman" w:eastAsia="仿宋_GB2312" w:cs="仿宋_GB2312"/>
          <w:color w:val="0C0C0C"/>
          <w:sz w:val="32"/>
          <w:szCs w:val="32"/>
          <w:lang w:val="en-US" w:eastAsia="zh-CN"/>
        </w:rPr>
        <w:t>支持重点企业提速增长</w:t>
      </w:r>
      <w:r>
        <w:rPr>
          <w:rFonts w:hint="eastAsia" w:ascii="Times New Roman" w:hAnsi="Times New Roman" w:eastAsia="仿宋_GB2312" w:cs="仿宋_GB2312"/>
          <w:color w:val="0C0C0C"/>
          <w:sz w:val="32"/>
          <w:szCs w:val="32"/>
          <w:lang w:val="en-US" w:eastAsia="zh-CN"/>
        </w:rPr>
        <w:t>、</w:t>
      </w:r>
      <w:r>
        <w:rPr>
          <w:rFonts w:hint="default" w:ascii="Times New Roman" w:hAnsi="Times New Roman" w:eastAsia="仿宋_GB2312" w:cs="仿宋_GB2312"/>
          <w:color w:val="0C0C0C"/>
          <w:sz w:val="32"/>
          <w:szCs w:val="32"/>
          <w:lang w:val="en-US" w:eastAsia="zh-CN"/>
        </w:rPr>
        <w:t>促进重点行业发展</w:t>
      </w:r>
      <w:r>
        <w:rPr>
          <w:rFonts w:hint="eastAsia" w:ascii="Times New Roman" w:hAnsi="Times New Roman" w:eastAsia="仿宋_GB2312" w:cs="仿宋_GB2312"/>
          <w:color w:val="0C0C0C"/>
          <w:sz w:val="32"/>
          <w:szCs w:val="32"/>
          <w:lang w:val="en-US" w:eastAsia="zh-CN"/>
        </w:rPr>
        <w:t>、</w:t>
      </w:r>
      <w:r>
        <w:rPr>
          <w:rFonts w:hint="default" w:ascii="Times New Roman" w:hAnsi="Times New Roman" w:eastAsia="仿宋_GB2312" w:cs="仿宋_GB2312"/>
          <w:color w:val="0C0C0C"/>
          <w:sz w:val="32"/>
          <w:szCs w:val="32"/>
          <w:lang w:val="en-US" w:eastAsia="zh-CN"/>
        </w:rPr>
        <w:t>挖掘消费潜能</w:t>
      </w:r>
      <w:r>
        <w:rPr>
          <w:rFonts w:hint="eastAsia" w:ascii="Times New Roman" w:hAnsi="Times New Roman" w:eastAsia="仿宋_GB2312" w:cs="仿宋_GB2312"/>
          <w:color w:val="0C0C0C"/>
          <w:sz w:val="32"/>
          <w:szCs w:val="32"/>
          <w:lang w:val="en-US" w:eastAsia="zh-CN"/>
        </w:rPr>
        <w:t>三个板块，提出四季度支持服务业发展的10条措施，分别是：支持营利性服务业发展、支持商贸业重点企业发展、多式联运发展补助、保险业提升奖励、全面开展四类消费品以旧换新、提振商超百货零售消费、开展餐饮住宿促销活动、开展景区促消费活动、开展演艺促消费活动、加力扶持入境旅游。</w:t>
      </w:r>
    </w:p>
    <w:p w14:paraId="15A04A28">
      <w:pPr>
        <w:ind w:firstLine="640"/>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2EA9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7EFBD9">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57EFBD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lZjM3OThkNDI1YWVmY2YyN2I4MjQyMjI2ODYxOGUifQ=="/>
  </w:docVars>
  <w:rsids>
    <w:rsidRoot w:val="00000000"/>
    <w:rsid w:val="06EA1C89"/>
    <w:rsid w:val="0D32002F"/>
    <w:rsid w:val="18577359"/>
    <w:rsid w:val="21F7321C"/>
    <w:rsid w:val="25431604"/>
    <w:rsid w:val="29813F14"/>
    <w:rsid w:val="2DA046DA"/>
    <w:rsid w:val="44C63AF1"/>
    <w:rsid w:val="4B2A0AAA"/>
    <w:rsid w:val="4E3C4AC6"/>
    <w:rsid w:val="50533541"/>
    <w:rsid w:val="56F73FDE"/>
    <w:rsid w:val="6133353E"/>
    <w:rsid w:val="6BE50451"/>
    <w:rsid w:val="6E146DCC"/>
    <w:rsid w:val="79941E55"/>
    <w:rsid w:val="7DC25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1001</Words>
  <Characters>1059</Characters>
  <Lines>0</Lines>
  <Paragraphs>0</Paragraphs>
  <TotalTime>0</TotalTime>
  <ScaleCrop>false</ScaleCrop>
  <LinksUpToDate>false</LinksUpToDate>
  <CharactersWithSpaces>1059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2021-07-30T07:24:00Z</dcterms:created>
  <dc:creator>lenovo</dc:creator>
  <cp:lastModifiedBy>scan</cp:lastModifiedBy>
  <dcterms:modified xsi:type="dcterms:W3CDTF">2024-10-28T02:11:05Z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DF90D7C64AC84888A11699F8DA50B47B</vt:lpwstr>
  </property>
</Properties>
</file>