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楷体简体" w:hAnsi="方正楷体简体" w:eastAsia="方正楷体简体" w:cs="方正楷体简体"/>
          <w:color w:val="000000"/>
          <w:sz w:val="44"/>
          <w:szCs w:val="44"/>
          <w:highlight w:val="none"/>
          <w:lang w:val="en-US" w:eastAsia="zh-CN"/>
        </w:rPr>
      </w:pPr>
      <w:r>
        <w:rPr>
          <w:rFonts w:hint="eastAsia" w:ascii="方正小标宋简体" w:hAnsi="方正小标宋简体" w:eastAsia="方正小标宋简体" w:cs="方正小标宋简体"/>
          <w:color w:val="000000"/>
          <w:sz w:val="44"/>
          <w:szCs w:val="44"/>
          <w:highlight w:val="none"/>
          <w:lang w:val="en-US" w:eastAsia="zh-CN"/>
        </w:rPr>
        <w:t>云南孟连边境经济合作区管理制度</w:t>
      </w:r>
    </w:p>
    <w:p>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default" w:ascii="Times New Roman" w:hAnsi="Times New Roman" w:eastAsia="仿宋_GB2312" w:cs="Times New Roman"/>
          <w:color w:val="000000"/>
          <w:kern w:val="2"/>
          <w:sz w:val="32"/>
          <w:szCs w:val="32"/>
          <w:highlight w:val="none"/>
          <w:lang w:val="en-US" w:eastAsia="zh-CN" w:bidi="ar-SA"/>
        </w:rPr>
      </w:pPr>
      <w:r>
        <w:rPr>
          <w:rFonts w:hint="eastAsia" w:ascii="楷体_GB2312" w:hAnsi="楷体_GB2312" w:eastAsia="楷体_GB2312" w:cs="楷体_GB2312"/>
          <w:color w:val="auto"/>
          <w:sz w:val="32"/>
          <w:szCs w:val="32"/>
          <w:highlight w:val="none"/>
          <w:lang w:val="en-US" w:eastAsia="zh-CN"/>
        </w:rPr>
        <w:t>（征求意见稿）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黑体" w:hAnsi="黑体" w:eastAsia="黑体" w:cs="黑体"/>
          <w:color w:val="000000"/>
          <w:kern w:val="2"/>
          <w:sz w:val="32"/>
          <w:szCs w:val="32"/>
          <w:highlight w:val="none"/>
          <w:lang w:val="en-US" w:eastAsia="zh-CN" w:bidi="ar-SA"/>
        </w:rPr>
      </w:pPr>
      <w:r>
        <w:rPr>
          <w:rFonts w:hint="eastAsia" w:ascii="黑体" w:hAnsi="黑体" w:eastAsia="黑体" w:cs="黑体"/>
          <w:color w:val="000000"/>
          <w:kern w:val="2"/>
          <w:sz w:val="32"/>
          <w:szCs w:val="32"/>
          <w:highlight w:val="none"/>
          <w:lang w:val="en-US" w:eastAsia="zh-CN" w:bidi="ar-SA"/>
        </w:rPr>
        <w:t>第一章  总则</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s="Times New Roman"/>
          <w:color w:val="000000"/>
          <w:kern w:val="2"/>
          <w:sz w:val="32"/>
          <w:szCs w:val="32"/>
          <w:highlight w:val="none"/>
          <w:lang w:val="en-US" w:eastAsia="zh-CN" w:bidi="ar-SA"/>
        </w:rPr>
      </w:pPr>
      <w:r>
        <w:rPr>
          <w:rFonts w:hint="default" w:ascii="Times New Roman" w:hAnsi="Times New Roman" w:eastAsia="仿宋_GB2312" w:cs="Times New Roman"/>
          <w:b/>
          <w:bCs/>
          <w:color w:val="000000"/>
          <w:kern w:val="2"/>
          <w:sz w:val="32"/>
          <w:szCs w:val="32"/>
          <w:highlight w:val="none"/>
          <w:lang w:val="en-US" w:eastAsia="zh-CN" w:bidi="ar-SA"/>
        </w:rPr>
        <w:t>第一条</w:t>
      </w:r>
      <w:r>
        <w:rPr>
          <w:rFonts w:hint="default" w:ascii="Times New Roman" w:hAnsi="Times New Roman" w:eastAsia="仿宋_GB2312" w:cs="Times New Roman"/>
          <w:color w:val="000000"/>
          <w:kern w:val="2"/>
          <w:sz w:val="32"/>
          <w:szCs w:val="32"/>
          <w:highlight w:val="none"/>
          <w:lang w:val="en-US" w:eastAsia="zh-CN" w:bidi="ar-SA"/>
        </w:rPr>
        <w:t xml:space="preserve"> </w:t>
      </w:r>
      <w:r>
        <w:rPr>
          <w:rFonts w:hint="eastAsia" w:ascii="Times New Roman" w:hAnsi="Times New Roman" w:eastAsia="仿宋_GB2312" w:cs="Times New Roman"/>
          <w:color w:val="000000"/>
          <w:kern w:val="2"/>
          <w:sz w:val="32"/>
          <w:szCs w:val="32"/>
          <w:highlight w:val="none"/>
          <w:lang w:val="en-US" w:eastAsia="zh-CN" w:bidi="ar-SA"/>
        </w:rPr>
        <w:t>为</w:t>
      </w:r>
      <w:r>
        <w:rPr>
          <w:rFonts w:hint="default" w:ascii="Times New Roman" w:hAnsi="Times New Roman" w:eastAsia="仿宋_GB2312" w:cs="Times New Roman"/>
          <w:color w:val="000000"/>
          <w:kern w:val="2"/>
          <w:sz w:val="32"/>
          <w:szCs w:val="32"/>
          <w:highlight w:val="none"/>
          <w:lang w:val="en-US" w:eastAsia="zh-CN" w:bidi="ar-SA"/>
        </w:rPr>
        <w:t>规范云南孟连边境经济合作区（以下简称“边合区”）企业</w:t>
      </w:r>
      <w:r>
        <w:rPr>
          <w:rFonts w:hint="eastAsia" w:ascii="Times New Roman" w:hAnsi="Times New Roman" w:eastAsia="仿宋_GB2312" w:cs="Times New Roman"/>
          <w:color w:val="000000"/>
          <w:kern w:val="2"/>
          <w:sz w:val="32"/>
          <w:szCs w:val="32"/>
          <w:highlight w:val="none"/>
          <w:lang w:val="en-US" w:eastAsia="zh-CN" w:bidi="ar-SA"/>
        </w:rPr>
        <w:t>、项目</w:t>
      </w:r>
      <w:r>
        <w:rPr>
          <w:rFonts w:hint="default" w:ascii="Times New Roman" w:hAnsi="Times New Roman" w:eastAsia="仿宋_GB2312" w:cs="Times New Roman"/>
          <w:color w:val="000000"/>
          <w:kern w:val="2"/>
          <w:sz w:val="32"/>
          <w:szCs w:val="32"/>
          <w:highlight w:val="none"/>
          <w:lang w:val="en-US" w:eastAsia="zh-CN" w:bidi="ar-SA"/>
        </w:rPr>
        <w:t>入园与退出管理，建立健全</w:t>
      </w:r>
      <w:r>
        <w:rPr>
          <w:rFonts w:hint="eastAsia" w:ascii="Times New Roman" w:hAnsi="Times New Roman" w:eastAsia="仿宋_GB2312" w:cs="Times New Roman"/>
          <w:color w:val="000000"/>
          <w:kern w:val="2"/>
          <w:sz w:val="32"/>
          <w:szCs w:val="32"/>
          <w:highlight w:val="none"/>
          <w:lang w:val="en-US" w:eastAsia="zh-CN" w:bidi="ar-SA"/>
        </w:rPr>
        <w:t>项目、企业</w:t>
      </w:r>
      <w:r>
        <w:rPr>
          <w:rFonts w:hint="default" w:ascii="Times New Roman" w:hAnsi="Times New Roman" w:eastAsia="仿宋_GB2312" w:cs="Times New Roman"/>
          <w:color w:val="000000"/>
          <w:kern w:val="2"/>
          <w:sz w:val="32"/>
          <w:szCs w:val="32"/>
          <w:highlight w:val="none"/>
          <w:lang w:val="en-US" w:eastAsia="zh-CN" w:bidi="ar-SA"/>
        </w:rPr>
        <w:t>全生命周期监管服务体系，</w:t>
      </w:r>
      <w:r>
        <w:rPr>
          <w:rFonts w:hint="eastAsia" w:ascii="Times New Roman" w:hAnsi="Times New Roman" w:eastAsia="仿宋_GB2312" w:cs="Times New Roman"/>
          <w:color w:val="000000"/>
          <w:kern w:val="2"/>
          <w:sz w:val="32"/>
          <w:szCs w:val="32"/>
          <w:highlight w:val="none"/>
          <w:lang w:val="en-US" w:eastAsia="zh-CN" w:bidi="ar-SA"/>
        </w:rPr>
        <w:t>加强边合区人才培养，</w:t>
      </w:r>
      <w:r>
        <w:rPr>
          <w:rFonts w:hint="default" w:ascii="Times New Roman" w:hAnsi="Times New Roman" w:eastAsia="仿宋_GB2312" w:cs="Times New Roman"/>
          <w:color w:val="000000"/>
          <w:kern w:val="2"/>
          <w:sz w:val="32"/>
          <w:szCs w:val="32"/>
          <w:highlight w:val="none"/>
          <w:lang w:val="en-US" w:eastAsia="zh-CN" w:bidi="ar-SA"/>
        </w:rPr>
        <w:t>促进</w:t>
      </w:r>
      <w:r>
        <w:rPr>
          <w:rFonts w:hint="eastAsia" w:ascii="Times New Roman" w:hAnsi="Times New Roman" w:eastAsia="仿宋_GB2312" w:cs="Times New Roman"/>
          <w:color w:val="000000"/>
          <w:kern w:val="2"/>
          <w:sz w:val="32"/>
          <w:szCs w:val="32"/>
          <w:highlight w:val="none"/>
          <w:lang w:val="en-US" w:eastAsia="zh-CN" w:bidi="ar-SA"/>
        </w:rPr>
        <w:t>园区</w:t>
      </w:r>
      <w:r>
        <w:rPr>
          <w:rFonts w:hint="default" w:ascii="Times New Roman" w:hAnsi="Times New Roman" w:eastAsia="仿宋_GB2312" w:cs="Times New Roman"/>
          <w:color w:val="000000"/>
          <w:kern w:val="2"/>
          <w:sz w:val="32"/>
          <w:szCs w:val="32"/>
          <w:highlight w:val="none"/>
          <w:lang w:val="en-US" w:eastAsia="zh-CN" w:bidi="ar-SA"/>
        </w:rPr>
        <w:t>高质量发展，根据《云南省开发区管理办法（修订）》有关规定，结合边合区实际，制定本</w:t>
      </w:r>
      <w:r>
        <w:rPr>
          <w:rFonts w:hint="eastAsia" w:ascii="Times New Roman" w:hAnsi="Times New Roman" w:eastAsia="仿宋_GB2312" w:cs="Times New Roman"/>
          <w:color w:val="000000"/>
          <w:kern w:val="2"/>
          <w:sz w:val="32"/>
          <w:szCs w:val="32"/>
          <w:highlight w:val="none"/>
          <w:lang w:val="en-US" w:eastAsia="zh-CN" w:bidi="ar-SA"/>
        </w:rPr>
        <w:t>制度</w:t>
      </w:r>
      <w:r>
        <w:rPr>
          <w:rFonts w:hint="default" w:ascii="Times New Roman" w:hAnsi="Times New Roman" w:eastAsia="仿宋_GB2312" w:cs="Times New Roman"/>
          <w:color w:val="000000"/>
          <w:kern w:val="2"/>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s="Times New Roman"/>
          <w:color w:val="000000"/>
          <w:kern w:val="2"/>
          <w:sz w:val="32"/>
          <w:szCs w:val="32"/>
          <w:highlight w:val="none"/>
          <w:lang w:val="en-US" w:eastAsia="zh-CN" w:bidi="ar-SA"/>
        </w:rPr>
      </w:pPr>
      <w:r>
        <w:rPr>
          <w:rFonts w:hint="default" w:ascii="Times New Roman" w:hAnsi="Times New Roman" w:eastAsia="仿宋_GB2312" w:cs="Times New Roman"/>
          <w:b/>
          <w:bCs/>
          <w:color w:val="000000"/>
          <w:kern w:val="2"/>
          <w:sz w:val="32"/>
          <w:szCs w:val="32"/>
          <w:highlight w:val="none"/>
          <w:lang w:val="en-US" w:eastAsia="zh-CN" w:bidi="ar-SA"/>
        </w:rPr>
        <w:t>第二条</w:t>
      </w:r>
      <w:r>
        <w:rPr>
          <w:rFonts w:hint="default" w:ascii="Times New Roman" w:hAnsi="Times New Roman" w:eastAsia="仿宋_GB2312" w:cs="Times New Roman"/>
          <w:color w:val="000000"/>
          <w:kern w:val="2"/>
          <w:sz w:val="32"/>
          <w:szCs w:val="32"/>
          <w:highlight w:val="none"/>
          <w:lang w:val="en-US" w:eastAsia="zh-CN" w:bidi="ar-SA"/>
        </w:rPr>
        <w:t xml:space="preserve"> 云南孟连边境经济合作区管理委员会（以下简称“边合区管委会”）是边合区的日常管理与服务机构，负责本</w:t>
      </w:r>
      <w:r>
        <w:rPr>
          <w:rFonts w:hint="eastAsia" w:ascii="Times New Roman" w:hAnsi="Times New Roman" w:eastAsia="仿宋_GB2312" w:cs="Times New Roman"/>
          <w:color w:val="000000"/>
          <w:kern w:val="2"/>
          <w:sz w:val="32"/>
          <w:szCs w:val="32"/>
          <w:highlight w:val="none"/>
          <w:lang w:val="en-US" w:eastAsia="zh-CN" w:bidi="ar-SA"/>
        </w:rPr>
        <w:t>制度</w:t>
      </w:r>
      <w:r>
        <w:rPr>
          <w:rFonts w:hint="default" w:ascii="Times New Roman" w:hAnsi="Times New Roman" w:eastAsia="仿宋_GB2312" w:cs="Times New Roman"/>
          <w:color w:val="000000"/>
          <w:kern w:val="2"/>
          <w:sz w:val="32"/>
          <w:szCs w:val="32"/>
          <w:highlight w:val="none"/>
          <w:lang w:val="en-US" w:eastAsia="zh-CN" w:bidi="ar-SA"/>
        </w:rPr>
        <w:t>的组织实施。</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s="Times New Roman"/>
          <w:color w:val="000000"/>
          <w:kern w:val="2"/>
          <w:sz w:val="32"/>
          <w:szCs w:val="32"/>
          <w:highlight w:val="none"/>
          <w:lang w:val="en-US" w:eastAsia="zh-CN" w:bidi="ar-SA"/>
        </w:rPr>
      </w:pPr>
      <w:r>
        <w:rPr>
          <w:rFonts w:hint="default" w:ascii="Times New Roman" w:hAnsi="Times New Roman" w:eastAsia="仿宋_GB2312" w:cs="Times New Roman"/>
          <w:b/>
          <w:bCs/>
          <w:color w:val="000000"/>
          <w:kern w:val="2"/>
          <w:sz w:val="32"/>
          <w:szCs w:val="32"/>
          <w:highlight w:val="none"/>
          <w:lang w:val="en-US" w:eastAsia="zh-CN" w:bidi="ar-SA"/>
        </w:rPr>
        <w:t>第三条</w:t>
      </w:r>
      <w:r>
        <w:rPr>
          <w:rFonts w:hint="eastAsia" w:ascii="Times New Roman" w:hAnsi="Times New Roman" w:eastAsia="仿宋_GB2312" w:cs="Times New Roman"/>
          <w:color w:val="000000"/>
          <w:kern w:val="2"/>
          <w:sz w:val="32"/>
          <w:szCs w:val="32"/>
          <w:highlight w:val="none"/>
          <w:lang w:val="en-US" w:eastAsia="zh-CN" w:bidi="ar-SA"/>
        </w:rPr>
        <w:t xml:space="preserve"> 本制度针对边合区入园项目、入园企业及退出、人才等方面的管理。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黑体" w:hAnsi="黑体" w:eastAsia="黑体" w:cs="黑体"/>
          <w:color w:val="000000"/>
          <w:kern w:val="2"/>
          <w:sz w:val="32"/>
          <w:szCs w:val="32"/>
          <w:highlight w:val="none"/>
          <w:lang w:val="en-US" w:eastAsia="zh-CN" w:bidi="ar-SA"/>
        </w:rPr>
      </w:pPr>
      <w:r>
        <w:rPr>
          <w:rFonts w:hint="eastAsia" w:ascii="黑体" w:hAnsi="黑体" w:eastAsia="黑体" w:cs="黑体"/>
          <w:color w:val="000000"/>
          <w:kern w:val="2"/>
          <w:sz w:val="32"/>
          <w:szCs w:val="32"/>
          <w:highlight w:val="none"/>
          <w:lang w:val="en-US" w:eastAsia="zh-CN" w:bidi="ar-SA"/>
        </w:rPr>
        <w:t>第二章 入园项目管理</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s="Times New Roman"/>
          <w:b/>
          <w:bCs/>
          <w:color w:val="000000"/>
          <w:kern w:val="2"/>
          <w:sz w:val="32"/>
          <w:szCs w:val="32"/>
          <w:highlight w:val="none"/>
          <w:lang w:val="en-US" w:eastAsia="zh-CN" w:bidi="ar-SA"/>
        </w:rPr>
      </w:pPr>
      <w:r>
        <w:rPr>
          <w:rFonts w:hint="eastAsia" w:ascii="Times New Roman" w:hAnsi="Times New Roman" w:eastAsia="仿宋_GB2312"/>
          <w:b/>
          <w:bCs/>
          <w:color w:val="000000"/>
          <w:sz w:val="32"/>
          <w:szCs w:val="32"/>
          <w:highlight w:val="none"/>
          <w:lang w:val="en-US" w:eastAsia="zh-CN"/>
        </w:rPr>
        <w:t>第四条</w:t>
      </w:r>
      <w:r>
        <w:rPr>
          <w:rFonts w:hint="default" w:ascii="Times New Roman" w:hAnsi="Times New Roman" w:eastAsia="仿宋_GB2312" w:cs="Times New Roman"/>
          <w:color w:val="000000"/>
          <w:kern w:val="2"/>
          <w:sz w:val="32"/>
          <w:szCs w:val="32"/>
          <w:highlight w:val="none"/>
          <w:lang w:val="en-US" w:eastAsia="zh-CN" w:bidi="ar-SA"/>
        </w:rPr>
        <w:t xml:space="preserve"> </w:t>
      </w:r>
      <w:r>
        <w:rPr>
          <w:rFonts w:hint="eastAsia" w:ascii="Times New Roman" w:hAnsi="Times New Roman" w:eastAsia="仿宋_GB2312"/>
          <w:b w:val="0"/>
          <w:bCs w:val="0"/>
          <w:color w:val="000000"/>
          <w:sz w:val="32"/>
          <w:szCs w:val="32"/>
          <w:highlight w:val="none"/>
          <w:lang w:val="en-US" w:eastAsia="zh-CN"/>
        </w:rPr>
        <w:t>入园项目应符合以下条件：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（一）符合</w:t>
      </w:r>
      <w:r>
        <w:rPr>
          <w:rFonts w:hint="default" w:ascii="Times New Roman" w:hAnsi="Times New Roman" w:eastAsia="仿宋_GB2312"/>
          <w:color w:val="000000"/>
          <w:sz w:val="32"/>
          <w:szCs w:val="32"/>
          <w:highlight w:val="none"/>
          <w:lang w:val="en-US" w:eastAsia="zh-CN"/>
        </w:rPr>
        <w:t>国家产业结构调整指导目录</w:t>
      </w:r>
      <w:r>
        <w:rPr>
          <w:rFonts w:hint="eastAsia" w:ascii="Times New Roman" w:hAnsi="Times New Roman" w:eastAsia="仿宋_GB2312"/>
          <w:color w:val="000000"/>
          <w:sz w:val="32"/>
          <w:szCs w:val="32"/>
          <w:highlight w:val="none"/>
          <w:lang w:val="en-US" w:eastAsia="zh-CN"/>
        </w:rPr>
        <w:t>和省、市、县</w:t>
      </w:r>
      <w:r>
        <w:rPr>
          <w:rFonts w:hint="default" w:ascii="Times New Roman" w:hAnsi="Times New Roman" w:eastAsia="仿宋_GB2312"/>
          <w:color w:val="000000"/>
          <w:sz w:val="32"/>
          <w:szCs w:val="32"/>
          <w:highlight w:val="none"/>
          <w:lang w:val="en-US" w:eastAsia="zh-CN"/>
        </w:rPr>
        <w:t>有关产业政策要求。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（二）</w:t>
      </w:r>
      <w:r>
        <w:rPr>
          <w:rFonts w:hint="default" w:ascii="Times New Roman" w:hAnsi="Times New Roman" w:eastAsia="仿宋_GB2312"/>
          <w:color w:val="000000"/>
          <w:sz w:val="32"/>
          <w:szCs w:val="32"/>
          <w:highlight w:val="none"/>
          <w:lang w:val="en-US" w:eastAsia="zh-CN"/>
        </w:rPr>
        <w:t>符合</w:t>
      </w:r>
      <w:r>
        <w:rPr>
          <w:rFonts w:hint="eastAsia" w:ascii="Times New Roman" w:hAnsi="Times New Roman" w:eastAsia="仿宋_GB2312"/>
          <w:color w:val="000000"/>
          <w:sz w:val="32"/>
          <w:szCs w:val="32"/>
          <w:highlight w:val="none"/>
          <w:lang w:val="en-US" w:eastAsia="zh-CN"/>
        </w:rPr>
        <w:t>普洱市</w:t>
      </w:r>
      <w:r>
        <w:rPr>
          <w:rFonts w:hint="default" w:ascii="Times New Roman" w:hAnsi="Times New Roman" w:eastAsia="仿宋_GB2312"/>
          <w:color w:val="000000"/>
          <w:sz w:val="32"/>
          <w:szCs w:val="32"/>
          <w:highlight w:val="none"/>
          <w:lang w:val="en-US" w:eastAsia="zh-CN"/>
        </w:rPr>
        <w:t>和</w:t>
      </w:r>
      <w:r>
        <w:rPr>
          <w:rFonts w:hint="eastAsia" w:ascii="Times New Roman" w:hAnsi="Times New Roman" w:eastAsia="仿宋_GB2312"/>
          <w:color w:val="000000"/>
          <w:sz w:val="32"/>
          <w:szCs w:val="32"/>
          <w:highlight w:val="none"/>
          <w:lang w:val="en-US" w:eastAsia="zh-CN"/>
        </w:rPr>
        <w:t>孟连傣族拉祜族佤族自治县</w:t>
      </w:r>
      <w:r>
        <w:rPr>
          <w:rFonts w:hint="default" w:ascii="Times New Roman" w:hAnsi="Times New Roman" w:eastAsia="仿宋_GB2312"/>
          <w:color w:val="000000"/>
          <w:sz w:val="32"/>
          <w:szCs w:val="32"/>
          <w:highlight w:val="none"/>
          <w:lang w:val="en-US" w:eastAsia="zh-CN"/>
        </w:rPr>
        <w:t>国民经济和社会发展规划、国土空间规划、边合区总体</w:t>
      </w:r>
      <w:r>
        <w:rPr>
          <w:rFonts w:hint="eastAsia" w:ascii="Times New Roman" w:hAnsi="Times New Roman" w:eastAsia="仿宋_GB2312"/>
          <w:color w:val="000000"/>
          <w:sz w:val="32"/>
          <w:szCs w:val="32"/>
          <w:highlight w:val="none"/>
          <w:lang w:val="en-US" w:eastAsia="zh-CN"/>
        </w:rPr>
        <w:t>规划、详细规划</w:t>
      </w:r>
      <w:r>
        <w:rPr>
          <w:rFonts w:hint="default" w:ascii="Times New Roman" w:hAnsi="Times New Roman" w:eastAsia="仿宋_GB2312"/>
          <w:color w:val="000000"/>
          <w:sz w:val="32"/>
          <w:szCs w:val="32"/>
          <w:highlight w:val="none"/>
          <w:lang w:val="en-US" w:eastAsia="zh-CN"/>
        </w:rPr>
        <w:t>及其</w:t>
      </w:r>
      <w:r>
        <w:rPr>
          <w:rFonts w:hint="eastAsia" w:ascii="Times New Roman" w:hAnsi="Times New Roman" w:eastAsia="仿宋_GB2312"/>
          <w:color w:val="000000"/>
          <w:sz w:val="32"/>
          <w:szCs w:val="32"/>
          <w:highlight w:val="none"/>
          <w:lang w:val="en-US" w:eastAsia="zh-CN"/>
        </w:rPr>
        <w:t>环境影响评价的</w:t>
      </w:r>
      <w:r>
        <w:rPr>
          <w:rFonts w:hint="default" w:ascii="Times New Roman" w:hAnsi="Times New Roman" w:eastAsia="仿宋_GB2312"/>
          <w:color w:val="000000"/>
          <w:sz w:val="32"/>
          <w:szCs w:val="32"/>
          <w:highlight w:val="none"/>
          <w:lang w:val="en-US" w:eastAsia="zh-CN"/>
        </w:rPr>
        <w:t>要求，符合边合区经济发展导向，</w:t>
      </w:r>
      <w:r>
        <w:rPr>
          <w:rFonts w:hint="eastAsia" w:ascii="Times New Roman" w:hAnsi="Times New Roman" w:eastAsia="仿宋_GB2312"/>
          <w:color w:val="000000"/>
          <w:sz w:val="32"/>
          <w:szCs w:val="32"/>
          <w:highlight w:val="none"/>
          <w:lang w:val="en-US" w:eastAsia="zh-CN"/>
        </w:rPr>
        <w:t>与边合区</w:t>
      </w:r>
      <w:r>
        <w:rPr>
          <w:rFonts w:hint="default" w:ascii="Times New Roman" w:hAnsi="Times New Roman" w:eastAsia="仿宋_GB2312"/>
          <w:color w:val="000000"/>
          <w:sz w:val="32"/>
          <w:szCs w:val="32"/>
          <w:highlight w:val="none"/>
          <w:lang w:val="en-US" w:eastAsia="zh-CN"/>
        </w:rPr>
        <w:t>产业定位</w:t>
      </w:r>
      <w:r>
        <w:rPr>
          <w:rFonts w:hint="eastAsia" w:ascii="Times New Roman" w:hAnsi="Times New Roman" w:eastAsia="仿宋_GB2312"/>
          <w:color w:val="000000"/>
          <w:sz w:val="32"/>
          <w:szCs w:val="32"/>
          <w:highlight w:val="none"/>
          <w:lang w:val="en-US" w:eastAsia="zh-CN"/>
        </w:rPr>
        <w:t>相匹配</w:t>
      </w:r>
      <w:r>
        <w:rPr>
          <w:rFonts w:hint="default" w:ascii="Times New Roman" w:hAnsi="Times New Roman" w:eastAsia="仿宋_GB2312"/>
          <w:color w:val="000000"/>
          <w:sz w:val="32"/>
          <w:szCs w:val="32"/>
          <w:highlight w:val="none"/>
          <w:lang w:val="en-US" w:eastAsia="zh-CN"/>
        </w:rPr>
        <w:t>，严格执行能耗、环保、质量、安全、消防、技术等标准，项目通过节能评估、环境影响评价、安全及消防等</w:t>
      </w:r>
      <w:r>
        <w:rPr>
          <w:rFonts w:hint="eastAsia" w:ascii="Times New Roman" w:hAnsi="Times New Roman" w:eastAsia="仿宋_GB2312"/>
          <w:color w:val="000000"/>
          <w:sz w:val="32"/>
          <w:szCs w:val="32"/>
          <w:highlight w:val="none"/>
          <w:lang w:val="en-US" w:eastAsia="zh-CN"/>
        </w:rPr>
        <w:t>行业</w:t>
      </w:r>
      <w:r>
        <w:rPr>
          <w:rFonts w:hint="default" w:ascii="Times New Roman" w:hAnsi="Times New Roman" w:eastAsia="仿宋_GB2312"/>
          <w:color w:val="000000"/>
          <w:sz w:val="32"/>
          <w:szCs w:val="32"/>
          <w:highlight w:val="none"/>
          <w:lang w:val="en-US" w:eastAsia="zh-CN"/>
        </w:rPr>
        <w:t>审查</w:t>
      </w:r>
      <w:r>
        <w:rPr>
          <w:rFonts w:hint="eastAsia" w:ascii="Times New Roman" w:hAnsi="Times New Roman" w:eastAsia="仿宋_GB2312"/>
          <w:color w:val="000000"/>
          <w:sz w:val="32"/>
          <w:szCs w:val="32"/>
          <w:highlight w:val="none"/>
          <w:lang w:val="en-US" w:eastAsia="zh-CN"/>
        </w:rPr>
        <w:t>（西盟片区入园项目应符合西盟片区相应规划及相关要求）</w:t>
      </w:r>
      <w:r>
        <w:rPr>
          <w:rFonts w:hint="default" w:ascii="Times New Roman" w:hAnsi="Times New Roman" w:eastAsia="仿宋_GB2312"/>
          <w:color w:val="000000"/>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eastAsia" w:ascii="Times New Roman" w:hAnsi="Times New Roman" w:eastAsia="仿宋_GB2312" w:cs="Times New Roman"/>
          <w:b w:val="0"/>
          <w:bCs w:val="0"/>
          <w:color w:val="000000"/>
          <w:kern w:val="2"/>
          <w:sz w:val="32"/>
          <w:szCs w:val="32"/>
          <w:highlight w:val="none"/>
          <w:lang w:val="en-US" w:eastAsia="zh-CN" w:bidi="ar-SA"/>
        </w:rPr>
      </w:pPr>
      <w:r>
        <w:rPr>
          <w:rFonts w:hint="eastAsia" w:ascii="Times New Roman" w:hAnsi="Times New Roman" w:eastAsia="仿宋_GB2312" w:cs="Times New Roman"/>
          <w:b/>
          <w:bCs/>
          <w:color w:val="000000"/>
          <w:kern w:val="2"/>
          <w:sz w:val="32"/>
          <w:szCs w:val="32"/>
          <w:highlight w:val="none"/>
          <w:lang w:val="en-US" w:eastAsia="zh-CN" w:bidi="ar-SA"/>
        </w:rPr>
        <w:t>第五条</w:t>
      </w:r>
      <w:r>
        <w:rPr>
          <w:rFonts w:hint="default" w:ascii="Times New Roman" w:hAnsi="Times New Roman" w:eastAsia="仿宋_GB2312" w:cs="Times New Roman"/>
          <w:color w:val="000000"/>
          <w:kern w:val="2"/>
          <w:sz w:val="32"/>
          <w:szCs w:val="32"/>
          <w:highlight w:val="none"/>
          <w:lang w:val="en-US" w:eastAsia="zh-CN" w:bidi="ar-SA"/>
        </w:rPr>
        <w:t xml:space="preserve"> </w:t>
      </w:r>
      <w:r>
        <w:rPr>
          <w:rFonts w:hint="eastAsia" w:ascii="Times New Roman" w:hAnsi="Times New Roman" w:eastAsia="仿宋_GB2312" w:cs="Times New Roman"/>
          <w:b w:val="0"/>
          <w:bCs w:val="0"/>
          <w:color w:val="000000"/>
          <w:kern w:val="2"/>
          <w:sz w:val="32"/>
          <w:szCs w:val="32"/>
          <w:highlight w:val="none"/>
          <w:lang w:val="en-US" w:eastAsia="zh-CN" w:bidi="ar-SA"/>
        </w:rPr>
        <w:t>指标</w:t>
      </w:r>
      <w:r>
        <w:rPr>
          <w:rFonts w:hint="default" w:ascii="Times New Roman" w:hAnsi="Times New Roman" w:eastAsia="仿宋_GB2312" w:cs="Times New Roman"/>
          <w:b w:val="0"/>
          <w:bCs w:val="0"/>
          <w:color w:val="000000"/>
          <w:kern w:val="2"/>
          <w:sz w:val="32"/>
          <w:szCs w:val="32"/>
          <w:highlight w:val="none"/>
          <w:lang w:val="en-US" w:eastAsia="zh-CN" w:bidi="ar-SA"/>
        </w:rPr>
        <w:t>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s="Times New Roman"/>
          <w:b w:val="0"/>
          <w:bCs w:val="0"/>
          <w:color w:val="000000"/>
          <w:kern w:val="2"/>
          <w:sz w:val="32"/>
          <w:szCs w:val="32"/>
          <w:highlight w:val="none"/>
          <w:lang w:val="en-US" w:eastAsia="zh-CN" w:bidi="ar-SA"/>
        </w:rPr>
        <w:t>（一）新增入园项目必须严</w:t>
      </w:r>
      <w:r>
        <w:rPr>
          <w:rFonts w:hint="eastAsia" w:ascii="Times New Roman" w:hAnsi="Times New Roman" w:eastAsia="仿宋_GB2312"/>
          <w:color w:val="000000"/>
          <w:sz w:val="32"/>
          <w:szCs w:val="32"/>
          <w:highlight w:val="none"/>
          <w:lang w:val="en-US" w:eastAsia="zh-CN"/>
        </w:rPr>
        <w:t>格按照《云南孟连边境经济合作区总体规划（2021-2035）》及各片区详细规划规定的功能分区安排使用，建设用地按照相关规定依法取得，土地用途、容积率、建筑密度、绿地率等规划设计条件需符合详细规划相关约束性指标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cs="Times New Roman"/>
          <w:color w:val="000000"/>
          <w:kern w:val="2"/>
          <w:sz w:val="32"/>
          <w:szCs w:val="32"/>
          <w:highlight w:val="none"/>
          <w:lang w:val="en-US" w:eastAsia="zh-CN" w:bidi="ar-SA"/>
        </w:rPr>
        <w:t>（二）经济指标。</w:t>
      </w:r>
      <w:r>
        <w:rPr>
          <w:rFonts w:hint="default" w:ascii="Times New Roman" w:hAnsi="Times New Roman" w:eastAsia="仿宋_GB2312" w:cs="Times New Roman"/>
          <w:color w:val="000000"/>
          <w:kern w:val="2"/>
          <w:sz w:val="32"/>
          <w:szCs w:val="32"/>
          <w:highlight w:val="none"/>
          <w:lang w:val="en-US" w:eastAsia="zh-CN" w:bidi="ar-SA"/>
        </w:rPr>
        <w:t>在边合区内</w:t>
      </w:r>
      <w:r>
        <w:rPr>
          <w:rFonts w:hint="eastAsia" w:ascii="Times New Roman" w:hAnsi="Times New Roman" w:eastAsia="仿宋_GB2312" w:cs="Times New Roman"/>
          <w:color w:val="000000"/>
          <w:kern w:val="2"/>
          <w:sz w:val="32"/>
          <w:szCs w:val="32"/>
          <w:highlight w:val="none"/>
          <w:lang w:val="en-US" w:eastAsia="zh-CN" w:bidi="ar-SA"/>
        </w:rPr>
        <w:t>新增建设的</w:t>
      </w:r>
      <w:r>
        <w:rPr>
          <w:rFonts w:hint="default" w:ascii="Times New Roman" w:hAnsi="Times New Roman" w:eastAsia="仿宋_GB2312" w:cs="Times New Roman"/>
          <w:color w:val="000000"/>
          <w:kern w:val="2"/>
          <w:sz w:val="32"/>
          <w:szCs w:val="32"/>
          <w:highlight w:val="none"/>
          <w:lang w:val="en-US" w:eastAsia="zh-CN" w:bidi="ar-SA"/>
        </w:rPr>
        <w:t>工业项目</w:t>
      </w:r>
      <w:r>
        <w:rPr>
          <w:rFonts w:hint="eastAsia" w:ascii="Times New Roman" w:hAnsi="Times New Roman" w:eastAsia="仿宋_GB2312" w:cs="Times New Roman"/>
          <w:color w:val="000000"/>
          <w:kern w:val="2"/>
          <w:sz w:val="32"/>
          <w:szCs w:val="32"/>
          <w:highlight w:val="none"/>
          <w:lang w:val="en-US" w:eastAsia="zh-CN" w:bidi="ar-SA"/>
        </w:rPr>
        <w:t>应满足</w:t>
      </w:r>
      <w:r>
        <w:rPr>
          <w:rFonts w:hint="default" w:ascii="Times New Roman" w:hAnsi="Times New Roman" w:eastAsia="仿宋_GB2312" w:cs="Times New Roman"/>
          <w:color w:val="000000"/>
          <w:kern w:val="2"/>
          <w:sz w:val="32"/>
          <w:szCs w:val="32"/>
          <w:highlight w:val="none"/>
          <w:lang w:val="en-US" w:eastAsia="zh-CN" w:bidi="ar-SA"/>
        </w:rPr>
        <w:t>《云南省工业项目“标准地”指导性控制指标（试行）》中三类区域确定</w:t>
      </w:r>
      <w:r>
        <w:rPr>
          <w:rFonts w:hint="eastAsia" w:ascii="Times New Roman" w:hAnsi="Times New Roman" w:eastAsia="仿宋_GB2312" w:cs="Times New Roman"/>
          <w:color w:val="000000"/>
          <w:kern w:val="2"/>
          <w:sz w:val="32"/>
          <w:szCs w:val="32"/>
          <w:highlight w:val="none"/>
          <w:lang w:val="en-US" w:eastAsia="zh-CN" w:bidi="ar-SA"/>
        </w:rPr>
        <w:t>的</w:t>
      </w:r>
      <w:r>
        <w:rPr>
          <w:rFonts w:hint="default" w:ascii="Times New Roman" w:hAnsi="Times New Roman" w:eastAsia="仿宋_GB2312" w:cs="Times New Roman"/>
          <w:color w:val="000000"/>
          <w:kern w:val="2"/>
          <w:sz w:val="32"/>
          <w:szCs w:val="32"/>
          <w:highlight w:val="none"/>
          <w:lang w:val="en-US" w:eastAsia="zh-CN" w:bidi="ar-SA"/>
        </w:rPr>
        <w:t>固定资产投资强度、亩均税收、单位能耗增加值、单位排放增加值等相关指标</w:t>
      </w:r>
      <w:r>
        <w:rPr>
          <w:rFonts w:hint="eastAsia" w:ascii="Times New Roman" w:hAnsi="Times New Roman" w:eastAsia="仿宋_GB2312" w:cs="Times New Roman"/>
          <w:color w:val="000000"/>
          <w:kern w:val="2"/>
          <w:sz w:val="32"/>
          <w:szCs w:val="32"/>
          <w:highlight w:val="none"/>
          <w:lang w:val="en-US" w:eastAsia="zh-CN" w:bidi="ar-SA"/>
        </w:rPr>
        <w:t>（详见附件1）</w:t>
      </w:r>
      <w:r>
        <w:rPr>
          <w:rFonts w:hint="default" w:ascii="Times New Roman" w:hAnsi="Times New Roman" w:eastAsia="仿宋_GB2312" w:cs="Times New Roman"/>
          <w:color w:val="000000"/>
          <w:kern w:val="2"/>
          <w:sz w:val="32"/>
          <w:szCs w:val="32"/>
          <w:highlight w:val="none"/>
          <w:lang w:val="en-US" w:eastAsia="zh-CN" w:bidi="ar-SA"/>
        </w:rPr>
        <w:t>。</w:t>
      </w:r>
      <w:r>
        <w:rPr>
          <w:rFonts w:hint="eastAsia" w:ascii="Times New Roman" w:hAnsi="Times New Roman" w:eastAsia="仿宋_GB2312" w:cs="Times New Roman"/>
          <w:color w:val="000000"/>
          <w:kern w:val="2"/>
          <w:sz w:val="32"/>
          <w:szCs w:val="32"/>
          <w:highlight w:val="none"/>
          <w:lang w:val="en-US" w:eastAsia="zh-CN" w:bidi="ar-SA"/>
        </w:rPr>
        <w:t>如项目申请</w:t>
      </w:r>
      <w:r>
        <w:rPr>
          <w:rFonts w:hint="default" w:ascii="Times New Roman" w:hAnsi="Times New Roman" w:eastAsia="仿宋_GB2312" w:cs="Times New Roman"/>
          <w:color w:val="000000"/>
          <w:kern w:val="2"/>
          <w:sz w:val="32"/>
          <w:szCs w:val="32"/>
          <w:highlight w:val="none"/>
          <w:lang w:val="en-US" w:eastAsia="zh-CN" w:bidi="ar-SA"/>
        </w:rPr>
        <w:t>入园时暂未达到投资、税收相关要求，但经过审查后认为</w:t>
      </w:r>
      <w:r>
        <w:rPr>
          <w:rFonts w:hint="eastAsia" w:ascii="Times New Roman" w:hAnsi="Times New Roman" w:eastAsia="仿宋_GB2312" w:cs="Times New Roman"/>
          <w:color w:val="000000"/>
          <w:kern w:val="2"/>
          <w:sz w:val="32"/>
          <w:szCs w:val="32"/>
          <w:highlight w:val="none"/>
          <w:lang w:val="en-US" w:eastAsia="zh-CN" w:bidi="ar-SA"/>
        </w:rPr>
        <w:t>项目</w:t>
      </w:r>
      <w:r>
        <w:rPr>
          <w:rFonts w:hint="default" w:ascii="Times New Roman" w:hAnsi="Times New Roman" w:eastAsia="仿宋_GB2312" w:cs="Times New Roman"/>
          <w:color w:val="000000"/>
          <w:kern w:val="2"/>
          <w:sz w:val="32"/>
          <w:szCs w:val="32"/>
          <w:highlight w:val="none"/>
          <w:lang w:val="en-US" w:eastAsia="zh-CN" w:bidi="ar-SA"/>
        </w:rPr>
        <w:t>具有良好发展潜力，且后续有投资计划的，可适当放宽条件。</w:t>
      </w:r>
      <w:r>
        <w:rPr>
          <w:rFonts w:hint="eastAsia" w:ascii="Times New Roman" w:hAnsi="Times New Roman" w:eastAsia="仿宋_GB2312" w:cs="Times New Roman"/>
          <w:color w:val="000000"/>
          <w:kern w:val="2"/>
          <w:sz w:val="32"/>
          <w:szCs w:val="32"/>
          <w:highlight w:val="none"/>
          <w:lang w:val="en-US" w:eastAsia="zh-CN" w:bidi="ar-SA"/>
        </w:rPr>
        <w:t>非工业项目入园时，有投资协议的应参照投资协议约定执行；未签订投资协议的，视情况约定相关指标。</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b/>
          <w:bCs/>
          <w:color w:val="000000"/>
          <w:sz w:val="32"/>
          <w:szCs w:val="32"/>
          <w:highlight w:val="none"/>
          <w:lang w:val="en-US" w:eastAsia="zh-CN"/>
        </w:rPr>
        <w:t>第六条</w:t>
      </w:r>
      <w:r>
        <w:rPr>
          <w:rFonts w:hint="eastAsia" w:ascii="Times New Roman" w:hAnsi="Times New Roman" w:eastAsia="仿宋_GB2312"/>
          <w:color w:val="000000"/>
          <w:sz w:val="32"/>
          <w:szCs w:val="32"/>
          <w:highlight w:val="none"/>
          <w:lang w:val="en-US" w:eastAsia="zh-CN"/>
        </w:rPr>
        <w:t xml:space="preserve"> 建设管理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（一）</w:t>
      </w:r>
      <w:r>
        <w:rPr>
          <w:rFonts w:hint="default" w:ascii="Times New Roman" w:hAnsi="Times New Roman" w:eastAsia="仿宋_GB2312"/>
          <w:color w:val="000000"/>
          <w:sz w:val="32"/>
          <w:szCs w:val="32"/>
          <w:highlight w:val="none"/>
          <w:lang w:val="en-US" w:eastAsia="zh-CN"/>
        </w:rPr>
        <w:t>项目开工建设</w:t>
      </w:r>
      <w:r>
        <w:rPr>
          <w:rFonts w:hint="eastAsia" w:ascii="Times New Roman" w:hAnsi="Times New Roman" w:eastAsia="仿宋_GB2312"/>
          <w:color w:val="000000"/>
          <w:sz w:val="32"/>
          <w:szCs w:val="32"/>
          <w:highlight w:val="none"/>
          <w:lang w:val="en-US" w:eastAsia="zh-CN"/>
        </w:rPr>
        <w:t>（包括新建、改建、扩建）</w:t>
      </w:r>
      <w:r>
        <w:rPr>
          <w:rFonts w:hint="default" w:ascii="Times New Roman" w:hAnsi="Times New Roman" w:eastAsia="仿宋_GB2312"/>
          <w:color w:val="000000"/>
          <w:sz w:val="32"/>
          <w:szCs w:val="32"/>
          <w:highlight w:val="none"/>
          <w:lang w:val="en-US" w:eastAsia="zh-CN"/>
        </w:rPr>
        <w:t>前须依法办理</w:t>
      </w:r>
      <w:r>
        <w:rPr>
          <w:rFonts w:hint="eastAsia" w:ascii="Times New Roman" w:hAnsi="Times New Roman" w:eastAsia="仿宋_GB2312"/>
          <w:color w:val="000000"/>
          <w:sz w:val="32"/>
          <w:szCs w:val="32"/>
          <w:highlight w:val="none"/>
          <w:lang w:val="en-US" w:eastAsia="zh-CN"/>
        </w:rPr>
        <w:t>相关行政审批手续，</w:t>
      </w:r>
      <w:r>
        <w:rPr>
          <w:rFonts w:hint="default" w:ascii="Times New Roman" w:hAnsi="Times New Roman" w:eastAsia="仿宋_GB2312"/>
          <w:color w:val="000000"/>
          <w:sz w:val="32"/>
          <w:szCs w:val="32"/>
          <w:highlight w:val="none"/>
          <w:lang w:val="en-US" w:eastAsia="zh-CN"/>
        </w:rPr>
        <w:t>并</w:t>
      </w:r>
      <w:r>
        <w:rPr>
          <w:rFonts w:hint="eastAsia" w:ascii="Times New Roman" w:hAnsi="Times New Roman" w:eastAsia="仿宋_GB2312"/>
          <w:color w:val="000000"/>
          <w:sz w:val="32"/>
          <w:szCs w:val="32"/>
          <w:highlight w:val="none"/>
          <w:lang w:val="en-US" w:eastAsia="zh-CN"/>
        </w:rPr>
        <w:t>依据项目类型</w:t>
      </w:r>
      <w:r>
        <w:rPr>
          <w:rFonts w:hint="default" w:ascii="Times New Roman" w:hAnsi="Times New Roman" w:eastAsia="仿宋_GB2312"/>
          <w:color w:val="000000"/>
          <w:sz w:val="32"/>
          <w:szCs w:val="32"/>
          <w:highlight w:val="none"/>
          <w:lang w:val="en-US" w:eastAsia="zh-CN"/>
        </w:rPr>
        <w:t>取得</w:t>
      </w:r>
      <w:r>
        <w:rPr>
          <w:rFonts w:hint="eastAsia" w:ascii="Times New Roman" w:hAnsi="Times New Roman" w:eastAsia="仿宋_GB2312"/>
          <w:color w:val="000000"/>
          <w:sz w:val="32"/>
          <w:szCs w:val="32"/>
          <w:highlight w:val="none"/>
          <w:lang w:val="en-US" w:eastAsia="zh-CN"/>
        </w:rPr>
        <w:t>立项（审批、核准、备案）、用地、规划、环评、水保等各类批复文件</w:t>
      </w:r>
      <w:r>
        <w:rPr>
          <w:rFonts w:hint="default" w:ascii="Times New Roman" w:hAnsi="Times New Roman" w:eastAsia="仿宋_GB2312"/>
          <w:color w:val="000000"/>
          <w:sz w:val="32"/>
          <w:szCs w:val="32"/>
          <w:highlight w:val="none"/>
          <w:lang w:val="en-US" w:eastAsia="zh-CN"/>
        </w:rPr>
        <w:t>。</w:t>
      </w:r>
      <w:r>
        <w:rPr>
          <w:rFonts w:hint="eastAsia" w:ascii="Times New Roman" w:hAnsi="Times New Roman" w:eastAsia="仿宋_GB2312"/>
          <w:color w:val="000000"/>
          <w:sz w:val="32"/>
          <w:szCs w:val="32"/>
          <w:highlight w:val="none"/>
          <w:lang w:val="en-US" w:eastAsia="zh-CN"/>
        </w:rPr>
        <w:t>拟建项目在取得行政审批要件后，不得擅自变更用地范围、规划设计、建设内容及规模、投资等内容。确需变更的，由项目业主向有法定审批权限的县级相关行政审批部门提出申请，边合区管委会根据园区产业规划、入园协议约定出具审核意见，最终审批决定由法定行政审批部门依法作出。未经批准擅自变更的，由具有法定职权的行政主管部门按照行业相关规定予以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二）项目建设过程中，项目业主应定期向边合区管委会、统计及行业主管部门报送项目建设情况，符合固定资产投资入统要求的，应遵循《中华人民共和国统计法》相关要求，履行入统义务，依法依规报送统计数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（三）项目建成后，由项目业主组织验收，边合区管委会和县级相关行业主管部门依法参与验收监督。针对固定资产投资强度、单位能耗增加值未达入园协议及 “标准地” 约定指标的，由边合区管委会督促项目业主限期整改；对违反法律法规强制性规定的，由具有法定职权的行政主管部门依法作出责令整改等行政决定。</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eastAsia" w:ascii="Times New Roman" w:hAnsi="Times New Roman" w:eastAsia="仿宋_GB2312" w:cs="Times New Roman"/>
          <w:color w:val="000000"/>
          <w:kern w:val="2"/>
          <w:sz w:val="32"/>
          <w:szCs w:val="32"/>
          <w:highlight w:val="none"/>
          <w:lang w:val="en-US" w:eastAsia="zh-CN" w:bidi="ar-SA"/>
        </w:rPr>
      </w:pPr>
      <w:r>
        <w:rPr>
          <w:rFonts w:hint="eastAsia" w:ascii="Times New Roman" w:hAnsi="Times New Roman" w:eastAsia="仿宋_GB2312"/>
          <w:b/>
          <w:bCs/>
          <w:color w:val="000000"/>
          <w:sz w:val="32"/>
          <w:szCs w:val="32"/>
          <w:highlight w:val="none"/>
          <w:lang w:val="en-US" w:eastAsia="zh-CN"/>
        </w:rPr>
        <w:t>第七条</w:t>
      </w:r>
      <w:r>
        <w:rPr>
          <w:rFonts w:hint="eastAsia" w:ascii="Times New Roman" w:hAnsi="Times New Roman" w:eastAsia="仿宋_GB2312"/>
          <w:color w:val="000000"/>
          <w:sz w:val="32"/>
          <w:szCs w:val="32"/>
          <w:highlight w:val="none"/>
          <w:lang w:val="en-US" w:eastAsia="zh-CN"/>
        </w:rPr>
        <w:t xml:space="preserve"> </w:t>
      </w:r>
      <w:r>
        <w:rPr>
          <w:rFonts w:hint="eastAsia" w:ascii="Times New Roman" w:hAnsi="Times New Roman" w:eastAsia="仿宋_GB2312" w:cs="Times New Roman"/>
          <w:color w:val="000000"/>
          <w:kern w:val="2"/>
          <w:sz w:val="32"/>
          <w:szCs w:val="32"/>
          <w:highlight w:val="none"/>
          <w:lang w:val="en-US" w:eastAsia="zh-CN" w:bidi="ar-SA"/>
        </w:rPr>
        <w:t>入园项目有以下情形的，应当退出：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2"/>
          <w:sz w:val="32"/>
          <w:szCs w:val="32"/>
          <w:highlight w:val="none"/>
          <w:lang w:val="en-US" w:eastAsia="zh-CN" w:bidi="ar-SA"/>
        </w:rPr>
      </w:pPr>
      <w:r>
        <w:rPr>
          <w:rFonts w:hint="eastAsia" w:ascii="Times New Roman" w:hAnsi="Times New Roman" w:eastAsia="仿宋_GB2312" w:cs="Times New Roman"/>
          <w:color w:val="000000"/>
          <w:kern w:val="2"/>
          <w:sz w:val="32"/>
          <w:szCs w:val="32"/>
          <w:highlight w:val="none"/>
          <w:lang w:val="en-US" w:eastAsia="zh-CN" w:bidi="ar-SA"/>
        </w:rPr>
        <w:t>（一）除不可抗力因素外，取得土地后未按合同约定开工，构成闲置土地的，按照《闲置土地处置办法》由自然资源主管部门依法调查认定并处理；对认定为闲置土地且符合法定收回条件的，依法予以处置。但因政府、政府有关部门行为导致土地闲置的，依照《闲置土地处置办法》相关规定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color w:val="000000"/>
          <w:kern w:val="2"/>
          <w:sz w:val="32"/>
          <w:szCs w:val="32"/>
          <w:highlight w:val="none"/>
          <w:lang w:val="en-US" w:eastAsia="zh-CN" w:bidi="ar-SA"/>
        </w:rPr>
      </w:pPr>
      <w:r>
        <w:rPr>
          <w:rFonts w:hint="eastAsia" w:ascii="Times New Roman" w:hAnsi="Times New Roman" w:eastAsia="仿宋_GB2312" w:cs="Times New Roman"/>
          <w:color w:val="000000"/>
          <w:kern w:val="2"/>
          <w:sz w:val="32"/>
          <w:szCs w:val="32"/>
          <w:highlight w:val="none"/>
          <w:lang w:val="en-US" w:eastAsia="zh-CN" w:bidi="ar-SA"/>
        </w:rPr>
        <w:t>（二）未达到 “标准地” 约定指标及入园协议约定要求，经边合区管委会督促整改后仍不达标的，由边合区管委会按照入园协议约定启动退出程序，需作出行政处理决定的，由具有法定职权的行政主管部门依法实施；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color w:val="000000"/>
          <w:kern w:val="2"/>
          <w:sz w:val="32"/>
          <w:szCs w:val="32"/>
          <w:highlight w:val="none"/>
          <w:lang w:val="en-US" w:eastAsia="zh-CN" w:bidi="ar-SA"/>
        </w:rPr>
      </w:pPr>
      <w:r>
        <w:rPr>
          <w:rFonts w:hint="eastAsia" w:ascii="Times New Roman" w:hAnsi="Times New Roman" w:eastAsia="仿宋_GB2312" w:cs="Times New Roman"/>
          <w:color w:val="000000"/>
          <w:kern w:val="2"/>
          <w:sz w:val="32"/>
          <w:szCs w:val="32"/>
          <w:highlight w:val="none"/>
          <w:lang w:val="en-US" w:eastAsia="zh-CN" w:bidi="ar-SA"/>
        </w:rPr>
        <w:t>（三）法律法规及入园协议约定的其他应当退出的情形。</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eastAsia" w:ascii="Times New Roman" w:hAnsi="Times New Roman" w:eastAsia="仿宋_GB2312" w:cs="Times New Roman"/>
          <w:color w:val="000000"/>
          <w:kern w:val="2"/>
          <w:sz w:val="32"/>
          <w:szCs w:val="32"/>
          <w:highlight w:val="none"/>
          <w:lang w:val="en-US" w:eastAsia="zh-CN" w:bidi="ar-SA"/>
        </w:rPr>
      </w:pPr>
      <w:r>
        <w:rPr>
          <w:rFonts w:hint="eastAsia" w:ascii="Times New Roman" w:hAnsi="Times New Roman" w:eastAsia="仿宋_GB2312" w:cs="Times New Roman"/>
          <w:b/>
          <w:bCs/>
          <w:color w:val="000000"/>
          <w:kern w:val="2"/>
          <w:sz w:val="32"/>
          <w:szCs w:val="32"/>
          <w:highlight w:val="none"/>
          <w:lang w:val="en-US" w:eastAsia="zh-CN" w:bidi="ar-SA"/>
        </w:rPr>
        <w:t>第八条</w:t>
      </w:r>
      <w:r>
        <w:rPr>
          <w:rFonts w:hint="eastAsia" w:ascii="Times New Roman" w:hAnsi="Times New Roman" w:eastAsia="仿宋_GB2312" w:cs="Times New Roman"/>
          <w:color w:val="000000"/>
          <w:kern w:val="2"/>
          <w:sz w:val="32"/>
          <w:szCs w:val="32"/>
          <w:highlight w:val="none"/>
          <w:lang w:val="en-US" w:eastAsia="zh-CN" w:bidi="ar-SA"/>
        </w:rPr>
        <w:t xml:space="preserve"> 投资协议管理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color w:val="000000"/>
          <w:kern w:val="2"/>
          <w:sz w:val="32"/>
          <w:szCs w:val="32"/>
          <w:highlight w:val="none"/>
          <w:lang w:val="en-US" w:eastAsia="zh-CN" w:bidi="ar-SA"/>
        </w:rPr>
      </w:pPr>
      <w:r>
        <w:rPr>
          <w:rFonts w:hint="eastAsia" w:ascii="Times New Roman" w:hAnsi="Times New Roman" w:eastAsia="仿宋_GB2312" w:cs="Times New Roman"/>
          <w:color w:val="000000"/>
          <w:kern w:val="2"/>
          <w:sz w:val="32"/>
          <w:szCs w:val="32"/>
          <w:highlight w:val="none"/>
          <w:lang w:val="en-US" w:eastAsia="zh-CN" w:bidi="ar-SA"/>
        </w:rPr>
        <w:t>（一）边合区管委会与入园项目业主签订的项目投资协议、工业项目 “标准地” 投资建设协议等招商引资相关协议，应当依法采用行政协议形式，明确协议双方的权利义务、履约要求、违约责任、争议解决方式等核心内容。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color w:val="000000"/>
          <w:kern w:val="2"/>
          <w:sz w:val="32"/>
          <w:szCs w:val="32"/>
          <w:highlight w:val="none"/>
          <w:lang w:val="en-US" w:eastAsia="zh-CN" w:bidi="ar-SA"/>
        </w:rPr>
      </w:pPr>
      <w:r>
        <w:rPr>
          <w:rFonts w:hint="eastAsia" w:ascii="Times New Roman" w:hAnsi="Times New Roman" w:eastAsia="仿宋_GB2312" w:cs="Times New Roman"/>
          <w:color w:val="000000"/>
          <w:kern w:val="2"/>
          <w:sz w:val="32"/>
          <w:szCs w:val="32"/>
          <w:highlight w:val="none"/>
          <w:lang w:val="en-US" w:eastAsia="zh-CN" w:bidi="ar-SA"/>
        </w:rPr>
        <w:t>（二）所有招商引资相关协议签订前，必须经边合区管委会法律顾问或法制机构进行合法性审查，未经合法性审查或审查未通过的，不得签订。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color w:val="000000"/>
          <w:kern w:val="2"/>
          <w:sz w:val="32"/>
          <w:szCs w:val="32"/>
          <w:highlight w:val="none"/>
          <w:lang w:val="en-US" w:eastAsia="zh-CN" w:bidi="ar-SA"/>
        </w:rPr>
      </w:pPr>
      <w:r>
        <w:rPr>
          <w:rFonts w:hint="eastAsia" w:ascii="Times New Roman" w:hAnsi="Times New Roman" w:eastAsia="仿宋_GB2312" w:cs="Times New Roman"/>
          <w:color w:val="000000"/>
          <w:kern w:val="2"/>
          <w:sz w:val="32"/>
          <w:szCs w:val="32"/>
          <w:highlight w:val="none"/>
          <w:lang w:val="en-US" w:eastAsia="zh-CN" w:bidi="ar-SA"/>
        </w:rPr>
        <w:t>（三）协议内容应当严格限定在边合区管委会法定职权范围内，不得超越法定职权作出承诺，不得违反法律法规的强制性规定，不得设置排除、限制公平竞争的内容。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color w:val="000000"/>
          <w:kern w:val="2"/>
          <w:sz w:val="32"/>
          <w:szCs w:val="32"/>
          <w:highlight w:val="none"/>
          <w:lang w:val="en-US" w:eastAsia="zh-CN" w:bidi="ar-SA"/>
        </w:rPr>
      </w:pPr>
      <w:r>
        <w:rPr>
          <w:rFonts w:hint="eastAsia" w:ascii="Times New Roman" w:hAnsi="Times New Roman" w:eastAsia="仿宋_GB2312" w:cs="Times New Roman"/>
          <w:color w:val="000000"/>
          <w:kern w:val="2"/>
          <w:sz w:val="32"/>
          <w:szCs w:val="32"/>
          <w:highlight w:val="none"/>
          <w:lang w:val="en-US" w:eastAsia="zh-CN" w:bidi="ar-SA"/>
        </w:rPr>
        <w:t>（四）协议应当明确约定争议解决方式，优先采用向有管辖权的人民法院提起行政诉讼的方式解决争议。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color w:val="000000"/>
          <w:kern w:val="2"/>
          <w:sz w:val="32"/>
          <w:szCs w:val="32"/>
          <w:highlight w:val="none"/>
          <w:lang w:val="en-US" w:eastAsia="zh-CN" w:bidi="ar-SA"/>
        </w:rPr>
      </w:pPr>
      <w:r>
        <w:rPr>
          <w:rFonts w:hint="eastAsia" w:ascii="Times New Roman" w:hAnsi="Times New Roman" w:eastAsia="仿宋_GB2312" w:cs="Times New Roman"/>
          <w:color w:val="000000"/>
          <w:kern w:val="2"/>
          <w:sz w:val="32"/>
          <w:szCs w:val="32"/>
          <w:highlight w:val="none"/>
          <w:lang w:val="en-US" w:eastAsia="zh-CN" w:bidi="ar-SA"/>
        </w:rPr>
        <w:t>（五）边合区管委会应当建立协议履约跟踪管理机制，对协议履行情况进行全周期监管，督促双方严格履约；对违约行为，依法依规主张权利、追究责任。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color w:val="000000"/>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黑体" w:hAnsi="黑体" w:eastAsia="黑体" w:cs="黑体"/>
          <w:color w:val="000000"/>
          <w:kern w:val="2"/>
          <w:sz w:val="32"/>
          <w:szCs w:val="32"/>
          <w:highlight w:val="none"/>
          <w:lang w:val="en-US" w:eastAsia="zh-CN" w:bidi="ar-SA"/>
        </w:rPr>
      </w:pPr>
      <w:r>
        <w:rPr>
          <w:rFonts w:hint="eastAsia" w:ascii="黑体" w:hAnsi="黑体" w:eastAsia="黑体" w:cs="黑体"/>
          <w:color w:val="000000"/>
          <w:kern w:val="2"/>
          <w:sz w:val="32"/>
          <w:szCs w:val="32"/>
          <w:highlight w:val="none"/>
          <w:lang w:val="en-US" w:eastAsia="zh-CN" w:bidi="ar-SA"/>
        </w:rPr>
        <w:t>第三章  入园企业管理</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eastAsia"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w:t>
      </w:r>
      <w:r>
        <w:rPr>
          <w:rFonts w:hint="eastAsia" w:ascii="Times New Roman" w:hAnsi="Times New Roman" w:eastAsia="仿宋_GB2312"/>
          <w:b/>
          <w:bCs/>
          <w:color w:val="000000"/>
          <w:sz w:val="32"/>
          <w:szCs w:val="32"/>
          <w:highlight w:val="none"/>
          <w:lang w:val="en-US" w:eastAsia="zh-CN"/>
        </w:rPr>
        <w:t>九</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s="Times New Roman"/>
          <w:color w:val="000000"/>
          <w:kern w:val="2"/>
          <w:sz w:val="32"/>
          <w:szCs w:val="32"/>
          <w:highlight w:val="none"/>
          <w:lang w:val="en-US" w:eastAsia="zh-CN" w:bidi="ar-SA"/>
        </w:rPr>
        <w:t xml:space="preserve"> </w:t>
      </w:r>
      <w:r>
        <w:rPr>
          <w:rFonts w:hint="eastAsia" w:ascii="Times New Roman" w:hAnsi="Times New Roman" w:eastAsia="仿宋_GB2312"/>
          <w:color w:val="000000"/>
          <w:sz w:val="32"/>
          <w:szCs w:val="32"/>
          <w:highlight w:val="none"/>
          <w:lang w:val="en-US" w:eastAsia="zh-CN"/>
        </w:rPr>
        <w:t>申请入园企业应满足以下要求：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（一）存续企业应具备合法经营资质，无严重违法失信记录；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（二）新增设立企业应</w:t>
      </w:r>
      <w:r>
        <w:rPr>
          <w:rFonts w:hint="default" w:ascii="Times New Roman" w:hAnsi="Times New Roman" w:eastAsia="仿宋_GB2312"/>
          <w:color w:val="000000"/>
          <w:sz w:val="32"/>
          <w:szCs w:val="32"/>
          <w:highlight w:val="none"/>
          <w:lang w:val="en-US" w:eastAsia="zh-CN"/>
        </w:rPr>
        <w:t>在边合区规划区域内依法设立，具备独立核算、自主经营、自负盈亏能力，遵守法律法规</w:t>
      </w:r>
      <w:r>
        <w:rPr>
          <w:rFonts w:hint="eastAsia" w:ascii="Times New Roman" w:hAnsi="Times New Roman" w:eastAsia="仿宋_GB2312"/>
          <w:color w:val="000000"/>
          <w:sz w:val="32"/>
          <w:szCs w:val="32"/>
          <w:highlight w:val="none"/>
          <w:lang w:val="en-US" w:eastAsia="zh-CN"/>
        </w:rPr>
        <w:t>，具有</w:t>
      </w:r>
      <w:r>
        <w:rPr>
          <w:rFonts w:hint="default" w:ascii="Times New Roman" w:hAnsi="Times New Roman" w:eastAsia="仿宋_GB2312"/>
          <w:color w:val="000000"/>
          <w:sz w:val="32"/>
          <w:szCs w:val="32"/>
          <w:highlight w:val="none"/>
          <w:lang w:val="en-US" w:eastAsia="zh-CN"/>
        </w:rPr>
        <w:t>依法履行纳税义务的企业法人</w:t>
      </w:r>
      <w:r>
        <w:rPr>
          <w:rFonts w:hint="eastAsia" w:ascii="Times New Roman" w:hAnsi="Times New Roman" w:eastAsia="仿宋_GB2312"/>
          <w:color w:val="000000"/>
          <w:sz w:val="32"/>
          <w:szCs w:val="32"/>
          <w:highlight w:val="none"/>
          <w:lang w:val="en-US" w:eastAsia="zh-CN"/>
        </w:rPr>
        <w:t>资格</w:t>
      </w:r>
      <w:r>
        <w:rPr>
          <w:rFonts w:hint="default" w:ascii="Times New Roman" w:hAnsi="Times New Roman" w:eastAsia="仿宋_GB2312"/>
          <w:color w:val="000000"/>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s="Times New Roman"/>
          <w:color w:val="000000"/>
          <w:kern w:val="2"/>
          <w:sz w:val="32"/>
          <w:szCs w:val="32"/>
          <w:highlight w:val="none"/>
          <w:lang w:val="en-US" w:eastAsia="zh-CN" w:bidi="ar-SA"/>
        </w:rPr>
      </w:pPr>
      <w:r>
        <w:rPr>
          <w:rFonts w:hint="default" w:ascii="Times New Roman" w:hAnsi="Times New Roman" w:eastAsia="仿宋_GB2312"/>
          <w:b/>
          <w:bCs/>
          <w:color w:val="000000"/>
          <w:sz w:val="32"/>
          <w:szCs w:val="32"/>
          <w:highlight w:val="none"/>
          <w:lang w:val="en-US" w:eastAsia="zh-CN"/>
        </w:rPr>
        <w:t>第</w:t>
      </w:r>
      <w:r>
        <w:rPr>
          <w:rFonts w:hint="eastAsia" w:ascii="Times New Roman" w:hAnsi="Times New Roman" w:eastAsia="仿宋_GB2312"/>
          <w:b/>
          <w:bCs/>
          <w:color w:val="000000"/>
          <w:sz w:val="32"/>
          <w:szCs w:val="32"/>
          <w:highlight w:val="none"/>
          <w:lang w:val="en-US" w:eastAsia="zh-CN"/>
        </w:rPr>
        <w:t>十</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s="Times New Roman"/>
          <w:color w:val="000000"/>
          <w:kern w:val="2"/>
          <w:sz w:val="32"/>
          <w:szCs w:val="32"/>
          <w:highlight w:val="none"/>
          <w:lang w:val="en-US" w:eastAsia="zh-CN" w:bidi="ar-SA"/>
        </w:rPr>
        <w:t xml:space="preserve"> 入园</w:t>
      </w:r>
      <w:r>
        <w:rPr>
          <w:rFonts w:hint="eastAsia" w:ascii="Times New Roman" w:hAnsi="Times New Roman" w:eastAsia="仿宋_GB2312" w:cs="Times New Roman"/>
          <w:color w:val="000000"/>
          <w:kern w:val="2"/>
          <w:sz w:val="32"/>
          <w:szCs w:val="32"/>
          <w:highlight w:val="none"/>
          <w:lang w:val="en-US" w:eastAsia="zh-CN" w:bidi="ar-SA"/>
        </w:rPr>
        <w:t>企业应当提供以下资料：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（一）存续企业提供加盖公章营业执照复印件；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（二）新设立企业提供负责人身份证复印件；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（三）</w:t>
      </w:r>
      <w:r>
        <w:rPr>
          <w:rFonts w:hint="default" w:ascii="Times New Roman" w:hAnsi="Times New Roman" w:eastAsia="仿宋_GB2312"/>
          <w:color w:val="000000"/>
          <w:sz w:val="32"/>
          <w:szCs w:val="32"/>
          <w:highlight w:val="none"/>
          <w:lang w:val="en-US" w:eastAsia="zh-CN"/>
        </w:rPr>
        <w:t>填写《</w:t>
      </w:r>
      <w:r>
        <w:rPr>
          <w:rFonts w:hint="eastAsia" w:ascii="Times New Roman" w:hAnsi="Times New Roman" w:eastAsia="仿宋_GB2312"/>
          <w:color w:val="000000"/>
          <w:sz w:val="32"/>
          <w:szCs w:val="32"/>
          <w:highlight w:val="none"/>
          <w:lang w:val="en-US" w:eastAsia="zh-CN"/>
        </w:rPr>
        <w:t>云南孟连边境经济合作区</w:t>
      </w:r>
      <w:r>
        <w:rPr>
          <w:rFonts w:hint="default" w:ascii="Times New Roman" w:hAnsi="Times New Roman" w:eastAsia="仿宋_GB2312"/>
          <w:color w:val="000000"/>
          <w:sz w:val="32"/>
          <w:szCs w:val="32"/>
          <w:highlight w:val="none"/>
          <w:lang w:val="en-US" w:eastAsia="zh-CN"/>
        </w:rPr>
        <w:t>企业入园申请表》</w:t>
      </w:r>
      <w:r>
        <w:rPr>
          <w:rFonts w:hint="eastAsia" w:ascii="Times New Roman" w:hAnsi="Times New Roman" w:eastAsia="仿宋_GB2312"/>
          <w:color w:val="000000"/>
          <w:sz w:val="32"/>
          <w:szCs w:val="32"/>
          <w:highlight w:val="none"/>
          <w:lang w:val="en-US" w:eastAsia="zh-CN"/>
        </w:rPr>
        <w:t>（详见附件2），加盖企业公章。新设立企业如暂未明确法人，由负责人进行真实性承诺。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（四）其他材料。</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w:t>
      </w:r>
      <w:r>
        <w:rPr>
          <w:rFonts w:hint="eastAsia" w:ascii="Times New Roman" w:hAnsi="Times New Roman" w:eastAsia="仿宋_GB2312"/>
          <w:b/>
          <w:bCs/>
          <w:color w:val="000000"/>
          <w:sz w:val="32"/>
          <w:szCs w:val="32"/>
          <w:highlight w:val="none"/>
          <w:lang w:val="en-US" w:eastAsia="zh-CN"/>
        </w:rPr>
        <w:t>十一</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s="Times New Roman"/>
          <w:b/>
          <w:bCs/>
          <w:color w:val="000000"/>
          <w:kern w:val="2"/>
          <w:sz w:val="32"/>
          <w:szCs w:val="32"/>
          <w:highlight w:val="none"/>
          <w:lang w:val="en-US" w:eastAsia="zh-CN" w:bidi="ar-SA"/>
        </w:rPr>
        <w:t xml:space="preserve"> </w:t>
      </w:r>
      <w:r>
        <w:rPr>
          <w:rFonts w:hint="eastAsia" w:ascii="Times New Roman" w:hAnsi="Times New Roman" w:eastAsia="仿宋_GB2312"/>
          <w:color w:val="000000"/>
          <w:sz w:val="32"/>
          <w:szCs w:val="32"/>
          <w:highlight w:val="none"/>
          <w:lang w:val="en-US" w:eastAsia="zh-CN"/>
        </w:rPr>
        <w:t>入园</w:t>
      </w:r>
      <w:r>
        <w:rPr>
          <w:rFonts w:hint="eastAsia" w:ascii="Times New Roman" w:hAnsi="Times New Roman" w:eastAsia="仿宋_GB2312" w:cs="Times New Roman"/>
          <w:color w:val="000000"/>
          <w:kern w:val="2"/>
          <w:sz w:val="32"/>
          <w:szCs w:val="32"/>
          <w:highlight w:val="none"/>
          <w:lang w:val="en-US" w:eastAsia="zh-CN" w:bidi="ar-SA"/>
        </w:rPr>
        <w:t>企业</w:t>
      </w:r>
      <w:r>
        <w:rPr>
          <w:rFonts w:hint="eastAsia" w:ascii="Times New Roman" w:hAnsi="Times New Roman" w:eastAsia="仿宋_GB2312"/>
          <w:color w:val="000000"/>
          <w:sz w:val="32"/>
          <w:szCs w:val="32"/>
          <w:highlight w:val="none"/>
          <w:lang w:val="en-US" w:eastAsia="zh-CN"/>
        </w:rPr>
        <w:t>审核确认：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（一）入园企业审核确认，由边合区管委会对企业关于园区产业规划、产业定位开展的入园准入合规性审核，不替代企业设立、经营所需的法定行政审批。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（二）审核流程：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1.由边合区管委会规划建设与招商合作科组织，口岸管理科、综合服务中心参与进行初审，初审通过后提交边合区管委会审查。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2.经边合区管委会审查后，作出准予入园（或不予入园）的决定，并出具书面审查意见。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3.除特殊情况外，审查程序原则上不超过 3 个工作日。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（三）边合区管委会对申请入园企业提交的涉密资料、商业秘密及未公开的审查信息，应当严格履行保密义务，法律法规另有规定的除外。</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方正楷体简体" w:hAnsi="方正楷体简体" w:eastAsia="方正楷体简体" w:cs="方正楷体简体"/>
          <w:color w:val="000000"/>
          <w:sz w:val="32"/>
          <w:szCs w:val="32"/>
          <w:highlight w:val="none"/>
          <w:lang w:val="en-US" w:eastAsia="zh-CN"/>
        </w:rPr>
      </w:pPr>
      <w:r>
        <w:rPr>
          <w:rFonts w:hint="eastAsia" w:ascii="Times New Roman" w:hAnsi="Times New Roman" w:eastAsia="仿宋_GB2312"/>
          <w:b/>
          <w:bCs/>
          <w:color w:val="000000"/>
          <w:sz w:val="32"/>
          <w:szCs w:val="32"/>
          <w:highlight w:val="none"/>
          <w:lang w:val="en-US" w:eastAsia="zh-CN"/>
        </w:rPr>
        <w:t>第十二条</w:t>
      </w:r>
      <w:r>
        <w:rPr>
          <w:rFonts w:hint="eastAsia" w:ascii="Times New Roman" w:hAnsi="Times New Roman" w:eastAsia="仿宋_GB2312" w:cs="Times New Roman"/>
          <w:b/>
          <w:bCs/>
          <w:color w:val="000000"/>
          <w:kern w:val="2"/>
          <w:sz w:val="32"/>
          <w:szCs w:val="32"/>
          <w:highlight w:val="none"/>
          <w:lang w:val="en-US" w:eastAsia="zh-CN" w:bidi="ar-SA"/>
        </w:rPr>
        <w:t xml:space="preserve"> </w:t>
      </w:r>
      <w:r>
        <w:rPr>
          <w:rFonts w:hint="eastAsia" w:ascii="Times New Roman" w:hAnsi="Times New Roman" w:eastAsia="仿宋_GB2312"/>
          <w:color w:val="000000"/>
          <w:sz w:val="32"/>
          <w:szCs w:val="32"/>
          <w:highlight w:val="none"/>
          <w:lang w:val="en-US" w:eastAsia="zh-CN"/>
        </w:rPr>
        <w:t>入园企业生产经营管理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（一）入园企业在企业存续期间，应依法依规开展生产经营活动，并接受边合区管委会及县级相关职能部门的监督管理。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（二）入园企业必须严格遵守国家、省、市、县关于安全生产、环保等相关法律法规及文件要求，结合企业实际情况，建立健全责任体系，明确企业内部人员职责分工。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（三）企业开始生产经营活动后，应按照边合区管委会工作要求，上报各类统计报表，包括但不限于：固定资产投资、工业产值、贸易业销售额、营业收入、税收等经济指标，以及从业人员、研发投入情况等。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四）对达到“五上”企业入库标准的，企业应在统计部门及边合区管委会的指导下，及时组织材料，积极申报入库。边合区管委会对企业上报的未公开数据，应当严格依照《中华人民共和国统计法》相关规定履行保密义务，严禁未经企业同意擅自对外提供，不得用于统计以外的目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（五）对因企业自身原因需暂停开展生产经营活动，以及复工前应及时向边合区管委会报备。</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b/>
          <w:bCs/>
          <w:color w:val="000000"/>
          <w:sz w:val="32"/>
          <w:szCs w:val="32"/>
          <w:highlight w:val="none"/>
          <w:lang w:val="en-US" w:eastAsia="zh-CN"/>
        </w:rPr>
        <w:t>第十三条</w:t>
      </w:r>
      <w:r>
        <w:rPr>
          <w:rFonts w:hint="eastAsia" w:ascii="Times New Roman" w:hAnsi="Times New Roman" w:eastAsia="仿宋_GB2312"/>
          <w:color w:val="000000"/>
          <w:sz w:val="32"/>
          <w:szCs w:val="32"/>
          <w:highlight w:val="none"/>
          <w:lang w:val="en-US" w:eastAsia="zh-CN"/>
        </w:rPr>
        <w:t xml:space="preserve"> 退出管理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（一）入园企业有下列情形之一的，边合区管委会依规启动退出程序，取消其入园资格：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1.提供虚假材料或以欺诈手段取得入园资格的；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2.因国家政策调整已不符合入园条件，且拒绝转型或调整的；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3.法律法规及入园协议约定的其他应当取消入园资格的情形。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（二）退出方式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1.自动退出。企业自行决定终止经营并完成注销、迁出手续的，自动丧失入园资格，相关资产由企业依法自行处置。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2.转让退出。企业可以通过股权转让、资产转让等方式退出，但承接主体必须符合边合区产业规划和产业定位，经边合区管委会审核确认入园资格；土地使用权转让严格按照法律法规及相关规定依法办理。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olor w:val="00000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黑体" w:hAnsi="黑体" w:eastAsia="黑体" w:cs="黑体"/>
          <w:color w:val="000000"/>
          <w:kern w:val="2"/>
          <w:sz w:val="32"/>
          <w:szCs w:val="32"/>
          <w:highlight w:val="none"/>
          <w:lang w:val="en-US" w:eastAsia="zh-CN" w:bidi="ar-SA"/>
        </w:rPr>
      </w:pPr>
      <w:r>
        <w:rPr>
          <w:rFonts w:hint="default" w:ascii="黑体" w:hAnsi="黑体" w:eastAsia="黑体" w:cs="黑体"/>
          <w:color w:val="000000"/>
          <w:kern w:val="2"/>
          <w:sz w:val="32"/>
          <w:szCs w:val="32"/>
          <w:highlight w:val="none"/>
          <w:lang w:val="en-US" w:eastAsia="zh-CN" w:bidi="ar-SA"/>
        </w:rPr>
        <w:t>第</w:t>
      </w:r>
      <w:r>
        <w:rPr>
          <w:rFonts w:hint="eastAsia" w:ascii="黑体" w:hAnsi="黑体" w:eastAsia="黑体" w:cs="黑体"/>
          <w:color w:val="000000"/>
          <w:kern w:val="2"/>
          <w:sz w:val="32"/>
          <w:szCs w:val="32"/>
          <w:highlight w:val="none"/>
          <w:lang w:val="en-US" w:eastAsia="zh-CN" w:bidi="ar-SA"/>
        </w:rPr>
        <w:t>四</w:t>
      </w:r>
      <w:r>
        <w:rPr>
          <w:rFonts w:hint="default" w:ascii="黑体" w:hAnsi="黑体" w:eastAsia="黑体" w:cs="黑体"/>
          <w:color w:val="000000"/>
          <w:kern w:val="2"/>
          <w:sz w:val="32"/>
          <w:szCs w:val="32"/>
          <w:highlight w:val="none"/>
          <w:lang w:val="en-US" w:eastAsia="zh-CN" w:bidi="ar-SA"/>
        </w:rPr>
        <w:t>章 入园</w:t>
      </w:r>
      <w:r>
        <w:rPr>
          <w:rFonts w:hint="eastAsia" w:ascii="黑体" w:hAnsi="黑体" w:eastAsia="黑体" w:cs="黑体"/>
          <w:color w:val="000000"/>
          <w:kern w:val="2"/>
          <w:sz w:val="32"/>
          <w:szCs w:val="32"/>
          <w:highlight w:val="none"/>
          <w:lang w:val="en-US" w:eastAsia="zh-CN" w:bidi="ar-SA"/>
        </w:rPr>
        <w:t>主体</w:t>
      </w:r>
      <w:r>
        <w:rPr>
          <w:rFonts w:hint="default" w:ascii="黑体" w:hAnsi="黑体" w:eastAsia="黑体" w:cs="黑体"/>
          <w:color w:val="000000"/>
          <w:kern w:val="2"/>
          <w:sz w:val="32"/>
          <w:szCs w:val="32"/>
          <w:highlight w:val="none"/>
          <w:lang w:val="en-US" w:eastAsia="zh-CN" w:bidi="ar-SA"/>
        </w:rPr>
        <w:t>责任与义务</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第十</w:t>
      </w:r>
      <w:r>
        <w:rPr>
          <w:rFonts w:hint="eastAsia" w:ascii="Times New Roman" w:hAnsi="Times New Roman" w:eastAsia="仿宋_GB2312"/>
          <w:b/>
          <w:bCs/>
          <w:color w:val="000000"/>
          <w:sz w:val="32"/>
          <w:szCs w:val="32"/>
          <w:highlight w:val="none"/>
          <w:lang w:val="en-US" w:eastAsia="zh-CN"/>
        </w:rPr>
        <w:t>四</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入园企业</w:t>
      </w:r>
      <w:r>
        <w:rPr>
          <w:rFonts w:hint="eastAsia" w:ascii="Times New Roman" w:hAnsi="Times New Roman" w:eastAsia="仿宋_GB2312"/>
          <w:color w:val="000000"/>
          <w:sz w:val="32"/>
          <w:szCs w:val="32"/>
          <w:highlight w:val="none"/>
          <w:lang w:val="en-US" w:eastAsia="zh-CN"/>
        </w:rPr>
        <w:t>及入园项目业主（以下简称“入园主体”）</w:t>
      </w:r>
      <w:r>
        <w:rPr>
          <w:rFonts w:hint="default" w:ascii="Times New Roman" w:hAnsi="Times New Roman" w:eastAsia="仿宋_GB2312"/>
          <w:color w:val="000000"/>
          <w:sz w:val="32"/>
          <w:szCs w:val="32"/>
          <w:highlight w:val="none"/>
          <w:lang w:val="en-US" w:eastAsia="zh-CN"/>
        </w:rPr>
        <w:t>作为边合区建设和发展的主体，在享有本制度及相关政策赋予的权利与服务的同时，必须严格遵守国家法律法规、政策规定以及边合区的各项管理制度，自觉履行社会责任和法定义务，坚持诚信守法经营，共同维护边合区的良好发展环境。</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第十</w:t>
      </w:r>
      <w:r>
        <w:rPr>
          <w:rFonts w:hint="eastAsia" w:ascii="Times New Roman" w:hAnsi="Times New Roman" w:eastAsia="仿宋_GB2312"/>
          <w:b/>
          <w:bCs/>
          <w:color w:val="000000"/>
          <w:sz w:val="32"/>
          <w:szCs w:val="32"/>
          <w:highlight w:val="none"/>
          <w:lang w:val="en-US" w:eastAsia="zh-CN"/>
        </w:rPr>
        <w:t>五</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守法经营责任</w:t>
      </w:r>
      <w:r>
        <w:rPr>
          <w:rFonts w:hint="eastAsia" w:ascii="Times New Roman" w:hAnsi="Times New Roman" w:eastAsia="仿宋_GB2312"/>
          <w:color w:val="000000"/>
          <w:sz w:val="32"/>
          <w:szCs w:val="32"/>
          <w:highlight w:val="none"/>
          <w:lang w:val="en-US" w:eastAsia="zh-CN"/>
        </w:rPr>
        <w:t>。</w:t>
      </w:r>
      <w:r>
        <w:rPr>
          <w:rFonts w:hint="default" w:ascii="Times New Roman" w:hAnsi="Times New Roman" w:eastAsia="仿宋_GB2312"/>
          <w:color w:val="000000"/>
          <w:sz w:val="32"/>
          <w:szCs w:val="32"/>
          <w:highlight w:val="none"/>
          <w:lang w:val="en-US" w:eastAsia="zh-CN"/>
        </w:rPr>
        <w:t>入园</w:t>
      </w:r>
      <w:r>
        <w:rPr>
          <w:rFonts w:hint="eastAsia" w:ascii="Times New Roman" w:hAnsi="Times New Roman" w:eastAsia="仿宋_GB2312"/>
          <w:color w:val="000000"/>
          <w:sz w:val="32"/>
          <w:szCs w:val="32"/>
          <w:highlight w:val="none"/>
          <w:lang w:val="en-US" w:eastAsia="zh-CN"/>
        </w:rPr>
        <w:t>主体</w:t>
      </w:r>
      <w:r>
        <w:rPr>
          <w:rFonts w:hint="default" w:ascii="Times New Roman" w:hAnsi="Times New Roman" w:eastAsia="仿宋_GB2312"/>
          <w:color w:val="000000"/>
          <w:sz w:val="32"/>
          <w:szCs w:val="32"/>
          <w:highlight w:val="none"/>
          <w:lang w:val="en-US" w:eastAsia="zh-CN"/>
        </w:rPr>
        <w:t>应依法取得开展生产经营活动所需的全部行政许可和资质，并在许可范围内从事经营活动。严格遵守市场经营、税收管理、劳动保障、知识产权、进出口贸易、合同履约等方面的法律法规，杜绝商业欺诈、不正当竞争、偷税漏税、侵犯他人合法权益等违法行为。</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第十</w:t>
      </w:r>
      <w:r>
        <w:rPr>
          <w:rFonts w:hint="eastAsia" w:ascii="Times New Roman" w:hAnsi="Times New Roman" w:eastAsia="仿宋_GB2312"/>
          <w:b/>
          <w:bCs/>
          <w:color w:val="000000"/>
          <w:sz w:val="32"/>
          <w:szCs w:val="32"/>
          <w:highlight w:val="none"/>
          <w:lang w:val="en-US" w:eastAsia="zh-CN"/>
        </w:rPr>
        <w:t>六</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投资建设履约责任</w:t>
      </w:r>
      <w:r>
        <w:rPr>
          <w:rFonts w:hint="eastAsia" w:ascii="Times New Roman" w:hAnsi="Times New Roman" w:eastAsia="仿宋_GB2312"/>
          <w:color w:val="000000"/>
          <w:sz w:val="32"/>
          <w:szCs w:val="32"/>
          <w:highlight w:val="none"/>
          <w:lang w:val="en-US" w:eastAsia="zh-CN"/>
        </w:rPr>
        <w:t>。入园项目建设主体</w:t>
      </w:r>
      <w:r>
        <w:rPr>
          <w:rFonts w:hint="default" w:ascii="Times New Roman" w:hAnsi="Times New Roman" w:eastAsia="仿宋_GB2312"/>
          <w:color w:val="000000"/>
          <w:sz w:val="32"/>
          <w:szCs w:val="32"/>
          <w:highlight w:val="none"/>
          <w:lang w:val="en-US" w:eastAsia="zh-CN"/>
        </w:rPr>
        <w:t>应按照项目入园</w:t>
      </w:r>
      <w:r>
        <w:rPr>
          <w:rFonts w:hint="eastAsia" w:ascii="Times New Roman" w:hAnsi="Times New Roman" w:eastAsia="仿宋_GB2312"/>
          <w:color w:val="000000"/>
          <w:sz w:val="32"/>
          <w:szCs w:val="32"/>
          <w:highlight w:val="none"/>
          <w:lang w:val="en-US" w:eastAsia="zh-CN"/>
        </w:rPr>
        <w:t>要求</w:t>
      </w:r>
      <w:r>
        <w:rPr>
          <w:rFonts w:hint="default" w:ascii="Times New Roman" w:hAnsi="Times New Roman" w:eastAsia="仿宋_GB2312"/>
          <w:color w:val="000000"/>
          <w:sz w:val="32"/>
          <w:szCs w:val="32"/>
          <w:highlight w:val="none"/>
          <w:lang w:val="en-US" w:eastAsia="zh-CN"/>
        </w:rPr>
        <w:t>、投资协议、土地出让合同等约定，履行以下义务：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color w:val="000000"/>
          <w:sz w:val="32"/>
          <w:szCs w:val="32"/>
          <w:highlight w:val="none"/>
          <w:lang w:val="en-US" w:eastAsia="zh-CN"/>
        </w:rPr>
        <w:t>（一）按照约定或核准的投资规模、建设内容、技术标准和进度要求，进行项目建设和设备投入，确保项目按期开工、建设、竣工和投产。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color w:val="000000"/>
          <w:sz w:val="32"/>
          <w:szCs w:val="32"/>
          <w:highlight w:val="none"/>
          <w:lang w:val="en-US" w:eastAsia="zh-CN"/>
        </w:rPr>
        <w:t>（二）确保项目达到本制度第二章规定的“标准地”控制指标及相关行业标准要求。</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w:t>
      </w:r>
      <w:r>
        <w:rPr>
          <w:rFonts w:hint="eastAsia" w:ascii="Times New Roman" w:hAnsi="Times New Roman" w:eastAsia="仿宋_GB2312"/>
          <w:b/>
          <w:bCs/>
          <w:color w:val="000000"/>
          <w:sz w:val="32"/>
          <w:szCs w:val="32"/>
          <w:highlight w:val="none"/>
          <w:lang w:val="en-US" w:eastAsia="zh-CN"/>
        </w:rPr>
        <w:t>十七</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安全生产主体责任</w:t>
      </w:r>
      <w:r>
        <w:rPr>
          <w:rFonts w:hint="eastAsia" w:ascii="Times New Roman" w:hAnsi="Times New Roman" w:eastAsia="仿宋_GB2312"/>
          <w:color w:val="000000"/>
          <w:sz w:val="32"/>
          <w:szCs w:val="32"/>
          <w:highlight w:val="none"/>
          <w:lang w:val="en-US" w:eastAsia="zh-CN"/>
        </w:rPr>
        <w:t>。</w:t>
      </w:r>
      <w:r>
        <w:rPr>
          <w:rFonts w:hint="default" w:ascii="Times New Roman" w:hAnsi="Times New Roman" w:eastAsia="仿宋_GB2312"/>
          <w:color w:val="000000"/>
          <w:sz w:val="32"/>
          <w:szCs w:val="32"/>
          <w:highlight w:val="none"/>
          <w:lang w:val="en-US" w:eastAsia="zh-CN"/>
        </w:rPr>
        <w:t>入园</w:t>
      </w:r>
      <w:r>
        <w:rPr>
          <w:rFonts w:hint="eastAsia" w:ascii="Times New Roman" w:hAnsi="Times New Roman" w:eastAsia="仿宋_GB2312"/>
          <w:color w:val="000000"/>
          <w:sz w:val="32"/>
          <w:szCs w:val="32"/>
          <w:highlight w:val="none"/>
          <w:lang w:val="en-US" w:eastAsia="zh-CN"/>
        </w:rPr>
        <w:t>主体</w:t>
      </w:r>
      <w:r>
        <w:rPr>
          <w:rFonts w:hint="default" w:ascii="Times New Roman" w:hAnsi="Times New Roman" w:eastAsia="仿宋_GB2312"/>
          <w:color w:val="000000"/>
          <w:sz w:val="32"/>
          <w:szCs w:val="32"/>
          <w:highlight w:val="none"/>
          <w:lang w:val="en-US" w:eastAsia="zh-CN"/>
        </w:rPr>
        <w:t>必须严格遵守《中华人民共和国安全生产法》等法律法规，落实安全生产主体责任，履行以下义务：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color w:val="000000"/>
          <w:sz w:val="32"/>
          <w:szCs w:val="32"/>
          <w:highlight w:val="none"/>
          <w:lang w:val="en-US" w:eastAsia="zh-CN"/>
        </w:rPr>
        <w:t>（一）建立健全全员安全生产责任制和安全生产规章制度</w:t>
      </w:r>
      <w:r>
        <w:rPr>
          <w:rFonts w:hint="eastAsia" w:ascii="Times New Roman" w:hAnsi="Times New Roman" w:eastAsia="仿宋_GB2312"/>
          <w:color w:val="000000"/>
          <w:sz w:val="32"/>
          <w:szCs w:val="32"/>
          <w:highlight w:val="none"/>
          <w:lang w:val="en-US" w:eastAsia="zh-CN"/>
        </w:rPr>
        <w:t>，</w:t>
      </w:r>
      <w:r>
        <w:rPr>
          <w:rFonts w:hint="default" w:ascii="Times New Roman" w:hAnsi="Times New Roman" w:eastAsia="仿宋_GB2312"/>
          <w:color w:val="000000"/>
          <w:sz w:val="32"/>
          <w:szCs w:val="32"/>
          <w:highlight w:val="none"/>
          <w:lang w:val="en-US" w:eastAsia="zh-CN"/>
        </w:rPr>
        <w:t>按规定设置安全生产管理机构或配备安全生产管理人员</w:t>
      </w:r>
      <w:r>
        <w:rPr>
          <w:rFonts w:hint="eastAsia" w:ascii="Times New Roman" w:hAnsi="Times New Roman" w:eastAsia="仿宋_GB2312"/>
          <w:color w:val="000000"/>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color w:val="000000"/>
          <w:sz w:val="32"/>
          <w:szCs w:val="32"/>
          <w:highlight w:val="none"/>
          <w:lang w:val="en-US" w:eastAsia="zh-CN"/>
        </w:rPr>
        <w:t>（</w:t>
      </w:r>
      <w:r>
        <w:rPr>
          <w:rFonts w:hint="eastAsia" w:ascii="Times New Roman" w:hAnsi="Times New Roman" w:eastAsia="仿宋_GB2312"/>
          <w:color w:val="000000"/>
          <w:sz w:val="32"/>
          <w:szCs w:val="32"/>
          <w:highlight w:val="none"/>
          <w:lang w:val="en-US" w:eastAsia="zh-CN"/>
        </w:rPr>
        <w:t>二</w:t>
      </w:r>
      <w:r>
        <w:rPr>
          <w:rFonts w:hint="default" w:ascii="Times New Roman" w:hAnsi="Times New Roman" w:eastAsia="仿宋_GB2312"/>
          <w:color w:val="000000"/>
          <w:sz w:val="32"/>
          <w:szCs w:val="32"/>
          <w:highlight w:val="none"/>
          <w:lang w:val="en-US" w:eastAsia="zh-CN"/>
        </w:rPr>
        <w:t>）</w:t>
      </w:r>
      <w:r>
        <w:rPr>
          <w:rFonts w:hint="eastAsia" w:ascii="Times New Roman" w:hAnsi="Times New Roman" w:eastAsia="仿宋_GB2312"/>
          <w:color w:val="000000"/>
          <w:sz w:val="32"/>
          <w:szCs w:val="32"/>
          <w:highlight w:val="none"/>
          <w:lang w:val="en-US" w:eastAsia="zh-CN"/>
        </w:rPr>
        <w:t>自行开展或参加边合区管委会组织的</w:t>
      </w:r>
      <w:r>
        <w:rPr>
          <w:rFonts w:hint="default" w:ascii="Times New Roman" w:hAnsi="Times New Roman" w:eastAsia="仿宋_GB2312"/>
          <w:color w:val="000000"/>
          <w:sz w:val="32"/>
          <w:szCs w:val="32"/>
          <w:highlight w:val="none"/>
          <w:lang w:val="en-US" w:eastAsia="zh-CN"/>
        </w:rPr>
        <w:t>安全生产教育培训，组织实施安全风险分级管控和隐患排查治理双重预防机制</w:t>
      </w:r>
      <w:r>
        <w:rPr>
          <w:rFonts w:hint="eastAsia" w:ascii="Times New Roman" w:hAnsi="Times New Roman" w:eastAsia="仿宋_GB2312"/>
          <w:color w:val="000000"/>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color w:val="000000"/>
          <w:sz w:val="32"/>
          <w:szCs w:val="32"/>
          <w:highlight w:val="none"/>
          <w:lang w:val="en-US" w:eastAsia="zh-CN"/>
        </w:rPr>
        <w:t>（</w:t>
      </w:r>
      <w:r>
        <w:rPr>
          <w:rFonts w:hint="eastAsia" w:ascii="Times New Roman" w:hAnsi="Times New Roman" w:eastAsia="仿宋_GB2312"/>
          <w:color w:val="000000"/>
          <w:sz w:val="32"/>
          <w:szCs w:val="32"/>
          <w:highlight w:val="none"/>
          <w:lang w:val="en-US" w:eastAsia="zh-CN"/>
        </w:rPr>
        <w:t>三</w:t>
      </w:r>
      <w:r>
        <w:rPr>
          <w:rFonts w:hint="default" w:ascii="Times New Roman" w:hAnsi="Times New Roman" w:eastAsia="仿宋_GB2312"/>
          <w:color w:val="000000"/>
          <w:sz w:val="32"/>
          <w:szCs w:val="32"/>
          <w:highlight w:val="none"/>
          <w:lang w:val="en-US" w:eastAsia="zh-CN"/>
        </w:rPr>
        <w:t>）制定并实施生产安全事故应急救援预案，定期组织演练。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color w:val="000000"/>
          <w:sz w:val="32"/>
          <w:szCs w:val="32"/>
          <w:highlight w:val="none"/>
          <w:lang w:val="en-US" w:eastAsia="zh-CN"/>
        </w:rPr>
        <w:t>（</w:t>
      </w:r>
      <w:r>
        <w:rPr>
          <w:rFonts w:hint="eastAsia" w:ascii="Times New Roman" w:hAnsi="Times New Roman" w:eastAsia="仿宋_GB2312"/>
          <w:color w:val="000000"/>
          <w:sz w:val="32"/>
          <w:szCs w:val="32"/>
          <w:highlight w:val="none"/>
          <w:lang w:val="en-US" w:eastAsia="zh-CN"/>
        </w:rPr>
        <w:t>四</w:t>
      </w:r>
      <w:r>
        <w:rPr>
          <w:rFonts w:hint="default" w:ascii="Times New Roman" w:hAnsi="Times New Roman" w:eastAsia="仿宋_GB2312"/>
          <w:color w:val="000000"/>
          <w:sz w:val="32"/>
          <w:szCs w:val="32"/>
          <w:highlight w:val="none"/>
          <w:lang w:val="en-US" w:eastAsia="zh-CN"/>
        </w:rPr>
        <w:t>）</w:t>
      </w:r>
      <w:r>
        <w:rPr>
          <w:rFonts w:hint="eastAsia" w:ascii="Times New Roman" w:hAnsi="Times New Roman" w:eastAsia="仿宋_GB2312"/>
          <w:color w:val="000000"/>
          <w:sz w:val="32"/>
          <w:szCs w:val="32"/>
          <w:highlight w:val="none"/>
          <w:lang w:val="en-US" w:eastAsia="zh-CN"/>
        </w:rPr>
        <w:t>如发生生产安全事故，应</w:t>
      </w:r>
      <w:r>
        <w:rPr>
          <w:rFonts w:hint="default" w:ascii="Times New Roman" w:hAnsi="Times New Roman" w:eastAsia="仿宋_GB2312"/>
          <w:color w:val="000000"/>
          <w:sz w:val="32"/>
          <w:szCs w:val="32"/>
          <w:highlight w:val="none"/>
          <w:lang w:val="en-US" w:eastAsia="zh-CN"/>
        </w:rPr>
        <w:t>及时、如实</w:t>
      </w:r>
      <w:r>
        <w:rPr>
          <w:rFonts w:hint="eastAsia" w:ascii="Times New Roman" w:hAnsi="Times New Roman" w:eastAsia="仿宋_GB2312"/>
          <w:color w:val="000000"/>
          <w:sz w:val="32"/>
          <w:szCs w:val="32"/>
          <w:highlight w:val="none"/>
          <w:lang w:val="en-US" w:eastAsia="zh-CN"/>
        </w:rPr>
        <w:t>向边合区管委会</w:t>
      </w:r>
      <w:r>
        <w:rPr>
          <w:rFonts w:hint="default" w:ascii="Times New Roman" w:hAnsi="Times New Roman" w:eastAsia="仿宋_GB2312"/>
          <w:color w:val="000000"/>
          <w:sz w:val="32"/>
          <w:szCs w:val="32"/>
          <w:highlight w:val="none"/>
          <w:lang w:val="en-US" w:eastAsia="zh-CN"/>
        </w:rPr>
        <w:t>报告，并配合事故调查处理。</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w:t>
      </w:r>
      <w:r>
        <w:rPr>
          <w:rFonts w:hint="eastAsia" w:ascii="Times New Roman" w:hAnsi="Times New Roman" w:eastAsia="仿宋_GB2312"/>
          <w:b/>
          <w:bCs/>
          <w:color w:val="000000"/>
          <w:sz w:val="32"/>
          <w:szCs w:val="32"/>
          <w:highlight w:val="none"/>
          <w:lang w:val="en-US" w:eastAsia="zh-CN"/>
        </w:rPr>
        <w:t>十八</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生态环境保护责任</w:t>
      </w:r>
      <w:r>
        <w:rPr>
          <w:rFonts w:hint="eastAsia" w:ascii="Times New Roman" w:hAnsi="Times New Roman" w:eastAsia="仿宋_GB2312"/>
          <w:color w:val="000000"/>
          <w:sz w:val="32"/>
          <w:szCs w:val="32"/>
          <w:highlight w:val="none"/>
          <w:lang w:val="en-US" w:eastAsia="zh-CN"/>
        </w:rPr>
        <w:t>。</w:t>
      </w:r>
      <w:r>
        <w:rPr>
          <w:rFonts w:hint="default" w:ascii="Times New Roman" w:hAnsi="Times New Roman" w:eastAsia="仿宋_GB2312"/>
          <w:color w:val="000000"/>
          <w:sz w:val="32"/>
          <w:szCs w:val="32"/>
          <w:highlight w:val="none"/>
          <w:lang w:val="en-US" w:eastAsia="zh-CN"/>
        </w:rPr>
        <w:t>入园</w:t>
      </w:r>
      <w:r>
        <w:rPr>
          <w:rFonts w:hint="eastAsia" w:ascii="Times New Roman" w:hAnsi="Times New Roman" w:eastAsia="仿宋_GB2312"/>
          <w:color w:val="000000"/>
          <w:sz w:val="32"/>
          <w:szCs w:val="32"/>
          <w:highlight w:val="none"/>
          <w:lang w:val="en-US" w:eastAsia="zh-CN"/>
        </w:rPr>
        <w:t>主体</w:t>
      </w:r>
      <w:r>
        <w:rPr>
          <w:rFonts w:hint="default" w:ascii="Times New Roman" w:hAnsi="Times New Roman" w:eastAsia="仿宋_GB2312"/>
          <w:color w:val="000000"/>
          <w:sz w:val="32"/>
          <w:szCs w:val="32"/>
          <w:highlight w:val="none"/>
          <w:lang w:val="en-US" w:eastAsia="zh-CN"/>
        </w:rPr>
        <w:t>必须严格遵守《中华人民共和国环境保护法》等法律法规</w:t>
      </w:r>
      <w:r>
        <w:rPr>
          <w:rFonts w:hint="eastAsia" w:ascii="Times New Roman" w:hAnsi="Times New Roman" w:eastAsia="仿宋_GB2312"/>
          <w:color w:val="000000"/>
          <w:sz w:val="32"/>
          <w:szCs w:val="32"/>
          <w:highlight w:val="none"/>
          <w:lang w:val="en-US" w:eastAsia="zh-CN"/>
        </w:rPr>
        <w:t>及省、市、县各项规章制度</w:t>
      </w:r>
      <w:r>
        <w:rPr>
          <w:rFonts w:hint="default" w:ascii="Times New Roman" w:hAnsi="Times New Roman" w:eastAsia="仿宋_GB2312"/>
          <w:color w:val="000000"/>
          <w:sz w:val="32"/>
          <w:szCs w:val="32"/>
          <w:highlight w:val="none"/>
          <w:lang w:val="en-US" w:eastAsia="zh-CN"/>
        </w:rPr>
        <w:t>，落实生态环境保护主体责任，严格执行建设项目环境影响评</w:t>
      </w:r>
      <w:r>
        <w:rPr>
          <w:rFonts w:hint="eastAsia" w:ascii="Times New Roman" w:hAnsi="Times New Roman" w:eastAsia="仿宋_GB2312"/>
          <w:color w:val="000000"/>
          <w:sz w:val="32"/>
          <w:szCs w:val="32"/>
          <w:highlight w:val="none"/>
          <w:lang w:val="en-US" w:eastAsia="zh-CN"/>
        </w:rPr>
        <w:t>价，</w:t>
      </w:r>
      <w:r>
        <w:rPr>
          <w:rFonts w:hint="default" w:ascii="Times New Roman" w:hAnsi="Times New Roman" w:eastAsia="仿宋_GB2312"/>
          <w:color w:val="000000"/>
          <w:sz w:val="32"/>
          <w:szCs w:val="32"/>
          <w:highlight w:val="none"/>
          <w:lang w:val="en-US" w:eastAsia="zh-CN"/>
        </w:rPr>
        <w:t>建立健全环境管理制度和台账，制定环境风险应急预案，防止环境污染和生态破坏事件发生</w:t>
      </w:r>
      <w:r>
        <w:rPr>
          <w:rFonts w:hint="eastAsia" w:ascii="Times New Roman" w:hAnsi="Times New Roman" w:eastAsia="仿宋_GB2312"/>
          <w:color w:val="000000"/>
          <w:sz w:val="32"/>
          <w:szCs w:val="32"/>
          <w:highlight w:val="none"/>
          <w:lang w:val="en-US" w:eastAsia="zh-CN"/>
        </w:rPr>
        <w:t>，</w:t>
      </w:r>
      <w:r>
        <w:rPr>
          <w:rFonts w:hint="default" w:ascii="Times New Roman" w:hAnsi="Times New Roman" w:eastAsia="仿宋_GB2312"/>
          <w:color w:val="000000"/>
          <w:sz w:val="32"/>
          <w:szCs w:val="32"/>
          <w:highlight w:val="none"/>
          <w:lang w:val="en-US" w:eastAsia="zh-CN"/>
        </w:rPr>
        <w:t>接受并配合</w:t>
      </w:r>
      <w:r>
        <w:rPr>
          <w:rFonts w:hint="eastAsia" w:ascii="Times New Roman" w:hAnsi="Times New Roman" w:eastAsia="仿宋_GB2312"/>
          <w:color w:val="000000"/>
          <w:sz w:val="32"/>
          <w:szCs w:val="32"/>
          <w:highlight w:val="none"/>
          <w:lang w:val="en-US" w:eastAsia="zh-CN"/>
        </w:rPr>
        <w:t>边合区管委会及</w:t>
      </w:r>
      <w:r>
        <w:rPr>
          <w:rFonts w:hint="default" w:ascii="Times New Roman" w:hAnsi="Times New Roman" w:eastAsia="仿宋_GB2312"/>
          <w:color w:val="000000"/>
          <w:sz w:val="32"/>
          <w:szCs w:val="32"/>
          <w:highlight w:val="none"/>
          <w:lang w:val="en-US" w:eastAsia="zh-CN"/>
        </w:rPr>
        <w:t>生态环境部门的监督检查。</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w:t>
      </w:r>
      <w:r>
        <w:rPr>
          <w:rFonts w:hint="eastAsia" w:ascii="Times New Roman" w:hAnsi="Times New Roman" w:eastAsia="仿宋_GB2312"/>
          <w:b/>
          <w:bCs/>
          <w:color w:val="000000"/>
          <w:sz w:val="32"/>
          <w:szCs w:val="32"/>
          <w:highlight w:val="none"/>
          <w:lang w:val="en-US" w:eastAsia="zh-CN"/>
        </w:rPr>
        <w:t>十九</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数据报送与统计义务</w:t>
      </w:r>
      <w:r>
        <w:rPr>
          <w:rFonts w:hint="eastAsia" w:ascii="Times New Roman" w:hAnsi="Times New Roman" w:eastAsia="仿宋_GB2312"/>
          <w:color w:val="000000"/>
          <w:sz w:val="32"/>
          <w:szCs w:val="32"/>
          <w:highlight w:val="none"/>
          <w:lang w:val="en-US" w:eastAsia="zh-CN"/>
        </w:rPr>
        <w:t>。</w:t>
      </w:r>
      <w:r>
        <w:rPr>
          <w:rFonts w:hint="default" w:ascii="Times New Roman" w:hAnsi="Times New Roman" w:eastAsia="仿宋_GB2312"/>
          <w:color w:val="000000"/>
          <w:sz w:val="32"/>
          <w:szCs w:val="32"/>
          <w:highlight w:val="none"/>
          <w:lang w:val="en-US" w:eastAsia="zh-CN"/>
        </w:rPr>
        <w:t>入园</w:t>
      </w:r>
      <w:r>
        <w:rPr>
          <w:rFonts w:hint="eastAsia" w:ascii="Times New Roman" w:hAnsi="Times New Roman" w:eastAsia="仿宋_GB2312"/>
          <w:color w:val="000000"/>
          <w:sz w:val="32"/>
          <w:szCs w:val="32"/>
          <w:highlight w:val="none"/>
          <w:lang w:val="en-US" w:eastAsia="zh-CN"/>
        </w:rPr>
        <w:t>主体</w:t>
      </w:r>
      <w:r>
        <w:rPr>
          <w:rFonts w:hint="default" w:ascii="Times New Roman" w:hAnsi="Times New Roman" w:eastAsia="仿宋_GB2312"/>
          <w:color w:val="000000"/>
          <w:sz w:val="32"/>
          <w:szCs w:val="32"/>
          <w:highlight w:val="none"/>
          <w:lang w:val="en-US" w:eastAsia="zh-CN"/>
        </w:rPr>
        <w:t>应按照《中华人民共和国统计法》及边合区管委会、统计部门的要求，确定专人负责，及时、准确、完整地报送各类统计报表和经济运行数据，不虚报、瞒报、拒报、迟报。</w:t>
      </w:r>
      <w:r>
        <w:rPr>
          <w:rFonts w:hint="eastAsia" w:ascii="Times New Roman" w:hAnsi="Times New Roman" w:eastAsia="仿宋_GB2312"/>
          <w:color w:val="000000"/>
          <w:sz w:val="32"/>
          <w:szCs w:val="32"/>
          <w:highlight w:val="none"/>
          <w:lang w:val="en-US" w:eastAsia="zh-CN"/>
        </w:rPr>
        <w:t>数据接收部门对所接收数据需严格保密。边合区管委会对在数据收集、管理中知悉的企业商业秘密、能够识别或推断单个统计调查对象身份的资料，应当严格依照《中华人民共和国统计法》第十一条、第二十八条规定承担保密义务，严禁泄露、向他人非法提供，不得用于统计以外的目的。</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w:t>
      </w:r>
      <w:r>
        <w:rPr>
          <w:rFonts w:hint="eastAsia" w:ascii="Times New Roman" w:hAnsi="Times New Roman" w:eastAsia="仿宋_GB2312"/>
          <w:b/>
          <w:bCs/>
          <w:color w:val="000000"/>
          <w:sz w:val="32"/>
          <w:szCs w:val="32"/>
          <w:highlight w:val="none"/>
          <w:lang w:val="en-US" w:eastAsia="zh-CN"/>
        </w:rPr>
        <w:t>二十</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配合义务</w:t>
      </w:r>
      <w:r>
        <w:rPr>
          <w:rFonts w:hint="eastAsia" w:ascii="Times New Roman" w:hAnsi="Times New Roman" w:eastAsia="仿宋_GB2312"/>
          <w:color w:val="000000"/>
          <w:sz w:val="32"/>
          <w:szCs w:val="32"/>
          <w:highlight w:val="none"/>
          <w:lang w:val="en-US" w:eastAsia="zh-CN"/>
        </w:rPr>
        <w:t>。</w:t>
      </w:r>
      <w:r>
        <w:rPr>
          <w:rFonts w:hint="default" w:ascii="Times New Roman" w:hAnsi="Times New Roman" w:eastAsia="仿宋_GB2312"/>
          <w:color w:val="000000"/>
          <w:sz w:val="32"/>
          <w:szCs w:val="32"/>
          <w:highlight w:val="none"/>
          <w:lang w:val="en-US" w:eastAsia="zh-CN"/>
        </w:rPr>
        <w:t>入园</w:t>
      </w:r>
      <w:r>
        <w:rPr>
          <w:rFonts w:hint="eastAsia" w:ascii="Times New Roman" w:hAnsi="Times New Roman" w:eastAsia="仿宋_GB2312"/>
          <w:color w:val="000000"/>
          <w:sz w:val="32"/>
          <w:szCs w:val="32"/>
          <w:highlight w:val="none"/>
          <w:lang w:val="en-US" w:eastAsia="zh-CN"/>
        </w:rPr>
        <w:t>主体</w:t>
      </w:r>
      <w:r>
        <w:rPr>
          <w:rFonts w:hint="default" w:ascii="Times New Roman" w:hAnsi="Times New Roman" w:eastAsia="仿宋_GB2312"/>
          <w:color w:val="000000"/>
          <w:sz w:val="32"/>
          <w:szCs w:val="32"/>
          <w:highlight w:val="none"/>
          <w:lang w:val="en-US" w:eastAsia="zh-CN"/>
        </w:rPr>
        <w:t>应积极支持和配合边合区管委会组织的政策调研、数据收集、活动举办、宣传推广、应急管理、公共事务协调等相关工作。园区</w:t>
      </w:r>
      <w:r>
        <w:rPr>
          <w:rFonts w:hint="eastAsia" w:ascii="Times New Roman" w:hAnsi="Times New Roman" w:eastAsia="仿宋_GB2312"/>
          <w:color w:val="000000"/>
          <w:sz w:val="32"/>
          <w:szCs w:val="32"/>
          <w:highlight w:val="none"/>
          <w:lang w:val="en-US" w:eastAsia="zh-CN"/>
        </w:rPr>
        <w:t>确有必要</w:t>
      </w:r>
      <w:r>
        <w:rPr>
          <w:rFonts w:hint="default" w:ascii="Times New Roman" w:hAnsi="Times New Roman" w:eastAsia="仿宋_GB2312"/>
          <w:color w:val="000000"/>
          <w:sz w:val="32"/>
          <w:szCs w:val="32"/>
          <w:highlight w:val="none"/>
          <w:lang w:val="en-US" w:eastAsia="zh-CN"/>
        </w:rPr>
        <w:t>时，</w:t>
      </w:r>
      <w:r>
        <w:rPr>
          <w:rFonts w:hint="eastAsia" w:ascii="Times New Roman" w:hAnsi="Times New Roman" w:eastAsia="仿宋_GB2312"/>
          <w:color w:val="000000"/>
          <w:sz w:val="32"/>
          <w:szCs w:val="32"/>
          <w:highlight w:val="none"/>
          <w:lang w:val="en-US" w:eastAsia="zh-CN"/>
        </w:rPr>
        <w:t>入园主体</w:t>
      </w:r>
      <w:r>
        <w:rPr>
          <w:rFonts w:hint="default" w:ascii="Times New Roman" w:hAnsi="Times New Roman" w:eastAsia="仿宋_GB2312"/>
          <w:color w:val="000000"/>
          <w:sz w:val="32"/>
          <w:szCs w:val="32"/>
          <w:highlight w:val="none"/>
          <w:lang w:val="en-US" w:eastAsia="zh-CN"/>
        </w:rPr>
        <w:t>应予以必要的协助。</w:t>
      </w:r>
      <w:r>
        <w:rPr>
          <w:rFonts w:hint="eastAsia" w:ascii="Times New Roman" w:hAnsi="Times New Roman" w:eastAsia="仿宋_GB2312"/>
          <w:color w:val="000000"/>
          <w:sz w:val="32"/>
          <w:szCs w:val="32"/>
          <w:highlight w:val="none"/>
          <w:lang w:val="en-US" w:eastAsia="zh-CN"/>
        </w:rPr>
        <w:t>边合区管委会应严格遵循为企减负，不得以上述名义频繁要求影响入园主体正常建设及生产经营活动。</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仿宋_GB2312"/>
          <w:color w:val="00000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黑体" w:hAnsi="黑体" w:eastAsia="黑体" w:cs="黑体"/>
          <w:color w:val="000000"/>
          <w:kern w:val="2"/>
          <w:sz w:val="32"/>
          <w:szCs w:val="32"/>
          <w:highlight w:val="none"/>
          <w:lang w:val="en-US" w:eastAsia="zh-CN" w:bidi="ar-SA"/>
        </w:rPr>
      </w:pPr>
      <w:r>
        <w:rPr>
          <w:rFonts w:hint="eastAsia" w:ascii="黑体" w:hAnsi="黑体" w:eastAsia="黑体" w:cs="黑体"/>
          <w:color w:val="000000"/>
          <w:kern w:val="2"/>
          <w:sz w:val="32"/>
          <w:szCs w:val="32"/>
          <w:highlight w:val="none"/>
          <w:lang w:val="en-US" w:eastAsia="zh-CN" w:bidi="ar-SA"/>
        </w:rPr>
        <w:t>第五章 入园服务管理</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b/>
          <w:bCs/>
          <w:color w:val="000000"/>
          <w:sz w:val="32"/>
          <w:szCs w:val="32"/>
          <w:highlight w:val="none"/>
          <w:lang w:val="en-US" w:eastAsia="zh-CN"/>
        </w:rPr>
        <w:t>第二十一条</w:t>
      </w:r>
      <w:r>
        <w:rPr>
          <w:rFonts w:hint="eastAsia" w:ascii="Times New Roman" w:hAnsi="Times New Roman" w:eastAsia="仿宋_GB2312"/>
          <w:color w:val="000000"/>
          <w:sz w:val="32"/>
          <w:szCs w:val="32"/>
          <w:highlight w:val="none"/>
          <w:lang w:val="en-US" w:eastAsia="zh-CN"/>
        </w:rPr>
        <w:t xml:space="preserve"> 服务宗旨与目标。边合区管委会坚持以企业需求为导向，以优化营商环境为核心，为入园项目和企业提供高效、便捷、规范、透明的全周期服务，保障项目顺利推进与企业健康发展，提升边合区综合竞争力和吸引力。</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b/>
          <w:bCs/>
          <w:color w:val="000000"/>
          <w:sz w:val="32"/>
          <w:szCs w:val="32"/>
          <w:highlight w:val="none"/>
          <w:lang w:val="en-US" w:eastAsia="zh-CN"/>
        </w:rPr>
        <w:t>第二十二条</w:t>
      </w:r>
      <w:r>
        <w:rPr>
          <w:rFonts w:hint="eastAsia" w:ascii="Times New Roman" w:hAnsi="Times New Roman" w:eastAsia="仿宋_GB2312"/>
          <w:color w:val="000000"/>
          <w:sz w:val="32"/>
          <w:szCs w:val="32"/>
          <w:highlight w:val="none"/>
          <w:lang w:val="en-US" w:eastAsia="zh-CN"/>
        </w:rPr>
        <w:t xml:space="preserve"> 服务内容。边合区管委会为入园项目和企业提供以下主要服务：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（一）政策咨询与传达服务。及时向企业宣传、解读国家、省、市、县及边合区出台的各项产业、投资、税收、人才、外贸等优惠政策，提供针对性政策辅导。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二）行政审批协调服务。为入园项目和企业办理立项、规划、用地、环评、建设、消防、工商登记等行政审批事项提供咨询、指导与协调服务。实行帮办代办工作机制，根据企业委托，协助准备相关材料，跟踪办理进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color w:val="000000"/>
          <w:sz w:val="32"/>
          <w:szCs w:val="32"/>
          <w:highlight w:val="none"/>
          <w:lang w:val="en-US" w:eastAsia="zh-CN"/>
        </w:rPr>
        <w:t>（三）建设与生产经营协调服务：协助企业解决在项目建设、竣工验收及后续生产经营过程中遇到的用工、用电、用水、融资、市场开拓等方面的困难与问题。边合区管委会应定期走访企业，主动了解诉求。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黑体" w:hAnsi="黑体" w:eastAsia="黑体" w:cs="黑体"/>
          <w:color w:val="000000"/>
          <w:kern w:val="2"/>
          <w:sz w:val="32"/>
          <w:szCs w:val="32"/>
          <w:highlight w:val="none"/>
          <w:lang w:val="en-US" w:eastAsia="zh-CN" w:bidi="ar-SA"/>
        </w:rPr>
      </w:pPr>
      <w:r>
        <w:rPr>
          <w:rFonts w:hint="eastAsia" w:ascii="Times New Roman" w:hAnsi="Times New Roman" w:eastAsia="仿宋_GB2312"/>
          <w:color w:val="000000"/>
          <w:sz w:val="32"/>
          <w:szCs w:val="32"/>
          <w:highlight w:val="none"/>
          <w:lang w:val="en-US" w:eastAsia="zh-CN"/>
        </w:rPr>
        <w:t>（四）其他服务。包括：人力资源、公共服务、资金争取、交流合作、纠纷调解等。</w: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黑体" w:hAnsi="黑体" w:eastAsia="黑体" w:cs="黑体"/>
          <w:color w:val="000000"/>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黑体" w:hAnsi="黑体" w:eastAsia="黑体" w:cs="黑体"/>
          <w:color w:val="000000"/>
          <w:kern w:val="2"/>
          <w:sz w:val="32"/>
          <w:szCs w:val="32"/>
          <w:highlight w:val="none"/>
          <w:lang w:val="en-US" w:eastAsia="zh-CN" w:bidi="ar-SA"/>
        </w:rPr>
      </w:pPr>
      <w:r>
        <w:rPr>
          <w:rFonts w:hint="eastAsia" w:ascii="黑体" w:hAnsi="黑体" w:eastAsia="黑体" w:cs="黑体"/>
          <w:color w:val="000000"/>
          <w:kern w:val="2"/>
          <w:sz w:val="32"/>
          <w:szCs w:val="32"/>
          <w:highlight w:val="none"/>
          <w:lang w:val="en-US" w:eastAsia="zh-CN" w:bidi="ar-SA"/>
        </w:rPr>
        <w:t>第六章  园区人才管理</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b/>
          <w:bCs/>
          <w:color w:val="000000"/>
          <w:sz w:val="32"/>
          <w:szCs w:val="32"/>
          <w:highlight w:val="none"/>
          <w:lang w:val="en-US" w:eastAsia="zh-CN"/>
        </w:rPr>
        <w:t>第二十三条</w:t>
      </w:r>
      <w:r>
        <w:rPr>
          <w:rFonts w:hint="eastAsia" w:ascii="Times New Roman" w:hAnsi="Times New Roman" w:eastAsia="仿宋_GB2312"/>
          <w:color w:val="000000"/>
          <w:sz w:val="32"/>
          <w:szCs w:val="32"/>
          <w:highlight w:val="none"/>
          <w:lang w:val="en-US" w:eastAsia="zh-CN"/>
        </w:rPr>
        <w:t xml:space="preserve">  根据《中华人民共和国公务员法》《公务员录用规定》《事业单位公开招聘人员暂行规定》《关于进一步做好事业单位公开招聘工作的通知》《云南省事业单位公开招聘工作人员办法》及市级转任（调配）相关规定，通过公开招考或者转任（调配）选拔录用边合区管委会人才。</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eastAsia" w:ascii="Times New Roman" w:hAnsi="Times New Roman" w:eastAsia="仿宋_GB2312"/>
          <w:color w:val="000000"/>
          <w:sz w:val="32"/>
          <w:szCs w:val="32"/>
          <w:highlight w:val="none"/>
          <w:lang w:val="en-US" w:eastAsia="zh-CN"/>
        </w:rPr>
      </w:pPr>
      <w:r>
        <w:rPr>
          <w:rFonts w:hint="eastAsia" w:ascii="Times New Roman" w:hAnsi="Times New Roman" w:eastAsia="仿宋_GB2312"/>
          <w:b/>
          <w:bCs/>
          <w:color w:val="000000"/>
          <w:sz w:val="32"/>
          <w:szCs w:val="32"/>
          <w:highlight w:val="none"/>
          <w:lang w:val="en-US" w:eastAsia="zh-CN"/>
        </w:rPr>
        <w:t>第二十四条</w:t>
      </w:r>
      <w:r>
        <w:rPr>
          <w:rFonts w:hint="eastAsia" w:ascii="Times New Roman" w:hAnsi="Times New Roman" w:eastAsia="仿宋_GB2312"/>
          <w:color w:val="000000"/>
          <w:sz w:val="32"/>
          <w:szCs w:val="32"/>
          <w:highlight w:val="none"/>
          <w:lang w:val="en-US" w:eastAsia="zh-CN"/>
        </w:rPr>
        <w:t xml:space="preserve">  企业招聘人员，由边合区管委会积极配合企业发布招聘信息，组织或动员企业参加现场招聘会及人社部门举办的各类招聘活动等方式，满足企业用人需求。</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w:t>
      </w:r>
      <w:r>
        <w:rPr>
          <w:rFonts w:hint="eastAsia" w:ascii="Times New Roman" w:hAnsi="Times New Roman" w:eastAsia="仿宋_GB2312"/>
          <w:b/>
          <w:bCs/>
          <w:color w:val="000000"/>
          <w:sz w:val="32"/>
          <w:szCs w:val="32"/>
          <w:highlight w:val="none"/>
          <w:lang w:val="en-US" w:eastAsia="zh-CN"/>
        </w:rPr>
        <w:t>二</w:t>
      </w:r>
      <w:r>
        <w:rPr>
          <w:rFonts w:hint="default" w:ascii="Times New Roman" w:hAnsi="Times New Roman" w:eastAsia="仿宋_GB2312"/>
          <w:b/>
          <w:bCs/>
          <w:color w:val="000000"/>
          <w:sz w:val="32"/>
          <w:szCs w:val="32"/>
          <w:highlight w:val="none"/>
          <w:lang w:val="en-US" w:eastAsia="zh-CN"/>
        </w:rPr>
        <w:t>十</w:t>
      </w:r>
      <w:r>
        <w:rPr>
          <w:rFonts w:hint="eastAsia" w:ascii="Times New Roman" w:hAnsi="Times New Roman" w:eastAsia="仿宋_GB2312"/>
          <w:b/>
          <w:bCs/>
          <w:color w:val="000000"/>
          <w:sz w:val="32"/>
          <w:szCs w:val="32"/>
          <w:highlight w:val="none"/>
          <w:lang w:val="en-US" w:eastAsia="zh-CN"/>
        </w:rPr>
        <w:t>五</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边合区管委会收集园区企业关键人才信息，掌握人才结构与需求，定期推送政策信息</w:t>
      </w:r>
      <w:r>
        <w:rPr>
          <w:rFonts w:hint="eastAsia" w:ascii="Times New Roman" w:hAnsi="Times New Roman" w:eastAsia="仿宋_GB2312"/>
          <w:color w:val="000000"/>
          <w:sz w:val="32"/>
          <w:szCs w:val="32"/>
          <w:highlight w:val="none"/>
          <w:lang w:val="en-US" w:eastAsia="zh-CN"/>
        </w:rPr>
        <w:t>，</w:t>
      </w:r>
      <w:r>
        <w:rPr>
          <w:rFonts w:hint="default" w:ascii="Times New Roman" w:hAnsi="Times New Roman" w:eastAsia="仿宋_GB2312"/>
          <w:color w:val="000000"/>
          <w:sz w:val="32"/>
          <w:szCs w:val="32"/>
          <w:highlight w:val="none"/>
          <w:lang w:val="en-US" w:eastAsia="zh-CN"/>
        </w:rPr>
        <w:t>鼓励企业推荐优秀人才对接上级计划等方式，提供常态化人才服务。</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w:t>
      </w:r>
      <w:r>
        <w:rPr>
          <w:rFonts w:hint="eastAsia" w:ascii="Times New Roman" w:hAnsi="Times New Roman" w:eastAsia="仿宋_GB2312"/>
          <w:b/>
          <w:bCs/>
          <w:color w:val="000000"/>
          <w:sz w:val="32"/>
          <w:szCs w:val="32"/>
          <w:highlight w:val="none"/>
          <w:lang w:val="en-US" w:eastAsia="zh-CN"/>
        </w:rPr>
        <w:t>二</w:t>
      </w:r>
      <w:r>
        <w:rPr>
          <w:rFonts w:hint="default" w:ascii="Times New Roman" w:hAnsi="Times New Roman" w:eastAsia="仿宋_GB2312"/>
          <w:b/>
          <w:bCs/>
          <w:color w:val="000000"/>
          <w:sz w:val="32"/>
          <w:szCs w:val="32"/>
          <w:highlight w:val="none"/>
          <w:lang w:val="en-US" w:eastAsia="zh-CN"/>
        </w:rPr>
        <w:t>十</w:t>
      </w:r>
      <w:r>
        <w:rPr>
          <w:rFonts w:hint="eastAsia" w:ascii="Times New Roman" w:hAnsi="Times New Roman" w:eastAsia="仿宋_GB2312"/>
          <w:b/>
          <w:bCs/>
          <w:color w:val="000000"/>
          <w:sz w:val="32"/>
          <w:szCs w:val="32"/>
          <w:highlight w:val="none"/>
          <w:lang w:val="en-US" w:eastAsia="zh-CN"/>
        </w:rPr>
        <w:t>六</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搭建</w:t>
      </w:r>
      <w:r>
        <w:rPr>
          <w:rFonts w:hint="eastAsia" w:ascii="Times New Roman" w:hAnsi="Times New Roman" w:eastAsia="仿宋_GB2312"/>
          <w:color w:val="000000"/>
          <w:sz w:val="32"/>
          <w:szCs w:val="32"/>
          <w:highlight w:val="none"/>
          <w:lang w:val="en-US" w:eastAsia="zh-CN"/>
        </w:rPr>
        <w:t>边合区</w:t>
      </w:r>
      <w:r>
        <w:rPr>
          <w:rFonts w:hint="default" w:ascii="Times New Roman" w:hAnsi="Times New Roman" w:eastAsia="仿宋_GB2312"/>
          <w:color w:val="000000"/>
          <w:sz w:val="32"/>
          <w:szCs w:val="32"/>
          <w:highlight w:val="none"/>
          <w:lang w:val="en-US" w:eastAsia="zh-CN"/>
        </w:rPr>
        <w:t>人才交流与协作平台，通过定期举办行业沙龙、技术研讨会、管理经验交流等活动促进人才互动，并根据企业需求组织企业</w:t>
      </w:r>
      <w:r>
        <w:rPr>
          <w:rFonts w:hint="eastAsia" w:ascii="Times New Roman" w:hAnsi="Times New Roman" w:eastAsia="仿宋_GB2312"/>
          <w:color w:val="000000"/>
          <w:sz w:val="32"/>
          <w:szCs w:val="32"/>
          <w:highlight w:val="none"/>
          <w:lang w:val="en-US" w:eastAsia="zh-CN"/>
        </w:rPr>
        <w:t>参加各级举办的交流学习活动</w:t>
      </w:r>
      <w:r>
        <w:rPr>
          <w:rFonts w:hint="default" w:ascii="Times New Roman" w:hAnsi="Times New Roman" w:eastAsia="仿宋_GB2312"/>
          <w:color w:val="000000"/>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w:t>
      </w:r>
      <w:r>
        <w:rPr>
          <w:rFonts w:hint="eastAsia" w:ascii="Times New Roman" w:hAnsi="Times New Roman" w:eastAsia="仿宋_GB2312"/>
          <w:b/>
          <w:bCs/>
          <w:color w:val="000000"/>
          <w:sz w:val="32"/>
          <w:szCs w:val="32"/>
          <w:highlight w:val="none"/>
          <w:lang w:val="en-US" w:eastAsia="zh-CN"/>
        </w:rPr>
        <w:t>二</w:t>
      </w:r>
      <w:r>
        <w:rPr>
          <w:rFonts w:hint="default" w:ascii="Times New Roman" w:hAnsi="Times New Roman" w:eastAsia="仿宋_GB2312"/>
          <w:b/>
          <w:bCs/>
          <w:color w:val="000000"/>
          <w:sz w:val="32"/>
          <w:szCs w:val="32"/>
          <w:highlight w:val="none"/>
          <w:lang w:val="en-US" w:eastAsia="zh-CN"/>
        </w:rPr>
        <w:t>十</w:t>
      </w:r>
      <w:r>
        <w:rPr>
          <w:rFonts w:hint="eastAsia" w:ascii="Times New Roman" w:hAnsi="Times New Roman" w:eastAsia="仿宋_GB2312"/>
          <w:b/>
          <w:bCs/>
          <w:color w:val="000000"/>
          <w:sz w:val="32"/>
          <w:szCs w:val="32"/>
          <w:highlight w:val="none"/>
          <w:lang w:val="en-US" w:eastAsia="zh-CN"/>
        </w:rPr>
        <w:t>七</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w:t>
      </w:r>
      <w:r>
        <w:rPr>
          <w:rFonts w:hint="eastAsia" w:ascii="Times New Roman" w:hAnsi="Times New Roman" w:eastAsia="仿宋_GB2312"/>
          <w:color w:val="000000"/>
          <w:sz w:val="32"/>
          <w:szCs w:val="32"/>
          <w:highlight w:val="none"/>
          <w:lang w:val="en-US" w:eastAsia="zh-CN"/>
        </w:rPr>
        <w:t>边合区</w:t>
      </w:r>
      <w:r>
        <w:rPr>
          <w:rFonts w:hint="default" w:ascii="Times New Roman" w:hAnsi="Times New Roman" w:eastAsia="仿宋_GB2312"/>
          <w:color w:val="000000"/>
          <w:sz w:val="32"/>
          <w:szCs w:val="32"/>
          <w:highlight w:val="none"/>
          <w:lang w:val="en-US" w:eastAsia="zh-CN"/>
        </w:rPr>
        <w:t>管委会</w:t>
      </w:r>
      <w:r>
        <w:rPr>
          <w:rFonts w:hint="eastAsia" w:ascii="Times New Roman" w:hAnsi="Times New Roman" w:eastAsia="仿宋_GB2312"/>
          <w:color w:val="000000"/>
          <w:sz w:val="32"/>
          <w:szCs w:val="32"/>
          <w:highlight w:val="none"/>
          <w:lang w:val="en-US" w:eastAsia="zh-CN"/>
        </w:rPr>
        <w:t>定期开展</w:t>
      </w:r>
      <w:r>
        <w:rPr>
          <w:rFonts w:hint="default" w:ascii="Times New Roman" w:hAnsi="Times New Roman" w:eastAsia="仿宋_GB2312"/>
          <w:color w:val="000000"/>
          <w:sz w:val="32"/>
          <w:szCs w:val="32"/>
          <w:highlight w:val="none"/>
          <w:lang w:val="en-US" w:eastAsia="zh-CN"/>
        </w:rPr>
        <w:t>培训需求调研，主动对接并组织企业参加上级部门或行业机构举办的各类专业培训，积极帮助企业和人才争取培训名额与资源支持，定期</w:t>
      </w:r>
      <w:r>
        <w:rPr>
          <w:rFonts w:hint="eastAsia" w:ascii="Times New Roman" w:hAnsi="Times New Roman" w:eastAsia="仿宋_GB2312"/>
          <w:color w:val="000000"/>
          <w:sz w:val="32"/>
          <w:szCs w:val="32"/>
          <w:highlight w:val="none"/>
          <w:lang w:val="en-US" w:eastAsia="zh-CN"/>
        </w:rPr>
        <w:t>组织</w:t>
      </w:r>
      <w:r>
        <w:rPr>
          <w:rFonts w:hint="default" w:ascii="Times New Roman" w:hAnsi="Times New Roman" w:eastAsia="仿宋_GB2312"/>
          <w:color w:val="000000"/>
          <w:sz w:val="32"/>
          <w:szCs w:val="32"/>
          <w:highlight w:val="none"/>
          <w:lang w:val="en-US" w:eastAsia="zh-CN"/>
        </w:rPr>
        <w:t>开展</w:t>
      </w:r>
      <w:r>
        <w:rPr>
          <w:rFonts w:hint="eastAsia" w:ascii="Times New Roman" w:hAnsi="Times New Roman" w:eastAsia="仿宋_GB2312"/>
          <w:color w:val="000000"/>
          <w:sz w:val="32"/>
          <w:szCs w:val="32"/>
          <w:highlight w:val="none"/>
          <w:lang w:val="en-US" w:eastAsia="zh-CN"/>
        </w:rPr>
        <w:t>边合区内</w:t>
      </w:r>
      <w:r>
        <w:rPr>
          <w:rFonts w:hint="default" w:ascii="Times New Roman" w:hAnsi="Times New Roman" w:eastAsia="仿宋_GB2312"/>
          <w:color w:val="000000"/>
          <w:sz w:val="32"/>
          <w:szCs w:val="32"/>
          <w:highlight w:val="none"/>
          <w:lang w:val="en-US" w:eastAsia="zh-CN"/>
        </w:rPr>
        <w:t>生产经营、企业管理、业务技术等各类专题培训</w:t>
      </w:r>
      <w:r>
        <w:rPr>
          <w:rFonts w:hint="eastAsia" w:ascii="Times New Roman" w:hAnsi="Times New Roman" w:eastAsia="仿宋_GB2312"/>
          <w:color w:val="000000"/>
          <w:sz w:val="32"/>
          <w:szCs w:val="32"/>
          <w:highlight w:val="none"/>
          <w:lang w:val="en-US" w:eastAsia="zh-CN"/>
        </w:rPr>
        <w:t>，</w:t>
      </w:r>
      <w:r>
        <w:rPr>
          <w:rFonts w:hint="default" w:ascii="Times New Roman" w:hAnsi="Times New Roman" w:eastAsia="仿宋_GB2312"/>
          <w:color w:val="000000"/>
          <w:sz w:val="32"/>
          <w:szCs w:val="32"/>
          <w:highlight w:val="none"/>
          <w:lang w:val="en-US" w:eastAsia="zh-CN"/>
        </w:rPr>
        <w:t>持续促进</w:t>
      </w:r>
      <w:r>
        <w:rPr>
          <w:rFonts w:hint="eastAsia" w:ascii="Times New Roman" w:hAnsi="Times New Roman" w:eastAsia="仿宋_GB2312"/>
          <w:color w:val="000000"/>
          <w:sz w:val="32"/>
          <w:szCs w:val="32"/>
          <w:highlight w:val="none"/>
          <w:lang w:val="en-US" w:eastAsia="zh-CN"/>
        </w:rPr>
        <w:t>园区</w:t>
      </w:r>
      <w:r>
        <w:rPr>
          <w:rFonts w:hint="default" w:ascii="Times New Roman" w:hAnsi="Times New Roman" w:eastAsia="仿宋_GB2312"/>
          <w:color w:val="000000"/>
          <w:sz w:val="32"/>
          <w:szCs w:val="32"/>
          <w:highlight w:val="none"/>
          <w:lang w:val="en-US" w:eastAsia="zh-CN"/>
        </w:rPr>
        <w:t>人才能力提升。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Times New Roman" w:hAnsi="Times New Roman" w:eastAsia="仿宋_GB2312"/>
          <w:color w:val="000000"/>
          <w:sz w:val="32"/>
          <w:szCs w:val="32"/>
          <w:highlight w:val="none"/>
          <w:lang w:val="en-US" w:eastAsia="zh-CN"/>
        </w:rPr>
      </w:pPr>
      <w:r>
        <w:rPr>
          <w:rFonts w:hint="eastAsia" w:ascii="黑体" w:hAnsi="黑体" w:eastAsia="黑体" w:cs="黑体"/>
          <w:color w:val="000000"/>
          <w:kern w:val="2"/>
          <w:sz w:val="32"/>
          <w:szCs w:val="32"/>
          <w:highlight w:val="none"/>
          <w:lang w:val="en-US" w:eastAsia="zh-CN" w:bidi="ar-SA"/>
        </w:rPr>
        <w:t xml:space="preserve">第七章  </w:t>
      </w:r>
      <w:r>
        <w:rPr>
          <w:rFonts w:hint="default" w:ascii="黑体" w:hAnsi="黑体" w:eastAsia="黑体" w:cs="黑体"/>
          <w:color w:val="000000"/>
          <w:kern w:val="2"/>
          <w:sz w:val="32"/>
          <w:szCs w:val="32"/>
          <w:highlight w:val="none"/>
          <w:lang w:val="en-US" w:eastAsia="zh-CN" w:bidi="ar-SA"/>
        </w:rPr>
        <w:t>公平竞争审查</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第二十</w:t>
      </w:r>
      <w:r>
        <w:rPr>
          <w:rFonts w:hint="eastAsia" w:ascii="Times New Roman" w:hAnsi="Times New Roman" w:eastAsia="仿宋_GB2312"/>
          <w:b/>
          <w:bCs/>
          <w:color w:val="000000"/>
          <w:sz w:val="32"/>
          <w:szCs w:val="32"/>
          <w:highlight w:val="none"/>
          <w:lang w:val="en-US" w:eastAsia="zh-CN"/>
        </w:rPr>
        <w:t>八</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根据《中华人民共和国反垄断法》《公平竞争审查条例》等法律法规，边合区管委会制定出台下列涉及市场主体经济活动的政策措施，应当在出台前进行公平竞争审查：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color w:val="000000"/>
          <w:sz w:val="32"/>
          <w:szCs w:val="32"/>
          <w:highlight w:val="none"/>
          <w:lang w:val="en-US" w:eastAsia="zh-CN"/>
        </w:rPr>
        <w:t>（一）市场准入、产业发展、招商引资、招标投标、政府采购、经营行为规范、资质标准等涉及市场主体经济活动的规章、规范性文件和其他政策措施；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color w:val="000000"/>
          <w:sz w:val="32"/>
          <w:szCs w:val="32"/>
          <w:highlight w:val="none"/>
          <w:lang w:val="en-US" w:eastAsia="zh-CN"/>
        </w:rPr>
        <w:t>（二）与企业签订的投资合作、招商引资等涉及市场主体经济活动的协议、备忘录等；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color w:val="000000"/>
          <w:sz w:val="32"/>
          <w:szCs w:val="32"/>
          <w:highlight w:val="none"/>
          <w:lang w:val="en-US" w:eastAsia="zh-CN"/>
        </w:rPr>
        <w:t>（三）其他可能影响市场公平竞争的政策措施。</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第二十</w:t>
      </w:r>
      <w:r>
        <w:rPr>
          <w:rFonts w:hint="eastAsia" w:ascii="Times New Roman" w:hAnsi="Times New Roman" w:eastAsia="仿宋_GB2312"/>
          <w:b/>
          <w:bCs/>
          <w:color w:val="000000"/>
          <w:sz w:val="32"/>
          <w:szCs w:val="32"/>
          <w:highlight w:val="none"/>
          <w:lang w:val="en-US" w:eastAsia="zh-CN"/>
        </w:rPr>
        <w:t>九</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公平竞争审查应当遵循公开、公平、公正原则，严格对照《公平竞争审查条例》规定的审查标准，重点审查是否存在市场准入和退出、商品和要素自由流动、影响生产经营成本、影响生产经营行为等方面排除、限制竞争的情形。未经公平竞争审查的政策措施，不得提交审议、不得出台实施。</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w:t>
      </w:r>
      <w:r>
        <w:rPr>
          <w:rFonts w:hint="eastAsia" w:ascii="Times New Roman" w:hAnsi="Times New Roman" w:eastAsia="仿宋_GB2312"/>
          <w:b/>
          <w:bCs/>
          <w:color w:val="000000"/>
          <w:sz w:val="32"/>
          <w:szCs w:val="32"/>
          <w:highlight w:val="none"/>
          <w:lang w:val="en-US" w:eastAsia="zh-CN"/>
        </w:rPr>
        <w:t>三十</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公平竞争审查工作</w:t>
      </w:r>
      <w:r>
        <w:rPr>
          <w:rFonts w:hint="eastAsia" w:ascii="Times New Roman" w:hAnsi="Times New Roman" w:eastAsia="仿宋_GB2312"/>
          <w:color w:val="000000"/>
          <w:sz w:val="32"/>
          <w:szCs w:val="32"/>
          <w:highlight w:val="none"/>
          <w:lang w:val="en-US" w:eastAsia="zh-CN"/>
        </w:rPr>
        <w:t>依据职能职责</w:t>
      </w:r>
      <w:r>
        <w:rPr>
          <w:rFonts w:hint="default" w:ascii="Times New Roman" w:hAnsi="Times New Roman" w:eastAsia="仿宋_GB2312"/>
          <w:color w:val="000000"/>
          <w:sz w:val="32"/>
          <w:szCs w:val="32"/>
          <w:highlight w:val="none"/>
          <w:lang w:val="en-US" w:eastAsia="zh-CN"/>
        </w:rPr>
        <w:t>由边合区管委会</w:t>
      </w:r>
      <w:r>
        <w:rPr>
          <w:rFonts w:hint="eastAsia" w:ascii="Times New Roman" w:hAnsi="Times New Roman" w:eastAsia="仿宋_GB2312"/>
          <w:color w:val="000000"/>
          <w:sz w:val="32"/>
          <w:szCs w:val="32"/>
          <w:highlight w:val="none"/>
          <w:lang w:val="en-US" w:eastAsia="zh-CN"/>
        </w:rPr>
        <w:t>具体科室</w:t>
      </w:r>
      <w:r>
        <w:rPr>
          <w:rFonts w:hint="default" w:ascii="Times New Roman" w:hAnsi="Times New Roman" w:eastAsia="仿宋_GB2312"/>
          <w:color w:val="000000"/>
          <w:sz w:val="32"/>
          <w:szCs w:val="32"/>
          <w:highlight w:val="none"/>
          <w:lang w:val="en-US" w:eastAsia="zh-CN"/>
        </w:rPr>
        <w:t>负责，可根据需要邀请法律顾问、相关行业专家参与审查，形成书面审查结论。审查结论应当随政策措施一并存档备查。对适用例外规定的政策措施，应当在审查结论中详细说明符合例外规定的情形和理由，明确政策措施的实施期限和逐年评估机制。</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default" w:ascii="Times New Roman" w:hAnsi="Times New Roman" w:eastAsia="仿宋_GB2312"/>
          <w:b/>
          <w:bCs/>
          <w:color w:val="000000"/>
          <w:sz w:val="32"/>
          <w:szCs w:val="32"/>
          <w:highlight w:val="none"/>
          <w:lang w:val="en-US" w:eastAsia="zh-CN"/>
        </w:rPr>
        <w:t>第三十</w:t>
      </w:r>
      <w:r>
        <w:rPr>
          <w:rFonts w:hint="eastAsia" w:ascii="Times New Roman" w:hAnsi="Times New Roman" w:eastAsia="仿宋_GB2312"/>
          <w:b/>
          <w:bCs/>
          <w:color w:val="000000"/>
          <w:sz w:val="32"/>
          <w:szCs w:val="32"/>
          <w:highlight w:val="none"/>
          <w:lang w:val="en-US" w:eastAsia="zh-CN"/>
        </w:rPr>
        <w:t>一</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边合区管委会应当定期对已出台的政策措施开展公平竞争审查后评估，对不符合公平竞争要求的，及时予以废止、修改或者调整。</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eastAsia" w:ascii="黑体" w:hAnsi="黑体" w:eastAsia="黑体" w:cs="黑体"/>
          <w:color w:val="000000"/>
          <w:kern w:val="2"/>
          <w:sz w:val="32"/>
          <w:szCs w:val="32"/>
          <w:highlight w:val="none"/>
          <w:lang w:val="en-US" w:eastAsia="zh-CN" w:bidi="ar-SA"/>
        </w:rPr>
      </w:pPr>
      <w:r>
        <w:rPr>
          <w:rFonts w:hint="default" w:ascii="Times New Roman" w:hAnsi="Times New Roman" w:eastAsia="仿宋_GB2312"/>
          <w:b/>
          <w:bCs/>
          <w:color w:val="000000"/>
          <w:sz w:val="32"/>
          <w:szCs w:val="32"/>
          <w:highlight w:val="none"/>
          <w:lang w:val="en-US" w:eastAsia="zh-CN"/>
        </w:rPr>
        <w:t>第三</w:t>
      </w:r>
      <w:r>
        <w:rPr>
          <w:rFonts w:hint="eastAsia" w:ascii="Times New Roman" w:hAnsi="Times New Roman" w:eastAsia="仿宋_GB2312"/>
          <w:b/>
          <w:bCs/>
          <w:color w:val="000000"/>
          <w:sz w:val="32"/>
          <w:szCs w:val="32"/>
          <w:highlight w:val="none"/>
          <w:lang w:val="en-US" w:eastAsia="zh-CN"/>
        </w:rPr>
        <w:t>十二</w:t>
      </w:r>
      <w:r>
        <w:rPr>
          <w:rFonts w:hint="default" w:ascii="Times New Roman" w:hAnsi="Times New Roman" w:eastAsia="仿宋_GB2312"/>
          <w:b/>
          <w:bCs/>
          <w:color w:val="000000"/>
          <w:sz w:val="32"/>
          <w:szCs w:val="32"/>
          <w:highlight w:val="none"/>
          <w:lang w:val="en-US" w:eastAsia="zh-CN"/>
        </w:rPr>
        <w:t>条</w:t>
      </w:r>
      <w:r>
        <w:rPr>
          <w:rFonts w:hint="default" w:ascii="Times New Roman" w:hAnsi="Times New Roman" w:eastAsia="仿宋_GB2312"/>
          <w:color w:val="000000"/>
          <w:sz w:val="32"/>
          <w:szCs w:val="32"/>
          <w:highlight w:val="none"/>
          <w:lang w:val="en-US" w:eastAsia="zh-CN"/>
        </w:rPr>
        <w:t xml:space="preserve"> 公平竞争审查工作接受上级公平竞争审查联席会议、反垄断执法机构的指导和监督，畅通社会监督渠道，主动接受市场主体和社会公众的监督。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000000"/>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黑体" w:hAnsi="黑体" w:eastAsia="黑体" w:cs="黑体"/>
          <w:color w:val="000000"/>
          <w:kern w:val="2"/>
          <w:sz w:val="32"/>
          <w:szCs w:val="32"/>
          <w:highlight w:val="none"/>
          <w:lang w:val="en-US" w:eastAsia="zh-CN" w:bidi="ar-SA"/>
        </w:rPr>
      </w:pPr>
      <w:r>
        <w:rPr>
          <w:rFonts w:hint="eastAsia" w:ascii="黑体" w:hAnsi="黑体" w:eastAsia="黑体" w:cs="黑体"/>
          <w:color w:val="000000"/>
          <w:kern w:val="2"/>
          <w:sz w:val="32"/>
          <w:szCs w:val="32"/>
          <w:highlight w:val="none"/>
          <w:lang w:val="en-US" w:eastAsia="zh-CN" w:bidi="ar-SA"/>
        </w:rPr>
        <w:t>第八章  附则</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default" w:ascii="Times New Roman" w:hAnsi="Times New Roman" w:eastAsia="仿宋_GB2312"/>
          <w:color w:val="000000"/>
          <w:sz w:val="32"/>
          <w:szCs w:val="32"/>
          <w:highlight w:val="none"/>
          <w:lang w:val="en-US" w:eastAsia="zh-CN"/>
        </w:rPr>
      </w:pPr>
      <w:r>
        <w:rPr>
          <w:rFonts w:hint="eastAsia" w:ascii="Times New Roman" w:hAnsi="Times New Roman" w:eastAsia="仿宋_GB2312"/>
          <w:b/>
          <w:bCs/>
          <w:color w:val="000000"/>
          <w:sz w:val="32"/>
          <w:szCs w:val="32"/>
          <w:highlight w:val="none"/>
          <w:lang w:val="en-US" w:eastAsia="zh-CN"/>
        </w:rPr>
        <w:t>第三十三条</w:t>
      </w:r>
      <w:r>
        <w:rPr>
          <w:rFonts w:hint="eastAsia" w:ascii="Times New Roman" w:hAnsi="Times New Roman" w:eastAsia="仿宋_GB2312"/>
          <w:color w:val="000000"/>
          <w:sz w:val="32"/>
          <w:szCs w:val="32"/>
          <w:highlight w:val="none"/>
          <w:lang w:val="en-US" w:eastAsia="zh-CN"/>
        </w:rPr>
        <w:t xml:space="preserve">  </w:t>
      </w:r>
      <w:r>
        <w:rPr>
          <w:rFonts w:hint="default" w:ascii="Times New Roman" w:hAnsi="Times New Roman" w:eastAsia="仿宋_GB2312"/>
          <w:color w:val="000000"/>
          <w:sz w:val="32"/>
          <w:szCs w:val="32"/>
          <w:highlight w:val="none"/>
          <w:lang w:val="en-US" w:eastAsia="zh-CN"/>
        </w:rPr>
        <w:t>本</w:t>
      </w:r>
      <w:r>
        <w:rPr>
          <w:rFonts w:hint="eastAsia" w:ascii="Times New Roman" w:hAnsi="Times New Roman" w:eastAsia="仿宋_GB2312"/>
          <w:color w:val="000000"/>
          <w:sz w:val="32"/>
          <w:szCs w:val="32"/>
          <w:highlight w:val="none"/>
          <w:lang w:val="en-US" w:eastAsia="zh-CN"/>
        </w:rPr>
        <w:t>制度</w:t>
      </w:r>
      <w:r>
        <w:rPr>
          <w:rFonts w:hint="default" w:ascii="Times New Roman" w:hAnsi="Times New Roman" w:eastAsia="仿宋_GB2312"/>
          <w:color w:val="000000"/>
          <w:sz w:val="32"/>
          <w:szCs w:val="32"/>
          <w:highlight w:val="none"/>
          <w:lang w:val="en-US" w:eastAsia="zh-CN"/>
        </w:rPr>
        <w:t>由</w:t>
      </w:r>
      <w:r>
        <w:rPr>
          <w:rFonts w:hint="eastAsia" w:ascii="Times New Roman" w:hAnsi="Times New Roman" w:eastAsia="仿宋_GB2312"/>
          <w:color w:val="000000"/>
          <w:sz w:val="32"/>
          <w:szCs w:val="32"/>
          <w:highlight w:val="none"/>
          <w:lang w:val="en-US" w:eastAsia="zh-CN"/>
        </w:rPr>
        <w:t>云南孟连边境经济合作区</w:t>
      </w:r>
      <w:r>
        <w:rPr>
          <w:rFonts w:hint="default" w:ascii="Times New Roman" w:hAnsi="Times New Roman" w:eastAsia="仿宋_GB2312"/>
          <w:color w:val="000000"/>
          <w:sz w:val="32"/>
          <w:szCs w:val="32"/>
          <w:highlight w:val="none"/>
          <w:lang w:val="en-US" w:eastAsia="zh-CN"/>
        </w:rPr>
        <w:t>管理委员会负责解释。</w:t>
      </w:r>
    </w:p>
    <w:p>
      <w:pPr>
        <w:keepNext w:val="0"/>
        <w:keepLines w:val="0"/>
        <w:pageBreakBefore w:val="0"/>
        <w:widowControl w:val="0"/>
        <w:kinsoku/>
        <w:wordWrap/>
        <w:overflowPunct/>
        <w:topLinePunct w:val="0"/>
        <w:autoSpaceDE/>
        <w:autoSpaceDN/>
        <w:bidi w:val="0"/>
        <w:adjustRightInd/>
        <w:snapToGrid/>
        <w:ind w:firstLine="642" w:firstLineChars="200"/>
        <w:textAlignment w:val="auto"/>
      </w:pPr>
      <w:bookmarkStart w:id="0" w:name="_GoBack"/>
      <w:bookmarkEnd w:id="0"/>
      <w:r>
        <w:rPr>
          <w:rFonts w:hint="eastAsia" w:ascii="Times New Roman" w:hAnsi="Times New Roman" w:eastAsia="仿宋_GB2312"/>
          <w:b/>
          <w:bCs/>
          <w:color w:val="000000"/>
          <w:sz w:val="32"/>
          <w:szCs w:val="32"/>
          <w:highlight w:val="none"/>
          <w:lang w:val="en-US" w:eastAsia="zh-CN"/>
        </w:rPr>
        <w:t>第三十四条</w:t>
      </w:r>
      <w:r>
        <w:rPr>
          <w:rFonts w:hint="eastAsia" w:ascii="Times New Roman" w:hAnsi="Times New Roman" w:eastAsia="仿宋_GB2312"/>
          <w:color w:val="000000"/>
          <w:sz w:val="32"/>
          <w:szCs w:val="32"/>
          <w:highlight w:val="none"/>
          <w:lang w:val="en-US" w:eastAsia="zh-CN"/>
        </w:rPr>
        <w:t xml:space="preserve">  </w:t>
      </w:r>
      <w:r>
        <w:rPr>
          <w:rFonts w:hint="default" w:ascii="Times New Roman" w:hAnsi="Times New Roman" w:eastAsia="仿宋_GB2312"/>
          <w:color w:val="000000"/>
          <w:sz w:val="32"/>
          <w:szCs w:val="32"/>
          <w:highlight w:val="none"/>
          <w:lang w:val="en-US" w:eastAsia="zh-CN"/>
        </w:rPr>
        <w:t>本</w:t>
      </w:r>
      <w:r>
        <w:rPr>
          <w:rFonts w:hint="eastAsia" w:ascii="Times New Roman" w:hAnsi="Times New Roman" w:eastAsia="仿宋_GB2312"/>
          <w:color w:val="000000"/>
          <w:sz w:val="32"/>
          <w:szCs w:val="32"/>
          <w:highlight w:val="none"/>
          <w:lang w:val="en-US" w:eastAsia="zh-CN"/>
        </w:rPr>
        <w:t>制度</w:t>
      </w:r>
      <w:r>
        <w:rPr>
          <w:rFonts w:hint="default" w:ascii="Times New Roman" w:hAnsi="Times New Roman" w:eastAsia="仿宋_GB2312"/>
          <w:color w:val="000000"/>
          <w:sz w:val="32"/>
          <w:szCs w:val="32"/>
          <w:highlight w:val="none"/>
          <w:lang w:val="en-US" w:eastAsia="zh-CN"/>
        </w:rPr>
        <w:t>自</w:t>
      </w:r>
      <w:r>
        <w:rPr>
          <w:rFonts w:hint="eastAsia" w:ascii="Times New Roman" w:hAnsi="Times New Roman" w:eastAsia="仿宋_GB2312"/>
          <w:color w:val="000000"/>
          <w:sz w:val="32"/>
          <w:szCs w:val="32"/>
          <w:highlight w:val="none"/>
          <w:lang w:val="en-US" w:eastAsia="zh-CN"/>
        </w:rPr>
        <w:t>印发之日起施行</w:t>
      </w:r>
      <w:r>
        <w:rPr>
          <w:rFonts w:hint="default" w:ascii="Times New Roman" w:hAnsi="Times New Roman" w:eastAsia="仿宋_GB2312"/>
          <w:color w:val="000000"/>
          <w:sz w:val="32"/>
          <w:szCs w:val="32"/>
          <w:highlight w:val="none"/>
          <w:lang w:val="en-US" w:eastAsia="zh-CN"/>
        </w:rPr>
        <w:t>。</w:t>
      </w:r>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楷体简体">
    <w:panose1 w:val="03000509000000000000"/>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7EBD71"/>
    <w:rsid w:val="1B6E4B8F"/>
    <w:rsid w:val="2B5EC238"/>
    <w:rsid w:val="37AC3E9E"/>
    <w:rsid w:val="3EFBC4EE"/>
    <w:rsid w:val="4FDBA300"/>
    <w:rsid w:val="5F7EBD71"/>
    <w:rsid w:val="6EBFB6F4"/>
    <w:rsid w:val="6FAF78DE"/>
    <w:rsid w:val="73C7FD73"/>
    <w:rsid w:val="7F7B1586"/>
    <w:rsid w:val="7F8E8A76"/>
    <w:rsid w:val="7FDFF453"/>
    <w:rsid w:val="7FFD0A29"/>
    <w:rsid w:val="B5975341"/>
    <w:rsid w:val="B6FF5831"/>
    <w:rsid w:val="CF7F83A5"/>
    <w:rsid w:val="CFD79380"/>
    <w:rsid w:val="DBEBDE40"/>
    <w:rsid w:val="DEBF6417"/>
    <w:rsid w:val="F0FF86E2"/>
    <w:rsid w:val="F6F791CD"/>
    <w:rsid w:val="F9EF94B7"/>
    <w:rsid w:val="FBF70D88"/>
    <w:rsid w:val="FDDF9089"/>
    <w:rsid w:val="FED50C34"/>
    <w:rsid w:val="FEFFC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line="560" w:lineRule="exact"/>
      <w:jc w:val="both"/>
      <w:outlineLvl w:val="9"/>
    </w:pPr>
    <w:rPr>
      <w:rFonts w:ascii="Times New Roman" w:hAnsi="Times New Roman" w:eastAsia="黑体"/>
      <w:kern w:val="44"/>
      <w:sz w:val="32"/>
      <w:szCs w:val="32"/>
    </w:rPr>
  </w:style>
  <w:style w:type="paragraph" w:styleId="3">
    <w:name w:val="heading 2"/>
    <w:basedOn w:val="1"/>
    <w:next w:val="4"/>
    <w:link w:val="8"/>
    <w:semiHidden/>
    <w:unhideWhenUsed/>
    <w:qFormat/>
    <w:uiPriority w:val="0"/>
    <w:pPr>
      <w:keepNext/>
      <w:keepLines/>
      <w:spacing w:beforeLines="0" w:beforeAutospacing="0" w:afterLines="0" w:afterAutospacing="0" w:line="560" w:lineRule="exact"/>
      <w:outlineLvl w:val="1"/>
    </w:pPr>
    <w:rPr>
      <w:rFonts w:ascii="Times New Roman" w:hAnsi="Times New Roman" w:eastAsia="楷体_GB2312" w:cs="Times New Roman"/>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4">
    <w:name w:val="正文111"/>
    <w:basedOn w:val="1"/>
    <w:qFormat/>
    <w:uiPriority w:val="0"/>
    <w:pPr>
      <w:spacing w:line="560" w:lineRule="exact"/>
      <w:ind w:firstLine="420" w:firstLineChars="200"/>
    </w:pPr>
    <w:rPr>
      <w:rFonts w:ascii="Times New Roman" w:hAnsi="Times New Roman" w:eastAsia="仿宋_GB2312" w:cs="Times New Roman"/>
      <w:sz w:val="32"/>
      <w:szCs w:val="32"/>
    </w:rPr>
  </w:style>
  <w:style w:type="paragraph" w:customStyle="1" w:styleId="7">
    <w:name w:val="标题111"/>
    <w:basedOn w:val="1"/>
    <w:next w:val="4"/>
    <w:qFormat/>
    <w:uiPriority w:val="0"/>
    <w:pPr>
      <w:spacing w:line="560" w:lineRule="exact"/>
      <w:jc w:val="center"/>
      <w:outlineLvl w:val="0"/>
    </w:pPr>
    <w:rPr>
      <w:rFonts w:ascii="Times New Roman" w:hAnsi="Times New Roman" w:eastAsia="方正小标宋简体" w:cs="Times New Roman"/>
      <w:sz w:val="44"/>
      <w:szCs w:val="44"/>
    </w:rPr>
  </w:style>
  <w:style w:type="character" w:customStyle="1" w:styleId="8">
    <w:name w:val="标题 2 Char"/>
    <w:link w:val="3"/>
    <w:qFormat/>
    <w:uiPriority w:val="0"/>
    <w:rPr>
      <w:rFonts w:ascii="Times New Roman" w:hAnsi="Times New Roman" w:eastAsia="楷体_GB2312" w:cs="Times New Roman"/>
      <w:sz w:val="32"/>
      <w:szCs w:val="32"/>
    </w:rPr>
  </w:style>
  <w:style w:type="paragraph" w:customStyle="1" w:styleId="9">
    <w:name w:val="小标题1.黑体"/>
    <w:basedOn w:val="1"/>
    <w:next w:val="4"/>
    <w:qFormat/>
    <w:uiPriority w:val="0"/>
    <w:pPr>
      <w:spacing w:line="560" w:lineRule="exact"/>
      <w:ind w:firstLine="420" w:firstLineChars="200"/>
    </w:pPr>
    <w:rPr>
      <w:rFonts w:ascii="Times New Roman" w:hAnsi="Times New Roman" w:eastAsia="黑体"/>
      <w:sz w:val="32"/>
      <w:szCs w:val="32"/>
    </w:rPr>
  </w:style>
  <w:style w:type="paragraph" w:customStyle="1" w:styleId="10">
    <w:name w:val="小标题2.楷体"/>
    <w:basedOn w:val="1"/>
    <w:next w:val="4"/>
    <w:qFormat/>
    <w:uiPriority w:val="0"/>
    <w:pPr>
      <w:spacing w:line="560" w:lineRule="exact"/>
    </w:pPr>
    <w:rPr>
      <w:rFonts w:ascii="Times New Roman" w:hAnsi="Times New Roman" w:eastAsia="楷体_GB2312"/>
      <w:sz w:val="32"/>
      <w:szCs w:val="32"/>
    </w:rPr>
  </w:style>
  <w:style w:type="paragraph" w:customStyle="1" w:styleId="11">
    <w:name w:val="正文标题111"/>
    <w:basedOn w:val="1"/>
    <w:next w:val="4"/>
    <w:qFormat/>
    <w:uiPriority w:val="0"/>
    <w:pPr>
      <w:spacing w:line="560" w:lineRule="exact"/>
      <w:ind w:firstLine="0" w:firstLineChars="0"/>
      <w:jc w:val="center"/>
      <w:outlineLvl w:val="0"/>
    </w:pPr>
    <w:rPr>
      <w:rFonts w:ascii="Times New Roman" w:hAnsi="Times New Roman" w:eastAsia="方正小标宋简体" w:cs="Times New Roman"/>
      <w:sz w:val="44"/>
      <w:szCs w:val="44"/>
    </w:rPr>
  </w:style>
  <w:style w:type="paragraph" w:customStyle="1" w:styleId="12">
    <w:name w:val="正文小标题1.黑体"/>
    <w:basedOn w:val="1"/>
    <w:next w:val="4"/>
    <w:qFormat/>
    <w:uiPriority w:val="0"/>
    <w:pPr>
      <w:spacing w:line="560" w:lineRule="exact"/>
      <w:ind w:firstLine="420" w:firstLineChars="200"/>
    </w:pPr>
    <w:rPr>
      <w:rFonts w:ascii="Times New Roman" w:hAnsi="Times New Roman" w:eastAsia="黑体"/>
      <w:sz w:val="32"/>
      <w:szCs w:val="32"/>
    </w:rPr>
  </w:style>
  <w:style w:type="paragraph" w:customStyle="1" w:styleId="13">
    <w:name w:val="正文小标题2.楷体"/>
    <w:basedOn w:val="1"/>
    <w:next w:val="4"/>
    <w:qFormat/>
    <w:uiPriority w:val="0"/>
    <w:pPr>
      <w:spacing w:line="560" w:lineRule="exact"/>
    </w:pPr>
    <w:rPr>
      <w:rFonts w:ascii="Times New Roman" w:hAnsi="Times New Roman" w:eastAsia="楷体_GB2312"/>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2026-04-28T14:41:00Z</dcterms:created>
  <dc:creator>kylin</dc:creator>
  <cp:lastModifiedBy>kylin</cp:lastModifiedBy>
  <dcterms:modified xsi:type="dcterms:W3CDTF">2026-04-27T16:25:01Z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