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D1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3984CD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</w:p>
    <w:p w14:paraId="32EAE5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鼓励支持工业企业高质量发展四条政策措施</w:t>
      </w:r>
    </w:p>
    <w:p w14:paraId="0B7ECD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 w:bidi="ar"/>
        </w:rPr>
        <w:t>（修订稿）</w:t>
      </w:r>
    </w:p>
    <w:p w14:paraId="0CFA00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1E0FA2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为鼓励、支持和引导工业企业向产业链、价值链高端延伸，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推动工业企业加快转型升级，不断做大做强做优，实现高质量发展，在国家和省有关政策的基础上，制定以下政策措施。</w:t>
      </w:r>
    </w:p>
    <w:p w14:paraId="22C974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一、支持企业做大做强</w:t>
      </w:r>
    </w:p>
    <w:p w14:paraId="25D0A7F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对年营业收入首次突破20亿元、50亿元、100亿元、150亿元的制造业企业一次性给予10万元、30万元、50万元、100万元奖励。上述奖励可重复享受。</w:t>
      </w:r>
      <w:r>
        <w:rPr>
          <w:rFonts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  <w:t>（牵头单位：市工信局，责任</w:t>
      </w:r>
      <w:r>
        <w:rPr>
          <w:rFonts w:hint="eastAsia"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  <w:t xml:space="preserve">单位：市财政局、市统计局） </w:t>
      </w:r>
    </w:p>
    <w:p w14:paraId="717CD6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二、支持单项冠军企业</w:t>
      </w:r>
    </w:p>
    <w:p w14:paraId="26FC9F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对新获评国家级制造业单项冠军示范企业的工业企业，给予20万元奖励；对新获评省级制造业单项冠军企业的工业企业，给予10万元奖励。上述奖励可重复享受。</w:t>
      </w:r>
      <w:r>
        <w:rPr>
          <w:rFonts w:hint="eastAsia"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  <w:t>（牵头单位：市工信局，责任单位：市财政局）</w:t>
      </w:r>
    </w:p>
    <w:p w14:paraId="0AD01E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三、支持智能化制造企业</w:t>
      </w:r>
    </w:p>
    <w:p w14:paraId="3F6948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对新评为省级智能制造标杆的工业企业、国家级智能制造优秀场景的工业企业，给予10万元奖励；对新入选国家级智能制造示范工厂揭榜单位的工业企业，给予20万元奖励；对新评为世界“灯塔工厂”的工业企业，给予100万元奖励。上述奖励可重复享受。</w:t>
      </w:r>
      <w:r>
        <w:rPr>
          <w:rFonts w:hint="eastAsia"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  <w:t>（牵头单位：市工信局，责任单位：市财政局）</w:t>
      </w:r>
    </w:p>
    <w:p w14:paraId="24DEBA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四、支持新增规上工业企业</w:t>
      </w:r>
    </w:p>
    <w:p w14:paraId="4121AB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对纳入升规企业培育库并首次上规入库的工业企业，给予企业经营者5万元奖励。</w:t>
      </w:r>
      <w:r>
        <w:rPr>
          <w:rFonts w:hint="eastAsia" w:ascii="楷体_GB2312" w:hAnsi="宋体" w:eastAsia="楷体_GB2312" w:cs="楷体_GB2312"/>
          <w:color w:val="000000"/>
          <w:kern w:val="0"/>
          <w:sz w:val="32"/>
          <w:szCs w:val="32"/>
          <w:lang w:val="en-US" w:eastAsia="zh-CN" w:bidi="ar"/>
        </w:rPr>
        <w:t>（牵头单位：市工信局，责任单位：市财政局、市统计局）</w:t>
      </w:r>
    </w:p>
    <w:p w14:paraId="07E520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五、其他事项</w:t>
      </w:r>
    </w:p>
    <w:p w14:paraId="7BCDA6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（一）同一企业可以重复享受上述四条奖励政策，累计奖励金额不超过企业上年度对地方的贡献。</w:t>
      </w:r>
    </w:p>
    <w:p w14:paraId="481A2E8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（二）以上政策措施自印发之日起施行，有效期至2025年12月31日，由市工信局负责具体解释工作。此前相关政策与上述政策措施不一致的，按本文件执行。</w:t>
      </w:r>
    </w:p>
    <w:p w14:paraId="45D5B684"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（三）每年由市工信局和市财政局联合发布申报指南，明确申报时间、申报条件、申报程序，并组织实施。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72C5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BA9EFA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BA9EFA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yZDcyODA2YzgwYmJlYTkzZjI2ZTE5NmUyMTg0ODgifQ=="/>
  </w:docVars>
  <w:rsids>
    <w:rsidRoot w:val="23B2130E"/>
    <w:rsid w:val="23B2130E"/>
    <w:rsid w:val="270B1CA4"/>
    <w:rsid w:val="2DF87595"/>
    <w:rsid w:val="2EE92499"/>
    <w:rsid w:val="335517FB"/>
    <w:rsid w:val="65784910"/>
    <w:rsid w:val="71383B78"/>
    <w:rsid w:val="7665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2143</Words>
  <Characters>2218</Characters>
  <Lines>0</Lines>
  <Paragraphs>0</Paragraphs>
  <TotalTime>4</TotalTime>
  <ScaleCrop>false</ScaleCrop>
  <LinksUpToDate>false</LinksUpToDate>
  <CharactersWithSpaces>2283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2024-08-07T03:31:00Z</dcterms:created>
  <dc:creator>Administrator</dc:creator>
  <cp:lastModifiedBy>张春</cp:lastModifiedBy>
  <dcterms:modified xsi:type="dcterms:W3CDTF">2024-09-06T00:37:11Z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89A137CEA21742F1ACBF5BC23014064A_13</vt:lpwstr>
  </property>
</Properties>
</file>