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3F1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4F7AB00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</w:p>
    <w:p w14:paraId="3097566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 xml:space="preserve">鼓励支持“专精特新”中小企业三条政策措施 </w:t>
      </w:r>
    </w:p>
    <w:p w14:paraId="1BD1BCB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 w14:paraId="2A92D2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为加快推进中小企业向“专精特新”方向发展，着力打造一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批专注于细分市场、创新能力强、质量效益优、市场占有率高、掌握关键核心技术的“专精特新”中小企业，带动产业基础能力和产业链水平提升，在国家和省有关政策的基础上，制定以下政策措施。</w:t>
      </w:r>
    </w:p>
    <w:p w14:paraId="62005A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一、资金奖励</w:t>
      </w:r>
    </w:p>
    <w:p w14:paraId="4A3A06D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宋体" w:eastAsia="楷体_GB2312" w:cs="楷体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对新认定的国家级专精特新“小巨人”企业、省级“专精特新”示范企业、省级“专精特新”中小企业，分别给予50万元、30万元、10万元奖励。上述奖励可重复享受。</w:t>
      </w:r>
      <w:r>
        <w:rPr>
          <w:rFonts w:ascii="楷体_GB2312" w:hAnsi="宋体" w:eastAsia="楷体_GB2312" w:cs="楷体_GB2312"/>
          <w:color w:val="000000"/>
          <w:kern w:val="0"/>
          <w:sz w:val="32"/>
          <w:szCs w:val="32"/>
          <w:lang w:val="en-US" w:eastAsia="zh-CN" w:bidi="ar"/>
        </w:rPr>
        <w:t>（牵头单位：市工</w:t>
      </w:r>
      <w:r>
        <w:rPr>
          <w:rFonts w:hint="eastAsia" w:ascii="楷体_GB2312" w:hAnsi="宋体" w:eastAsia="楷体_GB2312" w:cs="楷体_GB2312"/>
          <w:color w:val="000000"/>
          <w:kern w:val="0"/>
          <w:sz w:val="32"/>
          <w:szCs w:val="32"/>
          <w:lang w:val="en-US" w:eastAsia="zh-CN" w:bidi="ar"/>
        </w:rPr>
        <w:t>信局，责任单位：市财政局）</w:t>
      </w:r>
    </w:p>
    <w:p w14:paraId="6DCA89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二、金融扶持</w:t>
      </w:r>
    </w:p>
    <w:p w14:paraId="4AA33E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宋体" w:eastAsia="楷体_GB2312" w:cs="楷体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鼓励和引导金融机构聚焦“专精特新”中小企业，对“专精特新”中小企业较上年实际新增贷款，按照贷款当期LPR利率的20％给予利息补贴，单个贷款项目最高给予12个月财政贴息。</w:t>
      </w:r>
      <w:r>
        <w:rPr>
          <w:rFonts w:hint="eastAsia" w:ascii="楷体_GB2312" w:hAnsi="宋体" w:eastAsia="楷体_GB2312" w:cs="楷体_GB2312"/>
          <w:color w:val="000000"/>
          <w:kern w:val="0"/>
          <w:sz w:val="32"/>
          <w:szCs w:val="32"/>
          <w:lang w:val="en-US" w:eastAsia="zh-CN" w:bidi="ar"/>
        </w:rPr>
        <w:t>（牵头单位：市工信局，责任单位：市财政局、市金融监管局、人行秦皇岛市中心支行、秦皇岛银保监分局）</w:t>
      </w:r>
    </w:p>
    <w:p w14:paraId="573A82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三、数字化扶持</w:t>
      </w:r>
    </w:p>
    <w:p w14:paraId="58AE1FD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宋体" w:eastAsia="楷体_GB2312" w:cs="楷体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支持“专精特新”中小企业开展“制造业+互联网”新模式新业态应用，对自动化设备购置与改造、信息化软硬件购置、系统开发与服务等费用，按照不高于实际投入额的10％给予支持，最高不超过20万元，每年不超过5家。</w:t>
      </w:r>
      <w:r>
        <w:rPr>
          <w:rFonts w:hint="eastAsia" w:ascii="楷体_GB2312" w:hAnsi="宋体" w:eastAsia="楷体_GB2312" w:cs="楷体_GB2312"/>
          <w:color w:val="000000"/>
          <w:kern w:val="0"/>
          <w:sz w:val="32"/>
          <w:szCs w:val="32"/>
          <w:lang w:val="en-US" w:eastAsia="zh-CN" w:bidi="ar"/>
        </w:rPr>
        <w:t>（牵头单位：市工信局，责任单位：市财政局）</w:t>
      </w:r>
    </w:p>
    <w:p w14:paraId="567BEA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四、其他事项</w:t>
      </w:r>
    </w:p>
    <w:p w14:paraId="0CA082C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（一）同一企业可以重复享受上述三条奖励政策，累计奖励金额不超过企业上年度对地方的贡献。</w:t>
      </w:r>
    </w:p>
    <w:p w14:paraId="54C531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（二）以上政策措施自印发之日起施行，有效期至2025年12月31日，由市工信局负责具体解释工作。此前相关政策与上述政策措施不一致的，按本文件执行。</w:t>
      </w:r>
    </w:p>
    <w:p w14:paraId="2401CE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（三）每年由市工信局和市财政局联合发布申报指南，明确申报时间、申报条件、申报程序，并组织实施。</w:t>
      </w:r>
      <w:bookmarkStart w:id="0" w:name="_GoBack"/>
      <w:bookmarkEnd w:id="0"/>
    </w:p>
    <w:p w14:paraId="45D5B684"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72C5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BA9EFA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BA9EFA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yZDcyODA2YzgwYmJlYTkzZjI2ZTE5NmUyMTg0ODgifQ=="/>
  </w:docVars>
  <w:rsids>
    <w:rsidRoot w:val="23B2130E"/>
    <w:rsid w:val="23B2130E"/>
    <w:rsid w:val="270B1CA4"/>
    <w:rsid w:val="2C617D81"/>
    <w:rsid w:val="2DF87595"/>
    <w:rsid w:val="2EE92499"/>
    <w:rsid w:val="335517FB"/>
    <w:rsid w:val="65784910"/>
    <w:rsid w:val="7665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3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2143</Words>
  <Characters>2218</Characters>
  <Lines>0</Lines>
  <Paragraphs>0</Paragraphs>
  <TotalTime>4</TotalTime>
  <ScaleCrop>false</ScaleCrop>
  <LinksUpToDate>false</LinksUpToDate>
  <CharactersWithSpaces>2283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2024-08-07T03:31:00Z</dcterms:created>
  <dc:creator>Administrator</dc:creator>
  <cp:lastModifiedBy>张春</cp:lastModifiedBy>
  <dcterms:modified xsi:type="dcterms:W3CDTF">2024-09-06T00:37:31Z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89A137CEA21742F1ACBF5BC23014064A_13</vt:lpwstr>
  </property>
</Properties>
</file>