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000000" w:themeColor="text1"/>
          <w:spacing w:val="23"/>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pacing w:val="23"/>
          <w:sz w:val="44"/>
          <w:szCs w:val="44"/>
          <w14:textFill>
            <w14:solidFill>
              <w14:schemeClr w14:val="tx1"/>
            </w14:solidFill>
          </w14:textFill>
        </w:rPr>
        <w:t>驻马店市“十</w:t>
      </w:r>
      <w:r>
        <w:rPr>
          <w:rFonts w:hint="eastAsia" w:ascii="方正小标宋简体" w:hAnsi="方正小标宋简体" w:eastAsia="方正小标宋简体" w:cs="方正小标宋简体"/>
          <w:color w:val="000000" w:themeColor="text1"/>
          <w:spacing w:val="23"/>
          <w:sz w:val="44"/>
          <w:szCs w:val="44"/>
          <w:lang w:eastAsia="zh-CN"/>
          <w14:textFill>
            <w14:solidFill>
              <w14:schemeClr w14:val="tx1"/>
            </w14:solidFill>
          </w14:textFill>
        </w:rPr>
        <w:t>五</w:t>
      </w:r>
      <w:r>
        <w:rPr>
          <w:rFonts w:hint="eastAsia" w:ascii="方正小标宋简体" w:hAnsi="方正小标宋简体" w:eastAsia="方正小标宋简体" w:cs="方正小标宋简体"/>
          <w:color w:val="000000" w:themeColor="text1"/>
          <w:spacing w:val="23"/>
          <w:sz w:val="44"/>
          <w:szCs w:val="44"/>
          <w14:textFill>
            <w14:solidFill>
              <w14:schemeClr w14:val="tx1"/>
            </w14:solidFill>
          </w14:textFill>
        </w:rPr>
        <w:t>五”</w:t>
      </w:r>
      <w:r>
        <w:rPr>
          <w:rFonts w:hint="eastAsia" w:ascii="方正小标宋简体" w:hAnsi="方正小标宋简体" w:eastAsia="方正小标宋简体" w:cs="方正小标宋简体"/>
          <w:color w:val="000000" w:themeColor="text1"/>
          <w:spacing w:val="23"/>
          <w:sz w:val="44"/>
          <w:szCs w:val="44"/>
          <w:lang w:val="en-US" w:eastAsia="zh-CN"/>
          <w14:textFill>
            <w14:solidFill>
              <w14:schemeClr w14:val="tx1"/>
            </w14:solidFill>
          </w14:textFill>
        </w:rPr>
        <w:t>现代</w:t>
      </w:r>
      <w:r>
        <w:rPr>
          <w:rFonts w:hint="eastAsia" w:ascii="方正小标宋简体" w:hAnsi="方正小标宋简体" w:eastAsia="方正小标宋简体" w:cs="方正小标宋简体"/>
          <w:color w:val="000000" w:themeColor="text1"/>
          <w:spacing w:val="23"/>
          <w:sz w:val="44"/>
          <w:szCs w:val="44"/>
          <w14:textFill>
            <w14:solidFill>
              <w14:schemeClr w14:val="tx1"/>
            </w14:solidFill>
          </w14:textFill>
        </w:rPr>
        <w:t>服务业</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000000" w:themeColor="text1"/>
          <w:spacing w:val="23"/>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pacing w:val="23"/>
          <w:sz w:val="44"/>
          <w:szCs w:val="44"/>
          <w:lang w:eastAsia="zh-CN"/>
          <w14:textFill>
            <w14:solidFill>
              <w14:schemeClr w14:val="tx1"/>
            </w14:solidFill>
          </w14:textFill>
        </w:rPr>
        <w:t>高质量</w:t>
      </w:r>
      <w:r>
        <w:rPr>
          <w:rFonts w:hint="eastAsia" w:ascii="方正小标宋简体" w:hAnsi="方正小标宋简体" w:eastAsia="方正小标宋简体" w:cs="方正小标宋简体"/>
          <w:color w:val="000000" w:themeColor="text1"/>
          <w:spacing w:val="23"/>
          <w:sz w:val="44"/>
          <w:szCs w:val="44"/>
          <w14:textFill>
            <w14:solidFill>
              <w14:schemeClr w14:val="tx1"/>
            </w14:solidFill>
          </w14:textFill>
        </w:rPr>
        <w:t>发展规划</w:t>
      </w:r>
    </w:p>
    <w:p>
      <w:pPr>
        <w:keepNext w:val="0"/>
        <w:keepLines w:val="0"/>
        <w:pageBreakBefore w:val="0"/>
        <w:widowControl w:val="0"/>
        <w:kinsoku/>
        <w:wordWrap/>
        <w:overflowPunct/>
        <w:topLinePunct w:val="0"/>
        <w:autoSpaceDE/>
        <w:autoSpaceDN/>
        <w:bidi w:val="0"/>
        <w:adjustRightInd/>
        <w:snapToGrid/>
        <w:spacing w:before="145" w:beforeLines="50" w:line="580" w:lineRule="exact"/>
        <w:jc w:val="center"/>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lang w:val="en-US" w:eastAsia="zh-CN"/>
          <w14:textFill>
            <w14:solidFill>
              <w14:schemeClr w14:val="tx1"/>
            </w14:solidFill>
          </w14:textFill>
        </w:rPr>
        <w:t>征求意见稿）</w:t>
      </w:r>
    </w:p>
    <w:p>
      <w:pPr>
        <w:keepNext w:val="0"/>
        <w:keepLines w:val="0"/>
        <w:pageBreakBefore w:val="0"/>
        <w:widowControl w:val="0"/>
        <w:kinsoku/>
        <w:wordWrap/>
        <w:overflowPunct/>
        <w:topLinePunct w:val="0"/>
        <w:autoSpaceDE/>
        <w:autoSpaceDN/>
        <w:bidi w:val="0"/>
        <w:adjustRightInd/>
        <w:snapToGrid/>
        <w:spacing w:line="50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14:textFill>
            <w14:solidFill>
              <w14:schemeClr w14:val="tx1"/>
            </w14:solidFill>
          </w14:textFill>
        </w:rPr>
      </w:pPr>
      <w:r>
        <w:rPr>
          <w:rFonts w:hint="eastAsia" w:ascii="仿宋" w:hAnsi="仿宋" w:eastAsia="仿宋" w:cs="仿宋"/>
          <w:color w:val="000000" w:themeColor="text1"/>
          <w:spacing w:val="11"/>
          <w:sz w:val="32"/>
          <w:szCs w:val="32"/>
          <w:lang w:eastAsia="zh-CN"/>
          <w14:textFill>
            <w14:solidFill>
              <w14:schemeClr w14:val="tx1"/>
            </w14:solidFill>
          </w14:textFill>
        </w:rPr>
        <w:t>为加快构建特色鲜明、优质高效、富有活力的高质量现代服务业体系，进一步提升全市服务业发展规模、层次和竞争力，更好地融入新发展格局，</w:t>
      </w:r>
      <w:r>
        <w:rPr>
          <w:rFonts w:hint="eastAsia" w:ascii="仿宋" w:hAnsi="仿宋" w:eastAsia="仿宋" w:cs="仿宋"/>
          <w:color w:val="000000" w:themeColor="text1"/>
          <w:spacing w:val="11"/>
          <w:sz w:val="32"/>
          <w:szCs w:val="32"/>
          <w14:textFill>
            <w14:solidFill>
              <w14:schemeClr w14:val="tx1"/>
            </w14:solidFill>
          </w14:textFill>
        </w:rPr>
        <w:t>根据</w:t>
      </w:r>
      <w:r>
        <w:rPr>
          <w:rFonts w:hint="eastAsia" w:ascii="仿宋" w:hAnsi="仿宋" w:eastAsia="仿宋" w:cs="仿宋"/>
          <w:color w:val="000000" w:themeColor="text1"/>
          <w:spacing w:val="11"/>
          <w:sz w:val="32"/>
          <w:szCs w:val="32"/>
          <w:lang w:eastAsia="zh-CN"/>
          <w14:textFill>
            <w14:solidFill>
              <w14:schemeClr w14:val="tx1"/>
            </w14:solidFill>
          </w14:textFill>
        </w:rPr>
        <w:t>国家和省《</w:t>
      </w:r>
      <w:r>
        <w:rPr>
          <w:rFonts w:hint="eastAsia" w:ascii="仿宋" w:hAnsi="仿宋" w:eastAsia="仿宋" w:cs="仿宋"/>
          <w:color w:val="000000" w:themeColor="text1"/>
          <w:spacing w:val="11"/>
          <w:sz w:val="32"/>
          <w:szCs w:val="32"/>
          <w:lang w:val="en-US" w:eastAsia="zh-CN"/>
          <w14:textFill>
            <w14:solidFill>
              <w14:schemeClr w14:val="tx1"/>
            </w14:solidFill>
          </w14:textFill>
        </w:rPr>
        <w:t>关于推进服务业扩能提质的意见</w:t>
      </w:r>
      <w:r>
        <w:rPr>
          <w:rFonts w:hint="eastAsia" w:ascii="仿宋" w:hAnsi="仿宋" w:eastAsia="仿宋" w:cs="仿宋"/>
          <w:color w:val="000000" w:themeColor="text1"/>
          <w:spacing w:val="11"/>
          <w:sz w:val="32"/>
          <w:szCs w:val="32"/>
          <w:lang w:eastAsia="zh-CN"/>
          <w14:textFill>
            <w14:solidFill>
              <w14:schemeClr w14:val="tx1"/>
            </w14:solidFill>
          </w14:textFill>
        </w:rPr>
        <w:t>》和</w:t>
      </w:r>
      <w:r>
        <w:rPr>
          <w:rFonts w:hint="eastAsia" w:ascii="仿宋" w:hAnsi="仿宋" w:eastAsia="仿宋" w:cs="仿宋"/>
          <w:color w:val="000000" w:themeColor="text1"/>
          <w:spacing w:val="11"/>
          <w:sz w:val="32"/>
          <w:szCs w:val="32"/>
          <w14:textFill>
            <w14:solidFill>
              <w14:schemeClr w14:val="tx1"/>
            </w14:solidFill>
          </w14:textFill>
        </w:rPr>
        <w:t>《驻马店</w:t>
      </w:r>
      <w:r>
        <w:rPr>
          <w:rFonts w:hint="eastAsia" w:ascii="仿宋" w:hAnsi="仿宋" w:eastAsia="仿宋" w:cs="仿宋"/>
          <w:color w:val="000000" w:themeColor="text1"/>
          <w:spacing w:val="11"/>
          <w:sz w:val="32"/>
          <w:szCs w:val="32"/>
          <w:lang w:val="en-US" w:eastAsia="zh-CN"/>
          <w14:textFill>
            <w14:solidFill>
              <w14:schemeClr w14:val="tx1"/>
            </w14:solidFill>
          </w14:textFill>
        </w:rPr>
        <w:t>市</w:t>
      </w:r>
      <w:r>
        <w:rPr>
          <w:rFonts w:hint="eastAsia" w:ascii="仿宋" w:hAnsi="仿宋" w:eastAsia="仿宋" w:cs="仿宋"/>
          <w:color w:val="000000" w:themeColor="text1"/>
          <w:spacing w:val="11"/>
          <w:sz w:val="32"/>
          <w:szCs w:val="32"/>
          <w14:textFill>
            <w14:solidFill>
              <w14:schemeClr w14:val="tx1"/>
            </w14:solidFill>
          </w14:textFill>
        </w:rPr>
        <w:t>国民经济和社会发展第十</w:t>
      </w:r>
      <w:r>
        <w:rPr>
          <w:rFonts w:hint="eastAsia" w:ascii="仿宋" w:hAnsi="仿宋" w:eastAsia="仿宋" w:cs="仿宋"/>
          <w:color w:val="000000" w:themeColor="text1"/>
          <w:spacing w:val="11"/>
          <w:sz w:val="32"/>
          <w:szCs w:val="32"/>
          <w:lang w:eastAsia="zh-CN"/>
          <w14:textFill>
            <w14:solidFill>
              <w14:schemeClr w14:val="tx1"/>
            </w14:solidFill>
          </w14:textFill>
        </w:rPr>
        <w:t>五</w:t>
      </w:r>
      <w:r>
        <w:rPr>
          <w:rFonts w:hint="eastAsia" w:ascii="仿宋" w:hAnsi="仿宋" w:eastAsia="仿宋" w:cs="仿宋"/>
          <w:color w:val="000000" w:themeColor="text1"/>
          <w:spacing w:val="11"/>
          <w:sz w:val="32"/>
          <w:szCs w:val="32"/>
          <w14:textFill>
            <w14:solidFill>
              <w14:schemeClr w14:val="tx1"/>
            </w14:solidFill>
          </w14:textFill>
        </w:rPr>
        <w:t>个五年规划</w:t>
      </w:r>
      <w:r>
        <w:rPr>
          <w:rFonts w:hint="eastAsia" w:ascii="仿宋" w:hAnsi="仿宋" w:eastAsia="仿宋" w:cs="仿宋"/>
          <w:color w:val="000000" w:themeColor="text1"/>
          <w:spacing w:val="11"/>
          <w:sz w:val="32"/>
          <w:szCs w:val="32"/>
          <w:lang w:val="en-US" w:eastAsia="zh-CN"/>
          <w14:textFill>
            <w14:solidFill>
              <w14:schemeClr w14:val="tx1"/>
            </w14:solidFill>
          </w14:textFill>
        </w:rPr>
        <w:t>和</w:t>
      </w:r>
      <w:r>
        <w:rPr>
          <w:rFonts w:hint="eastAsia" w:ascii="仿宋" w:hAnsi="仿宋" w:eastAsia="仿宋" w:cs="仿宋"/>
          <w:color w:val="000000" w:themeColor="text1"/>
          <w:spacing w:val="11"/>
          <w:sz w:val="32"/>
          <w:szCs w:val="32"/>
          <w14:textFill>
            <w14:solidFill>
              <w14:schemeClr w14:val="tx1"/>
            </w14:solidFill>
          </w14:textFill>
        </w:rPr>
        <w:t>二○三五</w:t>
      </w:r>
      <w:r>
        <w:rPr>
          <w:rFonts w:hint="eastAsia" w:ascii="仿宋" w:hAnsi="仿宋" w:eastAsia="仿宋" w:cs="仿宋"/>
          <w:color w:val="000000" w:themeColor="text1"/>
          <w:spacing w:val="11"/>
          <w:sz w:val="32"/>
          <w:szCs w:val="32"/>
          <w:lang w:val="en-US" w:eastAsia="zh-CN"/>
          <w14:textFill>
            <w14:solidFill>
              <w14:schemeClr w14:val="tx1"/>
            </w14:solidFill>
          </w14:textFill>
        </w:rPr>
        <w:t>年远景目标纲要</w:t>
      </w:r>
      <w:r>
        <w:rPr>
          <w:rFonts w:hint="eastAsia" w:ascii="仿宋" w:hAnsi="仿宋" w:eastAsia="仿宋" w:cs="仿宋"/>
          <w:color w:val="000000" w:themeColor="text1"/>
          <w:spacing w:val="11"/>
          <w:sz w:val="32"/>
          <w:szCs w:val="32"/>
          <w14:textFill>
            <w14:solidFill>
              <w14:schemeClr w14:val="tx1"/>
            </w14:solidFill>
          </w14:textFill>
        </w:rPr>
        <w:t>》等文件，</w:t>
      </w:r>
      <w:r>
        <w:rPr>
          <w:rFonts w:hint="eastAsia" w:ascii="仿宋" w:hAnsi="仿宋" w:eastAsia="仿宋" w:cs="仿宋"/>
          <w:color w:val="000000" w:themeColor="text1"/>
          <w:spacing w:val="11"/>
          <w:sz w:val="32"/>
          <w:szCs w:val="32"/>
          <w:lang w:eastAsia="zh-CN"/>
          <w14:textFill>
            <w14:solidFill>
              <w14:schemeClr w14:val="tx1"/>
            </w14:solidFill>
          </w14:textFill>
        </w:rPr>
        <w:t>结合</w:t>
      </w:r>
      <w:r>
        <w:rPr>
          <w:rFonts w:hint="eastAsia" w:ascii="仿宋" w:hAnsi="仿宋" w:eastAsia="仿宋" w:cs="仿宋"/>
          <w:color w:val="000000" w:themeColor="text1"/>
          <w:spacing w:val="11"/>
          <w:sz w:val="32"/>
          <w:szCs w:val="32"/>
          <w:lang w:val="en-US" w:eastAsia="zh-CN"/>
          <w14:textFill>
            <w14:solidFill>
              <w14:schemeClr w14:val="tx1"/>
            </w14:solidFill>
          </w14:textFill>
        </w:rPr>
        <w:t>实际，制定本</w:t>
      </w:r>
      <w:r>
        <w:rPr>
          <w:rFonts w:hint="eastAsia" w:ascii="仿宋" w:hAnsi="仿宋" w:eastAsia="仿宋" w:cs="仿宋"/>
          <w:color w:val="000000" w:themeColor="text1"/>
          <w:spacing w:val="11"/>
          <w:sz w:val="32"/>
          <w:szCs w:val="32"/>
          <w14:textFill>
            <w14:solidFill>
              <w14:schemeClr w14:val="tx1"/>
            </w14:solidFill>
          </w14:textFill>
        </w:rPr>
        <w:t>规划。</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黑体" w:hAnsi="黑体" w:eastAsia="黑体" w:cs="黑体"/>
          <w:color w:val="000000" w:themeColor="text1"/>
          <w:spacing w:val="11"/>
          <w:sz w:val="32"/>
          <w:szCs w:val="32"/>
          <w:lang w:eastAsia="zh-CN"/>
          <w14:textFill>
            <w14:solidFill>
              <w14:schemeClr w14:val="tx1"/>
            </w14:solidFill>
          </w14:textFill>
        </w:rPr>
      </w:pPr>
      <w:bookmarkStart w:id="0" w:name="_Toc19418"/>
      <w:bookmarkStart w:id="1" w:name="_Toc89724572"/>
      <w:bookmarkStart w:id="2" w:name="_Toc28638"/>
      <w:bookmarkStart w:id="3" w:name="_Toc2046"/>
      <w:r>
        <w:rPr>
          <w:rFonts w:hint="eastAsia" w:ascii="黑体" w:hAnsi="黑体" w:eastAsia="黑体" w:cs="黑体"/>
          <w:color w:val="000000" w:themeColor="text1"/>
          <w:spacing w:val="11"/>
          <w:sz w:val="32"/>
          <w:szCs w:val="32"/>
          <w:lang w:val="en-US" w:eastAsia="zh-CN"/>
          <w14:textFill>
            <w14:solidFill>
              <w14:schemeClr w14:val="tx1"/>
            </w14:solidFill>
          </w14:textFill>
        </w:rPr>
        <w:t>一、</w:t>
      </w:r>
      <w:bookmarkEnd w:id="0"/>
      <w:bookmarkEnd w:id="1"/>
      <w:bookmarkEnd w:id="2"/>
      <w:bookmarkEnd w:id="3"/>
      <w:bookmarkStart w:id="4" w:name="_Toc89724573"/>
      <w:bookmarkStart w:id="5" w:name="_Toc25591"/>
      <w:bookmarkStart w:id="6" w:name="_Toc24986"/>
      <w:bookmarkStart w:id="7" w:name="_Toc3896"/>
      <w:r>
        <w:rPr>
          <w:rFonts w:hint="eastAsia" w:ascii="黑体" w:hAnsi="黑体" w:eastAsia="黑体" w:cs="黑体"/>
          <w:color w:val="000000" w:themeColor="text1"/>
          <w:spacing w:val="11"/>
          <w:sz w:val="32"/>
          <w:szCs w:val="32"/>
          <w:lang w:eastAsia="zh-CN"/>
          <w14:textFill>
            <w14:solidFill>
              <w14:schemeClr w14:val="tx1"/>
            </w14:solidFill>
          </w14:textFill>
        </w:rPr>
        <w:t>发展基础</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eastAsia="zh-CN"/>
          <w14:textFill>
            <w14:solidFill>
              <w14:schemeClr w14:val="tx1"/>
            </w14:solidFill>
          </w14:textFill>
        </w:rPr>
      </w:pP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lang w:val="en-US" w:eastAsia="zh-CN"/>
          <w14:textFill>
            <w14:solidFill>
              <w14:schemeClr w14:val="tx1"/>
            </w14:solidFill>
          </w14:textFill>
        </w:rPr>
        <w:t>一</w:t>
      </w: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14:textFill>
            <w14:solidFill>
              <w14:schemeClr w14:val="tx1"/>
            </w14:solidFill>
          </w14:textFill>
        </w:rPr>
        <w:t>发展</w:t>
      </w:r>
      <w:bookmarkEnd w:id="4"/>
      <w:bookmarkEnd w:id="5"/>
      <w:bookmarkEnd w:id="6"/>
      <w:bookmarkEnd w:id="7"/>
      <w:r>
        <w:rPr>
          <w:rFonts w:hint="eastAsia" w:ascii="楷体" w:hAnsi="楷体" w:eastAsia="楷体" w:cs="楷体"/>
          <w:color w:val="000000" w:themeColor="text1"/>
          <w:spacing w:val="11"/>
          <w:sz w:val="32"/>
          <w:szCs w:val="32"/>
          <w:lang w:eastAsia="zh-CN"/>
          <w14:textFill>
            <w14:solidFill>
              <w14:schemeClr w14:val="tx1"/>
            </w14:solidFill>
          </w14:textFill>
        </w:rPr>
        <w:t>成效</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bookmarkStart w:id="8" w:name="_Toc89724574"/>
      <w:bookmarkStart w:id="9" w:name="_Toc6336"/>
      <w:bookmarkStart w:id="10" w:name="_Toc28269"/>
      <w:r>
        <w:rPr>
          <w:rFonts w:hint="eastAsia" w:ascii="仿宋" w:hAnsi="仿宋" w:eastAsia="仿宋" w:cs="仿宋"/>
          <w:b/>
          <w:bCs/>
          <w:color w:val="000000" w:themeColor="text1"/>
          <w:spacing w:val="11"/>
          <w:sz w:val="32"/>
          <w:szCs w:val="32"/>
          <w:lang w:val="en-US" w:eastAsia="zh-CN"/>
          <w14:textFill>
            <w14:solidFill>
              <w14:schemeClr w14:val="tx1"/>
            </w14:solidFill>
          </w14:textFill>
        </w:rPr>
        <w:t>1.</w:t>
      </w:r>
      <w:bookmarkEnd w:id="8"/>
      <w:bookmarkEnd w:id="9"/>
      <w:bookmarkEnd w:id="10"/>
      <w:r>
        <w:rPr>
          <w:rFonts w:hint="eastAsia" w:ascii="仿宋" w:hAnsi="仿宋" w:eastAsia="仿宋" w:cs="仿宋"/>
          <w:b/>
          <w:bCs/>
          <w:color w:val="000000" w:themeColor="text1"/>
          <w:spacing w:val="11"/>
          <w:sz w:val="32"/>
          <w:szCs w:val="32"/>
          <w:lang w:eastAsia="zh-CN"/>
          <w14:textFill>
            <w14:solidFill>
              <w14:schemeClr w14:val="tx1"/>
            </w14:solidFill>
          </w14:textFill>
        </w:rPr>
        <w:t>总量规模显著提升。</w:t>
      </w:r>
      <w:r>
        <w:rPr>
          <w:rFonts w:hint="eastAsia" w:ascii="仿宋" w:hAnsi="仿宋" w:eastAsia="仿宋" w:cs="仿宋"/>
          <w:color w:val="000000" w:themeColor="text1"/>
          <w:spacing w:val="11"/>
          <w:sz w:val="32"/>
          <w:szCs w:val="32"/>
          <w14:textFill>
            <w14:solidFill>
              <w14:schemeClr w14:val="tx1"/>
            </w14:solidFill>
          </w14:textFill>
        </w:rPr>
        <w:t>“十</w:t>
      </w:r>
      <w:r>
        <w:rPr>
          <w:rFonts w:hint="eastAsia" w:ascii="仿宋" w:hAnsi="仿宋" w:eastAsia="仿宋" w:cs="仿宋"/>
          <w:color w:val="000000" w:themeColor="text1"/>
          <w:spacing w:val="11"/>
          <w:sz w:val="32"/>
          <w:szCs w:val="32"/>
          <w:lang w:eastAsia="zh-CN"/>
          <w14:textFill>
            <w14:solidFill>
              <w14:schemeClr w14:val="tx1"/>
            </w14:solidFill>
          </w14:textFill>
        </w:rPr>
        <w:t>四</w:t>
      </w:r>
      <w:r>
        <w:rPr>
          <w:rFonts w:hint="eastAsia" w:ascii="仿宋" w:hAnsi="仿宋" w:eastAsia="仿宋" w:cs="仿宋"/>
          <w:color w:val="000000" w:themeColor="text1"/>
          <w:spacing w:val="11"/>
          <w:sz w:val="32"/>
          <w:szCs w:val="32"/>
          <w14:textFill>
            <w14:solidFill>
              <w14:schemeClr w14:val="tx1"/>
            </w14:solidFill>
          </w14:textFill>
        </w:rPr>
        <w:t>五”期间，我市服务业</w:t>
      </w:r>
      <w:r>
        <w:rPr>
          <w:rFonts w:hint="eastAsia" w:ascii="仿宋" w:hAnsi="仿宋" w:eastAsia="仿宋" w:cs="仿宋"/>
          <w:color w:val="000000" w:themeColor="text1"/>
          <w:spacing w:val="11"/>
          <w:sz w:val="32"/>
          <w:szCs w:val="32"/>
          <w:lang w:eastAsia="zh-CN"/>
          <w14:textFill>
            <w14:solidFill>
              <w14:schemeClr w14:val="tx1"/>
            </w14:solidFill>
          </w14:textFill>
        </w:rPr>
        <w:t>总体规模不断扩大，内部结构不继优化</w:t>
      </w:r>
      <w:r>
        <w:rPr>
          <w:rFonts w:hint="eastAsia" w:ascii="仿宋" w:hAnsi="仿宋" w:eastAsia="仿宋" w:cs="仿宋"/>
          <w:color w:val="000000" w:themeColor="text1"/>
          <w:spacing w:val="11"/>
          <w:sz w:val="32"/>
          <w:szCs w:val="32"/>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2025年</w:t>
      </w:r>
      <w:r>
        <w:rPr>
          <w:rFonts w:hint="eastAsia" w:ascii="仿宋" w:hAnsi="仿宋" w:eastAsia="仿宋" w:cs="仿宋"/>
          <w:color w:val="000000" w:themeColor="text1"/>
          <w:spacing w:val="11"/>
          <w:sz w:val="32"/>
          <w:szCs w:val="32"/>
          <w14:textFill>
            <w14:solidFill>
              <w14:schemeClr w14:val="tx1"/>
            </w14:solidFill>
          </w14:textFill>
        </w:rPr>
        <w:t>全市服务业增加值达到</w:t>
      </w:r>
      <w:r>
        <w:rPr>
          <w:rFonts w:hint="eastAsia" w:ascii="仿宋" w:hAnsi="仿宋" w:eastAsia="仿宋" w:cs="仿宋"/>
          <w:color w:val="000000" w:themeColor="text1"/>
          <w:spacing w:val="11"/>
          <w:sz w:val="32"/>
          <w:szCs w:val="32"/>
          <w:lang w:val="en-US" w:eastAsia="zh-CN"/>
          <w14:textFill>
            <w14:solidFill>
              <w14:schemeClr w14:val="tx1"/>
            </w14:solidFill>
          </w14:textFill>
        </w:rPr>
        <w:t>1835.81</w:t>
      </w:r>
      <w:r>
        <w:rPr>
          <w:rFonts w:hint="eastAsia" w:ascii="仿宋" w:hAnsi="仿宋" w:eastAsia="仿宋" w:cs="仿宋"/>
          <w:color w:val="000000" w:themeColor="text1"/>
          <w:spacing w:val="11"/>
          <w:sz w:val="32"/>
          <w:szCs w:val="32"/>
          <w14:textFill>
            <w14:solidFill>
              <w14:schemeClr w14:val="tx1"/>
            </w14:solidFill>
          </w14:textFill>
        </w:rPr>
        <w:t>亿元，增长</w:t>
      </w:r>
      <w:r>
        <w:rPr>
          <w:rFonts w:hint="eastAsia" w:ascii="仿宋" w:hAnsi="仿宋" w:eastAsia="仿宋" w:cs="仿宋"/>
          <w:color w:val="000000" w:themeColor="text1"/>
          <w:spacing w:val="11"/>
          <w:sz w:val="32"/>
          <w:szCs w:val="32"/>
          <w:lang w:val="en-US" w:eastAsia="zh-CN"/>
          <w14:textFill>
            <w14:solidFill>
              <w14:schemeClr w14:val="tx1"/>
            </w14:solidFill>
          </w14:textFill>
        </w:rPr>
        <w:t>7</w:t>
      </w:r>
      <w:r>
        <w:rPr>
          <w:rFonts w:hint="eastAsia" w:ascii="仿宋" w:hAnsi="仿宋" w:eastAsia="仿宋" w:cs="仿宋"/>
          <w:color w:val="000000" w:themeColor="text1"/>
          <w:spacing w:val="11"/>
          <w:sz w:val="32"/>
          <w:szCs w:val="32"/>
          <w14:textFill>
            <w14:solidFill>
              <w14:schemeClr w14:val="tx1"/>
            </w14:solidFill>
          </w14:textFill>
        </w:rPr>
        <w:t>.4%，</w:t>
      </w:r>
      <w:r>
        <w:rPr>
          <w:rFonts w:hint="eastAsia" w:ascii="仿宋" w:hAnsi="仿宋" w:eastAsia="仿宋" w:cs="仿宋"/>
          <w:color w:val="000000" w:themeColor="text1"/>
          <w:spacing w:val="11"/>
          <w:sz w:val="32"/>
          <w:szCs w:val="32"/>
          <w:lang w:eastAsia="zh-CN"/>
          <w14:textFill>
            <w14:solidFill>
              <w14:schemeClr w14:val="tx1"/>
            </w14:solidFill>
          </w14:textFill>
        </w:rPr>
        <w:t>总量位居全省第</w:t>
      </w:r>
      <w:r>
        <w:rPr>
          <w:rFonts w:hint="eastAsia" w:ascii="仿宋" w:hAnsi="仿宋" w:eastAsia="仿宋" w:cs="仿宋"/>
          <w:color w:val="000000" w:themeColor="text1"/>
          <w:spacing w:val="11"/>
          <w:sz w:val="32"/>
          <w:szCs w:val="32"/>
          <w:lang w:val="en-US" w:eastAsia="zh-CN"/>
          <w14:textFill>
            <w14:solidFill>
              <w14:schemeClr w14:val="tx1"/>
            </w14:solidFill>
          </w14:textFill>
        </w:rPr>
        <w:t>4位，成为经济社会高质量发展的重要引擎。十四五末，服务业增加值占地区生产总值比重为52.4%，较“十三五”末提升了10.1个百分点，服务业对经济发展的贡献度逐步提高。</w:t>
      </w:r>
      <w:r>
        <w:rPr>
          <w:rFonts w:hint="eastAsia" w:ascii="仿宋" w:hAnsi="仿宋" w:eastAsia="仿宋" w:cs="仿宋"/>
          <w:color w:val="000000" w:themeColor="text1"/>
          <w:spacing w:val="11"/>
          <w:sz w:val="32"/>
          <w:szCs w:val="32"/>
          <w14:textFill>
            <w14:solidFill>
              <w14:schemeClr w14:val="tx1"/>
            </w14:solidFill>
          </w14:textFill>
        </w:rPr>
        <w:t>“十</w:t>
      </w:r>
      <w:r>
        <w:rPr>
          <w:rFonts w:hint="eastAsia" w:ascii="仿宋" w:hAnsi="仿宋" w:eastAsia="仿宋" w:cs="仿宋"/>
          <w:color w:val="000000" w:themeColor="text1"/>
          <w:spacing w:val="11"/>
          <w:sz w:val="32"/>
          <w:szCs w:val="32"/>
          <w:lang w:eastAsia="zh-CN"/>
          <w14:textFill>
            <w14:solidFill>
              <w14:schemeClr w14:val="tx1"/>
            </w14:solidFill>
          </w14:textFill>
        </w:rPr>
        <w:t>四</w:t>
      </w:r>
      <w:r>
        <w:rPr>
          <w:rFonts w:hint="eastAsia" w:ascii="仿宋" w:hAnsi="仿宋" w:eastAsia="仿宋" w:cs="仿宋"/>
          <w:color w:val="000000" w:themeColor="text1"/>
          <w:spacing w:val="11"/>
          <w:sz w:val="32"/>
          <w:szCs w:val="32"/>
          <w14:textFill>
            <w14:solidFill>
              <w14:schemeClr w14:val="tx1"/>
            </w14:solidFill>
          </w14:textFill>
        </w:rPr>
        <w:t>五”时期，驻马店市社会消费品零售总额逐年增长，20</w:t>
      </w:r>
      <w:r>
        <w:rPr>
          <w:rFonts w:hint="eastAsia" w:ascii="仿宋" w:hAnsi="仿宋" w:eastAsia="仿宋" w:cs="仿宋"/>
          <w:color w:val="000000" w:themeColor="text1"/>
          <w:spacing w:val="11"/>
          <w:sz w:val="32"/>
          <w:szCs w:val="32"/>
          <w:lang w:val="en-US" w:eastAsia="zh-CN"/>
          <w14:textFill>
            <w14:solidFill>
              <w14:schemeClr w14:val="tx1"/>
            </w14:solidFill>
          </w14:textFill>
        </w:rPr>
        <w:t>20</w:t>
      </w:r>
      <w:r>
        <w:rPr>
          <w:rFonts w:hint="eastAsia" w:ascii="仿宋" w:hAnsi="仿宋" w:eastAsia="仿宋" w:cs="仿宋"/>
          <w:color w:val="000000" w:themeColor="text1"/>
          <w:spacing w:val="11"/>
          <w:sz w:val="32"/>
          <w:szCs w:val="32"/>
          <w14:textFill>
            <w14:solidFill>
              <w14:schemeClr w14:val="tx1"/>
            </w14:solidFill>
          </w14:textFill>
        </w:rPr>
        <w:t>-202</w:t>
      </w:r>
      <w:r>
        <w:rPr>
          <w:rFonts w:hint="eastAsia" w:ascii="仿宋" w:hAnsi="仿宋" w:eastAsia="仿宋" w:cs="仿宋"/>
          <w:color w:val="000000" w:themeColor="text1"/>
          <w:spacing w:val="11"/>
          <w:sz w:val="32"/>
          <w:szCs w:val="32"/>
          <w:lang w:val="en-US" w:eastAsia="zh-CN"/>
          <w14:textFill>
            <w14:solidFill>
              <w14:schemeClr w14:val="tx1"/>
            </w14:solidFill>
          </w14:textFill>
        </w:rPr>
        <w:t>5</w:t>
      </w:r>
      <w:r>
        <w:rPr>
          <w:rFonts w:hint="eastAsia" w:ascii="仿宋" w:hAnsi="仿宋" w:eastAsia="仿宋" w:cs="仿宋"/>
          <w:color w:val="000000" w:themeColor="text1"/>
          <w:spacing w:val="11"/>
          <w:sz w:val="32"/>
          <w:szCs w:val="32"/>
          <w14:textFill>
            <w14:solidFill>
              <w14:schemeClr w14:val="tx1"/>
            </w14:solidFill>
          </w14:textFill>
        </w:rPr>
        <w:t>年，全市社会消费品零售总额年均增速连年居全省第一方阵。</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市场主体及从业人员规模稳步提升，规模以上服务业企业435家，服务业市场主体已达45.6万户。2025年，全市服务业就业人数突破150万人，占全社会从业人员比重达46.4%，较“十三五”末提高1.8个百分点，成为吸纳社会就业的主要渠道。</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 w:eastAsia="zh-CN"/>
          <w14:textFill>
            <w14:solidFill>
              <w14:schemeClr w14:val="tx1"/>
            </w14:solidFill>
          </w14:textFill>
        </w:rPr>
      </w:pPr>
      <w:bookmarkStart w:id="11" w:name="_Toc11518"/>
      <w:bookmarkStart w:id="12" w:name="_Toc15435"/>
      <w:bookmarkStart w:id="13" w:name="_Toc89724575"/>
      <w:r>
        <w:rPr>
          <w:rFonts w:hint="eastAsia" w:ascii="仿宋" w:hAnsi="仿宋" w:eastAsia="仿宋" w:cs="仿宋"/>
          <w:b/>
          <w:bCs/>
          <w:color w:val="000000" w:themeColor="text1"/>
          <w:spacing w:val="11"/>
          <w:sz w:val="32"/>
          <w:szCs w:val="32"/>
          <w:lang w:val="en-US" w:eastAsia="zh-CN"/>
          <w14:textFill>
            <w14:solidFill>
              <w14:schemeClr w14:val="tx1"/>
            </w14:solidFill>
          </w14:textFill>
        </w:rPr>
        <w:t>2.重点产业成效明显。</w:t>
      </w:r>
      <w:r>
        <w:rPr>
          <w:rFonts w:hint="eastAsia" w:ascii="仿宋" w:hAnsi="仿宋" w:eastAsia="仿宋" w:cs="仿宋"/>
          <w:color w:val="000000" w:themeColor="text1"/>
          <w:spacing w:val="11"/>
          <w:sz w:val="32"/>
          <w:szCs w:val="32"/>
          <w:lang w:val="en-US" w:eastAsia="zh-CN"/>
          <w14:textFill>
            <w14:solidFill>
              <w14:schemeClr w14:val="tx1"/>
            </w14:solidFill>
          </w14:textFill>
        </w:rPr>
        <w:t>“十四五”期间，以现代物流和文化旅游为主导的现代服务业体系逐步形成。截止十四五末，全市规模以上物流企业113家，国家物流示范园区1家、中国民营物流企业50强1家、国家3A级以上物流企业6家、省级物流“豫军”企业4家。</w:t>
      </w:r>
      <w:r>
        <w:rPr>
          <w:rFonts w:hint="eastAsia" w:ascii="仿宋" w:hAnsi="仿宋" w:eastAsia="仿宋" w:cs="仿宋"/>
          <w:color w:val="000000" w:themeColor="text1"/>
          <w:spacing w:val="11"/>
          <w:sz w:val="32"/>
          <w:szCs w:val="32"/>
          <w14:textFill>
            <w14:solidFill>
              <w14:schemeClr w14:val="tx1"/>
            </w14:solidFill>
          </w14:textFill>
        </w:rPr>
        <w:t>各类营运货车</w:t>
      </w:r>
      <w:r>
        <w:rPr>
          <w:rFonts w:hint="eastAsia" w:ascii="仿宋" w:hAnsi="仿宋" w:eastAsia="仿宋" w:cs="仿宋"/>
          <w:color w:val="000000" w:themeColor="text1"/>
          <w:spacing w:val="11"/>
          <w:sz w:val="32"/>
          <w:szCs w:val="32"/>
          <w:lang w:eastAsia="zh-CN"/>
          <w14:textFill>
            <w14:solidFill>
              <w14:schemeClr w14:val="tx1"/>
            </w14:solidFill>
          </w14:textFill>
        </w:rPr>
        <w:t>约</w:t>
      </w:r>
      <w:r>
        <w:rPr>
          <w:rFonts w:hint="eastAsia" w:ascii="仿宋" w:hAnsi="仿宋" w:eastAsia="仿宋" w:cs="仿宋"/>
          <w:color w:val="000000" w:themeColor="text1"/>
          <w:spacing w:val="11"/>
          <w:sz w:val="32"/>
          <w:szCs w:val="32"/>
          <w14:textFill>
            <w14:solidFill>
              <w14:schemeClr w14:val="tx1"/>
            </w14:solidFill>
          </w14:textFill>
        </w:rPr>
        <w:t>4.</w:t>
      </w:r>
      <w:r>
        <w:rPr>
          <w:rFonts w:hint="eastAsia" w:ascii="仿宋" w:hAnsi="仿宋" w:eastAsia="仿宋" w:cs="仿宋"/>
          <w:color w:val="000000" w:themeColor="text1"/>
          <w:spacing w:val="11"/>
          <w:sz w:val="32"/>
          <w:szCs w:val="32"/>
          <w:lang w:val="en-US" w:eastAsia="zh-CN"/>
          <w14:textFill>
            <w14:solidFill>
              <w14:schemeClr w14:val="tx1"/>
            </w14:solidFill>
          </w14:textFill>
        </w:rPr>
        <w:t>2</w:t>
      </w:r>
      <w:r>
        <w:rPr>
          <w:rFonts w:hint="eastAsia" w:ascii="仿宋" w:hAnsi="仿宋" w:eastAsia="仿宋" w:cs="仿宋"/>
          <w:color w:val="000000" w:themeColor="text1"/>
          <w:spacing w:val="11"/>
          <w:sz w:val="32"/>
          <w:szCs w:val="32"/>
          <w14:textFill>
            <w14:solidFill>
              <w14:schemeClr w14:val="tx1"/>
            </w14:solidFill>
          </w14:textFill>
        </w:rPr>
        <w:t>万辆，</w:t>
      </w:r>
      <w:r>
        <w:rPr>
          <w:rFonts w:hint="eastAsia" w:ascii="仿宋" w:hAnsi="仿宋" w:eastAsia="仿宋" w:cs="仿宋"/>
          <w:color w:val="000000" w:themeColor="text1"/>
          <w:spacing w:val="11"/>
          <w:sz w:val="32"/>
          <w:szCs w:val="32"/>
          <w:lang w:val="en-US" w:eastAsia="zh-CN"/>
          <w14:textFill>
            <w14:solidFill>
              <w14:schemeClr w14:val="tx1"/>
            </w14:solidFill>
          </w14:textFill>
        </w:rPr>
        <w:t>货运从业人员4.9万人，</w:t>
      </w:r>
      <w:r>
        <w:rPr>
          <w:rFonts w:hint="eastAsia" w:ascii="仿宋" w:hAnsi="仿宋" w:eastAsia="仿宋" w:cs="仿宋"/>
          <w:color w:val="000000" w:themeColor="text1"/>
          <w:spacing w:val="11"/>
          <w:sz w:val="32"/>
          <w:szCs w:val="32"/>
          <w14:textFill>
            <w14:solidFill>
              <w14:schemeClr w14:val="tx1"/>
            </w14:solidFill>
          </w14:textFill>
        </w:rPr>
        <w:t>202</w:t>
      </w:r>
      <w:r>
        <w:rPr>
          <w:rFonts w:hint="eastAsia" w:ascii="仿宋" w:hAnsi="仿宋" w:eastAsia="仿宋" w:cs="仿宋"/>
          <w:color w:val="000000" w:themeColor="text1"/>
          <w:spacing w:val="11"/>
          <w:sz w:val="32"/>
          <w:szCs w:val="32"/>
          <w:lang w:val="en-US" w:eastAsia="zh-CN"/>
          <w14:textFill>
            <w14:solidFill>
              <w14:schemeClr w14:val="tx1"/>
            </w14:solidFill>
          </w14:textFill>
        </w:rPr>
        <w:t>5</w:t>
      </w:r>
      <w:r>
        <w:rPr>
          <w:rFonts w:hint="eastAsia" w:ascii="仿宋" w:hAnsi="仿宋" w:eastAsia="仿宋" w:cs="仿宋"/>
          <w:color w:val="000000" w:themeColor="text1"/>
          <w:spacing w:val="11"/>
          <w:sz w:val="32"/>
          <w:szCs w:val="32"/>
          <w14:textFill>
            <w14:solidFill>
              <w14:schemeClr w14:val="tx1"/>
            </w14:solidFill>
          </w14:textFill>
        </w:rPr>
        <w:t>年完成公路货运量16</w:t>
      </w:r>
      <w:r>
        <w:rPr>
          <w:rFonts w:hint="eastAsia" w:ascii="仿宋" w:hAnsi="仿宋" w:eastAsia="仿宋" w:cs="仿宋"/>
          <w:color w:val="000000" w:themeColor="text1"/>
          <w:spacing w:val="11"/>
          <w:sz w:val="32"/>
          <w:szCs w:val="32"/>
          <w:lang w:val="en-US" w:eastAsia="zh-CN"/>
          <w14:textFill>
            <w14:solidFill>
              <w14:schemeClr w14:val="tx1"/>
            </w14:solidFill>
          </w14:textFill>
        </w:rPr>
        <w:t>504</w:t>
      </w:r>
      <w:r>
        <w:rPr>
          <w:rFonts w:hint="eastAsia" w:ascii="仿宋" w:hAnsi="仿宋" w:eastAsia="仿宋" w:cs="仿宋"/>
          <w:color w:val="000000" w:themeColor="text1"/>
          <w:spacing w:val="11"/>
          <w:sz w:val="32"/>
          <w:szCs w:val="32"/>
          <w:lang w:eastAsia="zh-CN"/>
          <w14:textFill>
            <w14:solidFill>
              <w14:schemeClr w14:val="tx1"/>
            </w14:solidFill>
          </w14:textFill>
        </w:rPr>
        <w:t>万吨，同比增长</w:t>
      </w:r>
      <w:r>
        <w:rPr>
          <w:rFonts w:hint="eastAsia" w:ascii="仿宋" w:hAnsi="仿宋" w:eastAsia="仿宋" w:cs="仿宋"/>
          <w:color w:val="000000" w:themeColor="text1"/>
          <w:spacing w:val="11"/>
          <w:sz w:val="32"/>
          <w:szCs w:val="32"/>
          <w:lang w:val="en-US" w:eastAsia="zh-CN"/>
          <w14:textFill>
            <w14:solidFill>
              <w14:schemeClr w14:val="tx1"/>
            </w14:solidFill>
          </w14:textFill>
        </w:rPr>
        <w:t>1.54%</w:t>
      </w:r>
      <w:r>
        <w:rPr>
          <w:rFonts w:hint="eastAsia" w:ascii="仿宋" w:hAnsi="仿宋" w:eastAsia="仿宋" w:cs="仿宋"/>
          <w:color w:val="000000" w:themeColor="text1"/>
          <w:spacing w:val="11"/>
          <w:sz w:val="32"/>
          <w:szCs w:val="32"/>
          <w14:textFill>
            <w14:solidFill>
              <w14:schemeClr w14:val="tx1"/>
            </w14:solidFill>
          </w14:textFill>
        </w:rPr>
        <w:t>、货运周转量达到</w:t>
      </w:r>
      <w:r>
        <w:rPr>
          <w:rFonts w:hint="eastAsia" w:ascii="仿宋" w:hAnsi="仿宋" w:eastAsia="仿宋" w:cs="仿宋"/>
          <w:color w:val="000000" w:themeColor="text1"/>
          <w:spacing w:val="11"/>
          <w:sz w:val="32"/>
          <w:szCs w:val="32"/>
          <w:lang w:val="en-US" w:eastAsia="zh-CN"/>
          <w14:textFill>
            <w14:solidFill>
              <w14:schemeClr w14:val="tx1"/>
            </w14:solidFill>
          </w14:textFill>
        </w:rPr>
        <w:t>5613059万</w:t>
      </w:r>
      <w:r>
        <w:rPr>
          <w:rFonts w:hint="eastAsia" w:ascii="仿宋" w:hAnsi="仿宋" w:eastAsia="仿宋" w:cs="仿宋"/>
          <w:color w:val="000000" w:themeColor="text1"/>
          <w:spacing w:val="11"/>
          <w:sz w:val="32"/>
          <w:szCs w:val="32"/>
          <w14:textFill>
            <w14:solidFill>
              <w14:schemeClr w14:val="tx1"/>
            </w14:solidFill>
          </w14:textFill>
        </w:rPr>
        <w:t>吨</w:t>
      </w:r>
      <w:r>
        <w:rPr>
          <w:rFonts w:hint="eastAsia" w:ascii="仿宋" w:hAnsi="仿宋" w:eastAsia="仿宋" w:cs="仿宋"/>
          <w:color w:val="000000" w:themeColor="text1"/>
          <w:spacing w:val="11"/>
          <w:sz w:val="32"/>
          <w:szCs w:val="32"/>
          <w:lang w:eastAsia="zh-CN"/>
          <w14:textFill>
            <w14:solidFill>
              <w14:schemeClr w14:val="tx1"/>
            </w14:solidFill>
          </w14:textFill>
        </w:rPr>
        <w:t>公里，同比增长</w:t>
      </w:r>
      <w:r>
        <w:rPr>
          <w:rFonts w:hint="eastAsia" w:ascii="仿宋" w:hAnsi="仿宋" w:eastAsia="仿宋" w:cs="仿宋"/>
          <w:color w:val="000000" w:themeColor="text1"/>
          <w:spacing w:val="11"/>
          <w:sz w:val="32"/>
          <w:szCs w:val="32"/>
          <w:lang w:val="en-US" w:eastAsia="zh-CN"/>
          <w14:textFill>
            <w14:solidFill>
              <w14:schemeClr w14:val="tx1"/>
            </w14:solidFill>
          </w14:textFill>
        </w:rPr>
        <w:t>0.50%</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2025年发送海铁联运班列338列、2.2万个标准集装箱，累计发送超14.2万个标箱，大幅降低出口企业综合物流成本</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2025年我市成功创建陆港型国家物流枢纽承载城市。2025年旅游综合收入达435亿元，较2020年（257亿元）提升178亿元，高标准完成“十四五”文化保护传承利用工程项目，提升嵖岈山5A级旅游景区、金顶山、铜山（铜山湖）、白云山、天中山文化园等基础设施水平，皇家驿站景区、新蔡蔡洪坊酒文化园成功创建国家4A级旅游景区，我市文化旅游品牌知名度进一步提升</w:t>
      </w:r>
      <w:r>
        <w:rPr>
          <w:rFonts w:hint="default" w:ascii="仿宋" w:hAnsi="仿宋" w:eastAsia="仿宋" w:cs="仿宋"/>
          <w:color w:val="000000" w:themeColor="text1"/>
          <w:spacing w:val="11"/>
          <w:sz w:val="32"/>
          <w:szCs w:val="32"/>
          <w:lang w:val="en"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3.商贸服务亮点纷呈。</w:t>
      </w:r>
      <w:r>
        <w:rPr>
          <w:rFonts w:hint="eastAsia" w:ascii="仿宋" w:hAnsi="仿宋" w:eastAsia="仿宋" w:cs="仿宋"/>
          <w:color w:val="000000" w:themeColor="text1"/>
          <w:spacing w:val="11"/>
          <w:sz w:val="32"/>
          <w:szCs w:val="32"/>
          <w:lang w:val="en-US" w:eastAsia="zh-CN"/>
          <w14:textFill>
            <w14:solidFill>
              <w14:schemeClr w14:val="tx1"/>
            </w14:solidFill>
          </w14:textFill>
        </w:rPr>
        <w:t>“十四五”期间，积极</w:t>
      </w:r>
      <w:r>
        <w:rPr>
          <w:rFonts w:hint="eastAsia" w:ascii="仿宋" w:hAnsi="仿宋" w:eastAsia="仿宋" w:cs="仿宋"/>
          <w:b w:val="0"/>
          <w:bCs w:val="0"/>
          <w:color w:val="000000" w:themeColor="text1"/>
          <w:spacing w:val="11"/>
          <w:sz w:val="32"/>
          <w:szCs w:val="32"/>
          <w:lang w:val="en-US" w:eastAsia="zh-CN"/>
          <w14:textFill>
            <w14:solidFill>
              <w14:schemeClr w14:val="tx1"/>
            </w14:solidFill>
          </w14:textFill>
        </w:rPr>
        <w:t>推动服务行业电商发展。组织开展“全国网上年货节”、</w:t>
      </w:r>
      <w:r>
        <w:rPr>
          <w:rFonts w:hint="eastAsia" w:ascii="仿宋" w:hAnsi="仿宋" w:eastAsia="仿宋" w:cs="仿宋"/>
          <w:color w:val="000000" w:themeColor="text1"/>
          <w:spacing w:val="11"/>
          <w:sz w:val="32"/>
          <w:szCs w:val="32"/>
          <w:lang w:val="en-US" w:eastAsia="zh-CN"/>
          <w14:textFill>
            <w14:solidFill>
              <w14:schemeClr w14:val="tx1"/>
            </w14:solidFill>
          </w14:textFill>
        </w:rPr>
        <w:t>“双品网购节”等电商活动，累计组织企业或商户200余家，上线品牌或产品1000余种，</w:t>
      </w:r>
      <w:r>
        <w:rPr>
          <w:rFonts w:hint="eastAsia" w:ascii="仿宋" w:hAnsi="仿宋" w:eastAsia="仿宋" w:cs="仿宋"/>
          <w:color w:val="000000" w:themeColor="text1"/>
          <w:spacing w:val="11"/>
          <w:sz w:val="32"/>
          <w:szCs w:val="32"/>
          <w:lang w:eastAsia="zh-CN"/>
          <w14:textFill>
            <w14:solidFill>
              <w14:schemeClr w14:val="tx1"/>
            </w14:solidFill>
          </w14:textFill>
        </w:rPr>
        <w:t>累计销售额3000余万元，好评率98%。</w:t>
      </w:r>
      <w:r>
        <w:rPr>
          <w:rFonts w:hint="eastAsia" w:ascii="仿宋" w:hAnsi="仿宋" w:eastAsia="仿宋" w:cs="仿宋"/>
          <w:color w:val="000000" w:themeColor="text1"/>
          <w:spacing w:val="11"/>
          <w:sz w:val="32"/>
          <w:szCs w:val="32"/>
          <w:lang w:val="en-US" w:eastAsia="zh-CN"/>
          <w14:textFill>
            <w14:solidFill>
              <w14:schemeClr w14:val="tx1"/>
            </w14:solidFill>
          </w14:textFill>
        </w:rPr>
        <w:t>着力打造发展服务消费新业态，“夜经济”、“小店经济”等新业态新模式不断涌现，指导皇家驿站步行街、上蔡李斯步行街积极进行改造提升，两条街区均被认定为河南省示范步行街。</w:t>
      </w:r>
      <w:r>
        <w:rPr>
          <w:rFonts w:hint="eastAsia" w:ascii="仿宋" w:hAnsi="仿宋" w:eastAsia="仿宋" w:cs="仿宋"/>
          <w:color w:val="000000" w:themeColor="text1"/>
          <w:spacing w:val="11"/>
          <w:sz w:val="32"/>
          <w:szCs w:val="32"/>
          <w14:textFill>
            <w14:solidFill>
              <w14:schemeClr w14:val="tx1"/>
            </w14:solidFill>
          </w14:textFill>
        </w:rPr>
        <w:t>实施振兴老字号工程</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开展驻马店老字号申报评选工作。“十四五”期间，评审认定了两批驻马店市老字号企业品牌16家，其中驻马店市正道油业有限公司“正道”品牌为中华老字号。目前，全市已推荐8家本土品牌企业创建省级老字号。</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4.商务服务优质发展。</w:t>
      </w:r>
      <w:r>
        <w:rPr>
          <w:rFonts w:hint="eastAsia" w:ascii="仿宋" w:hAnsi="仿宋" w:eastAsia="仿宋" w:cs="仿宋"/>
          <w:color w:val="000000" w:themeColor="text1"/>
          <w:spacing w:val="11"/>
          <w:sz w:val="32"/>
          <w:szCs w:val="32"/>
          <w:lang w:val="en-US" w:eastAsia="zh-CN"/>
          <w14:textFill>
            <w14:solidFill>
              <w14:schemeClr w14:val="tx1"/>
            </w14:solidFill>
          </w14:textFill>
        </w:rPr>
        <w:t>全市商务中心区产业逐渐集聚，已建成各类商务楼宇27栋、规划建设9栋，近1000家各类商务主题陆续入驻。2024年，驻马店国际会展中心</w:t>
      </w:r>
      <w:r>
        <w:rPr>
          <w:rFonts w:hint="eastAsia" w:ascii="仿宋" w:hAnsi="仿宋" w:eastAsia="仿宋" w:cs="仿宋"/>
          <w:color w:val="000000" w:themeColor="text1"/>
          <w:spacing w:val="11"/>
          <w:sz w:val="32"/>
          <w:szCs w:val="32"/>
          <w14:textFill>
            <w14:solidFill>
              <w14:schemeClr w14:val="tx1"/>
            </w14:solidFill>
          </w14:textFill>
        </w:rPr>
        <w:t>举办全国农业机械及零部件展览会、惠民车展、动漫展、家具展、雷沃嘉年华、电动车展等展会及婚宴演出活动120余场</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驻马店智慧岛已入驻</w:t>
      </w:r>
      <w:r>
        <w:rPr>
          <w:rFonts w:hint="eastAsia" w:ascii="仿宋" w:hAnsi="仿宋" w:eastAsia="仿宋" w:cs="仿宋"/>
          <w:color w:val="000000" w:themeColor="text1"/>
          <w:spacing w:val="11"/>
          <w:sz w:val="32"/>
          <w:szCs w:val="32"/>
          <w14:textFill>
            <w14:solidFill>
              <w14:schemeClr w14:val="tx1"/>
            </w14:solidFill>
          </w14:textFill>
        </w:rPr>
        <w:t>网易、大龙网、杭州春客、美团等知名企业</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为全市着力打造科创产业基地注入新鲜动能。制定《中国（河南）自由贸易试验区驻马店开放创新联动区申建工作方案》，与商务厅、省自贸办沟通对接，学习先进地市经验做法，复制推广制度改革创新成果，争取我市尽快获批第二批全省中国(河南)自由贸易试验区联动创新区。</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5.平台经济加速推进。</w:t>
      </w:r>
      <w:r>
        <w:rPr>
          <w:rFonts w:hint="eastAsia" w:ascii="仿宋" w:hAnsi="仿宋" w:eastAsia="仿宋" w:cs="仿宋"/>
          <w:color w:val="000000" w:themeColor="text1"/>
          <w:spacing w:val="11"/>
          <w:sz w:val="32"/>
          <w:szCs w:val="32"/>
          <w:lang w:val="en-US" w:eastAsia="zh-CN"/>
          <w14:textFill>
            <w14:solidFill>
              <w14:schemeClr w14:val="tx1"/>
            </w14:solidFill>
          </w14:textFill>
        </w:rPr>
        <w:t>“十四五”期间，围绕主导产业累计建成国家级科技企业孵化器1个（黄淮学院大学生创新创业园）、国家级众创空间1个（黄淮众创空间）、国家企业技术中心3个（天方药业、华中正大和河南骏化国家企业技术中心）、国家级星创天地5个（平舆白芝麻、汝南椿庄、泌阳鸿发浆果、李芳庄精品西瓜和上蔡孺子牛国家级星创天地）。省级工程技术研究中心140家，省级重点实验室2家，省级中试基地3家，中原学者工作站9家，省级孵化器和众创空间8家，平舆县坝道工程医院大科学装置启动建设；国家高新技术企业从2021年的198家增加至现在的310家，评价入库国家科技型中小企业620家，培育“瞪羚”企业11家。叫响“院士经济”，出台《驻马店市深化“院士经济”发展推进产业转型升级工作方案》。赋能“换道领跑”，柔性引进两院院士32名、中原学者10名，获批“中原英才计划”科技创业领军人才5名。</w:t>
      </w:r>
      <w:bookmarkEnd w:id="11"/>
      <w:bookmarkEnd w:id="12"/>
      <w:bookmarkEnd w:id="13"/>
      <w:bookmarkStart w:id="14" w:name="_Toc7299"/>
      <w:bookmarkStart w:id="15" w:name="_Toc89724579"/>
      <w:bookmarkStart w:id="16" w:name="_Toc2565"/>
      <w:bookmarkStart w:id="17" w:name="_Toc1129"/>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14:textFill>
            <w14:solidFill>
              <w14:schemeClr w14:val="tx1"/>
            </w14:solidFill>
          </w14:textFill>
        </w:rPr>
      </w:pP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lang w:val="en-US" w:eastAsia="zh-CN"/>
          <w14:textFill>
            <w14:solidFill>
              <w14:schemeClr w14:val="tx1"/>
            </w14:solidFill>
          </w14:textFill>
        </w:rPr>
        <w:t>二</w:t>
      </w: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14:textFill>
            <w14:solidFill>
              <w14:schemeClr w14:val="tx1"/>
            </w14:solidFill>
          </w14:textFill>
        </w:rPr>
        <w:t>面临形势</w:t>
      </w:r>
      <w:bookmarkEnd w:id="14"/>
      <w:bookmarkEnd w:id="15"/>
      <w:bookmarkEnd w:id="16"/>
      <w:bookmarkEnd w:id="17"/>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bookmarkStart w:id="18" w:name="_Toc1141"/>
      <w:bookmarkStart w:id="19" w:name="_Toc10166"/>
      <w:bookmarkStart w:id="20" w:name="_Toc89724580"/>
      <w:bookmarkStart w:id="21" w:name="_Toc6495"/>
      <w:r>
        <w:rPr>
          <w:rFonts w:hint="eastAsia" w:ascii="仿宋" w:hAnsi="仿宋" w:eastAsia="仿宋" w:cs="仿宋"/>
          <w:color w:val="000000" w:themeColor="text1"/>
          <w:spacing w:val="11"/>
          <w:sz w:val="32"/>
          <w:szCs w:val="32"/>
          <w:lang w:val="en-US" w:eastAsia="zh-CN"/>
          <w14:textFill>
            <w14:solidFill>
              <w14:schemeClr w14:val="tx1"/>
            </w14:solidFill>
          </w14:textFill>
        </w:rPr>
        <w:t>未来的“十五五”期间，大国关系牵动国际形势，国际形势演变深刻影响国内发展。我国发展处于全面建设社会主义现代化国家新征程，战略机遇和风险挑战并存，不确定难预料因素增多的时期。我市担负着高质量跨越发展、在中部地区崛起中奋勇争先的历史使命，国内外环境的复杂变化为经济发展既带来严峻挑战，也蕴含着重大机遇。从国际层面看，世界百年变局加速演进，国际力量对比深刻调整，新一轮科技革命和产业变革加速突破，我国具备主动运筹国际空间、塑造外部环境的诸多有利因素。同时，世界变乱交织、动荡加剧，地缘冲突易发多发；单边主义、保护主义抬头，霸权主义和强权政治威胁上升，国际经济贸易秩序遇到严峻挑战，世界经济增长动能不足，大国博弈更加复杂激烈。从国内看，我国经济基础稳、优势多、韧性强、潜能大，长期向好的支撑条件和基本趋势没有变，中国特色社会主义制度优势、超大规模市场优势、完整产业体系优势、丰富人才资源优势更加彰显。同时，随着河南省“两</w:t>
      </w:r>
      <w:r>
        <w:rPr>
          <w:rFonts w:hint="default" w:ascii="仿宋" w:hAnsi="仿宋" w:eastAsia="仿宋" w:cs="仿宋"/>
          <w:color w:val="000000" w:themeColor="text1"/>
          <w:spacing w:val="11"/>
          <w:sz w:val="32"/>
          <w:szCs w:val="32"/>
          <w:lang w:eastAsia="zh-CN"/>
          <w14:textFill>
            <w14:solidFill>
              <w14:schemeClr w14:val="tx1"/>
            </w14:solidFill>
          </w14:textFill>
        </w:rPr>
        <w:t>高四着力</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eastAsia="zh-CN"/>
          <w14:textFill>
            <w14:solidFill>
              <w14:schemeClr w14:val="tx1"/>
            </w14:solidFill>
          </w14:textFill>
        </w:rPr>
        <w:t>1+2+4+N</w:t>
      </w:r>
      <w:r>
        <w:rPr>
          <w:rFonts w:hint="eastAsia" w:ascii="仿宋" w:hAnsi="仿宋" w:eastAsia="仿宋" w:cs="仿宋"/>
          <w:color w:val="000000" w:themeColor="text1"/>
          <w:spacing w:val="11"/>
          <w:sz w:val="32"/>
          <w:szCs w:val="32"/>
          <w:lang w:val="en-US" w:eastAsia="zh-CN"/>
          <w14:textFill>
            <w14:solidFill>
              <w14:schemeClr w14:val="tx1"/>
            </w14:solidFill>
          </w14:textFill>
        </w:rPr>
        <w:t>”的深入推进，以及驻马店市建设“豫南农产品加工基地”的目标，均为服务业发展指明了方向、注入了动力。</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eastAsia="zh-CN"/>
          <w14:textFill>
            <w14:solidFill>
              <w14:schemeClr w14:val="tx1"/>
            </w14:solidFill>
          </w14:textFill>
        </w:rPr>
      </w:pPr>
      <w:r>
        <w:rPr>
          <w:rFonts w:hint="eastAsia" w:ascii="楷体" w:hAnsi="楷体" w:eastAsia="楷体" w:cs="楷体"/>
          <w:color w:val="000000" w:themeColor="text1"/>
          <w:spacing w:val="11"/>
          <w:sz w:val="32"/>
          <w:szCs w:val="32"/>
          <w:lang w:eastAsia="zh-CN"/>
          <w14:textFill>
            <w14:solidFill>
              <w14:schemeClr w14:val="tx1"/>
            </w14:solidFill>
          </w14:textFill>
        </w:rPr>
        <w:t>（三）主要挑战</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一是服务业企业单体规模小，抵抗风险能力弱。</w:t>
      </w:r>
      <w:r>
        <w:rPr>
          <w:rFonts w:hint="eastAsia" w:ascii="仿宋" w:hAnsi="仿宋" w:eastAsia="仿宋" w:cs="仿宋"/>
          <w:color w:val="000000" w:themeColor="text1"/>
          <w:spacing w:val="11"/>
          <w:sz w:val="32"/>
          <w:szCs w:val="32"/>
          <w:lang w:val="en-US" w:eastAsia="zh-CN"/>
          <w14:textFill>
            <w14:solidFill>
              <w14:schemeClr w14:val="tx1"/>
            </w14:solidFill>
          </w14:textFill>
        </w:rPr>
        <w:t>从2025年全市规上服务业看，全市规上服务业营业收入5000万元以下企业403家，个数占比为93.3%，营收占比32.2%。这意味着营业收入低于5000万元的企业个数占比大于九成，但营收占比仅三成多。服务业企业规模偏小，抗风险能力较弱，面对市场竞争、成本波动等外部环境变化应对乏力。</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二是产业融合度低，集聚效应不明显。</w:t>
      </w:r>
      <w:r>
        <w:rPr>
          <w:rFonts w:hint="eastAsia" w:ascii="仿宋" w:hAnsi="仿宋" w:eastAsia="仿宋" w:cs="仿宋"/>
          <w:color w:val="000000" w:themeColor="text1"/>
          <w:spacing w:val="11"/>
          <w:sz w:val="32"/>
          <w:szCs w:val="32"/>
          <w:lang w:val="en-US" w:eastAsia="zh-CN"/>
          <w14:textFill>
            <w14:solidFill>
              <w14:schemeClr w14:val="tx1"/>
            </w14:solidFill>
          </w14:textFill>
        </w:rPr>
        <w:t>制造业与服务业双向融合深度不够。我市拥有12个先进制造业开发区，但各开发区部分主导产业雷同化入驻企业同质化。农副产品加工、食品制造、装备制造等产业几乎分布于各个开发区，开发区产业链不完善缺乏联动协同，企业“群而不聚”现象突出。制造业服务化水平低，新业态新模式发展不足。虽然已成功申报天方药业、华中正大等五家制造业企业为河南省“两业融合”试点企业，但整体上制造业与服务业的融合仍处于初级阶段。制造企业向服务型制造转型缓慢，缺乏提供整体解决方案和高端服务的能力，</w:t>
      </w:r>
      <w:r>
        <w:rPr>
          <w:rFonts w:hint="default" w:ascii="仿宋" w:hAnsi="仿宋" w:eastAsia="仿宋" w:cs="仿宋"/>
          <w:color w:val="000000" w:themeColor="text1"/>
          <w:spacing w:val="11"/>
          <w:sz w:val="32"/>
          <w:szCs w:val="32"/>
          <w:lang w:eastAsia="zh-CN"/>
          <w14:textFill>
            <w14:solidFill>
              <w14:schemeClr w14:val="tx1"/>
            </w14:solidFill>
          </w14:textFill>
        </w:rPr>
        <w:t>产业</w:t>
      </w:r>
      <w:r>
        <w:rPr>
          <w:rFonts w:hint="eastAsia" w:ascii="仿宋" w:hAnsi="仿宋" w:eastAsia="仿宋" w:cs="仿宋"/>
          <w:color w:val="000000" w:themeColor="text1"/>
          <w:spacing w:val="11"/>
          <w:sz w:val="32"/>
          <w:szCs w:val="32"/>
          <w:lang w:val="en-US" w:eastAsia="zh-CN"/>
          <w14:textFill>
            <w14:solidFill>
              <w14:schemeClr w14:val="tx1"/>
            </w14:solidFill>
          </w14:textFill>
        </w:rPr>
        <w:t>价值链延伸不足。</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三是要素支撑薄弱，创新发展动力不足。</w:t>
      </w:r>
      <w:r>
        <w:rPr>
          <w:rFonts w:hint="eastAsia" w:ascii="仿宋" w:hAnsi="仿宋" w:eastAsia="仿宋" w:cs="仿宋"/>
          <w:color w:val="000000" w:themeColor="text1"/>
          <w:spacing w:val="11"/>
          <w:sz w:val="32"/>
          <w:szCs w:val="32"/>
          <w:lang w:val="en-US" w:eastAsia="zh-CN"/>
          <w14:textFill>
            <w14:solidFill>
              <w14:schemeClr w14:val="tx1"/>
            </w14:solidFill>
          </w14:textFill>
        </w:rPr>
        <w:t>高端人才严重短缺成为制约服务业提质升级的关键因素。尤其是文旅策划规划、市场运营、管理服务等方面的高层次人才匮乏，服务业从业人员整体素质有待提高。虽然开展了“人人持证、技能河南”建设，2025年完成新增培训</w:t>
      </w:r>
      <w:r>
        <w:rPr>
          <w:rFonts w:hint="default" w:ascii="仿宋" w:hAnsi="仿宋" w:eastAsia="仿宋" w:cs="仿宋"/>
          <w:color w:val="000000" w:themeColor="text1"/>
          <w:spacing w:val="11"/>
          <w:sz w:val="32"/>
          <w:szCs w:val="32"/>
          <w:lang w:val="en" w:eastAsia="zh-CN"/>
          <w14:textFill>
            <w14:solidFill>
              <w14:schemeClr w14:val="tx1"/>
            </w14:solidFill>
          </w14:textFill>
        </w:rPr>
        <w:t>17.9万</w:t>
      </w:r>
      <w:r>
        <w:rPr>
          <w:rFonts w:hint="eastAsia" w:ascii="仿宋" w:hAnsi="仿宋" w:eastAsia="仿宋" w:cs="仿宋"/>
          <w:color w:val="000000" w:themeColor="text1"/>
          <w:spacing w:val="11"/>
          <w:sz w:val="32"/>
          <w:szCs w:val="32"/>
          <w:lang w:val="en-US" w:eastAsia="zh-CN"/>
          <w14:textFill>
            <w14:solidFill>
              <w14:schemeClr w14:val="tx1"/>
            </w14:solidFill>
          </w14:textFill>
        </w:rPr>
        <w:t>人次，但人才结构与服务业升级需求仍不匹配。科技创新能力不足。驻马店市服务业企业普遍研发投入不足，产品创新乏力，产业升级缓慢。全市虽有国家级科技企业孵化器1个、国家级众创空间1个、国家企业技术中心3个，但创新平台数量</w:t>
      </w:r>
      <w:r>
        <w:rPr>
          <w:rFonts w:hint="default" w:ascii="仿宋" w:hAnsi="仿宋" w:eastAsia="仿宋" w:cs="仿宋"/>
          <w:color w:val="000000" w:themeColor="text1"/>
          <w:spacing w:val="11"/>
          <w:sz w:val="32"/>
          <w:szCs w:val="32"/>
          <w:lang w:eastAsia="zh-CN"/>
          <w14:textFill>
            <w14:solidFill>
              <w14:schemeClr w14:val="tx1"/>
            </w14:solidFill>
          </w14:textFill>
        </w:rPr>
        <w:t>能级</w:t>
      </w:r>
      <w:r>
        <w:rPr>
          <w:rFonts w:hint="eastAsia" w:ascii="仿宋" w:hAnsi="仿宋" w:eastAsia="仿宋" w:cs="仿宋"/>
          <w:color w:val="000000" w:themeColor="text1"/>
          <w:spacing w:val="11"/>
          <w:sz w:val="32"/>
          <w:szCs w:val="32"/>
          <w:lang w:val="en-US" w:eastAsia="zh-CN"/>
          <w14:textFill>
            <w14:solidFill>
              <w14:schemeClr w14:val="tx1"/>
            </w14:solidFill>
          </w14:textFill>
        </w:rPr>
        <w:t>与服务业发展需求相比仍有差距，难以有效支撑服务业创新发展。服务业企业普遍面临融资难问题，特别是中小企业现金流不足，制约</w:t>
      </w:r>
      <w:r>
        <w:rPr>
          <w:rFonts w:hint="default" w:ascii="仿宋" w:hAnsi="仿宋" w:eastAsia="仿宋" w:cs="仿宋"/>
          <w:color w:val="000000" w:themeColor="text1"/>
          <w:spacing w:val="11"/>
          <w:sz w:val="32"/>
          <w:szCs w:val="32"/>
          <w:lang w:eastAsia="zh-CN"/>
          <w14:textFill>
            <w14:solidFill>
              <w14:schemeClr w14:val="tx1"/>
            </w14:solidFill>
          </w14:textFill>
        </w:rPr>
        <w:t>企业</w:t>
      </w:r>
      <w:r>
        <w:rPr>
          <w:rFonts w:hint="eastAsia" w:ascii="仿宋" w:hAnsi="仿宋" w:eastAsia="仿宋" w:cs="仿宋"/>
          <w:color w:val="000000" w:themeColor="text1"/>
          <w:spacing w:val="11"/>
          <w:sz w:val="32"/>
          <w:szCs w:val="32"/>
          <w:lang w:val="en-US" w:eastAsia="zh-CN"/>
          <w14:textFill>
            <w14:solidFill>
              <w14:schemeClr w14:val="tx1"/>
            </w14:solidFill>
          </w14:textFill>
        </w:rPr>
        <w:t>技术升级和业务拓展。</w:t>
      </w:r>
      <w:r>
        <w:rPr>
          <w:rFonts w:hint="default" w:ascii="仿宋" w:hAnsi="仿宋" w:eastAsia="仿宋" w:cs="仿宋"/>
          <w:color w:val="000000" w:themeColor="text1"/>
          <w:spacing w:val="11"/>
          <w:sz w:val="32"/>
          <w:szCs w:val="32"/>
          <w:lang w:eastAsia="zh-CN"/>
          <w14:textFill>
            <w14:solidFill>
              <w14:schemeClr w14:val="tx1"/>
            </w14:solidFill>
          </w14:textFill>
        </w:rPr>
        <w:t>我市</w:t>
      </w:r>
      <w:r>
        <w:rPr>
          <w:rFonts w:hint="eastAsia" w:ascii="仿宋" w:hAnsi="仿宋" w:eastAsia="仿宋" w:cs="仿宋"/>
          <w:color w:val="000000" w:themeColor="text1"/>
          <w:spacing w:val="11"/>
          <w:sz w:val="32"/>
          <w:szCs w:val="32"/>
          <w:lang w:val="en-US" w:eastAsia="zh-CN"/>
          <w14:textFill>
            <w14:solidFill>
              <w14:schemeClr w14:val="tx1"/>
            </w14:solidFill>
          </w14:textFill>
        </w:rPr>
        <w:t>虽然设立了产业发展专项资金，但支持力度和覆盖范围有限，难以满足服务业转型升级资金需求。</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四是市场主体竞争力弱，品牌培育不足。</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服务业企业规模偏小</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竞争力不强。从企业规模看，驻马店市服务业企业以小微企业为主，缺乏具有区域影响力</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产业带动力的龙头企业。品牌意识薄弱，缺乏</w:t>
      </w:r>
      <w:r>
        <w:rPr>
          <w:rFonts w:hint="default" w:ascii="仿宋" w:hAnsi="仿宋" w:eastAsia="仿宋" w:cs="仿宋"/>
          <w:color w:val="000000" w:themeColor="text1"/>
          <w:spacing w:val="11"/>
          <w:sz w:val="32"/>
          <w:szCs w:val="32"/>
          <w:lang w:eastAsia="zh-CN"/>
          <w14:textFill>
            <w14:solidFill>
              <w14:schemeClr w14:val="tx1"/>
            </w14:solidFill>
          </w14:textFill>
        </w:rPr>
        <w:t>本土</w:t>
      </w:r>
      <w:r>
        <w:rPr>
          <w:rFonts w:hint="eastAsia" w:ascii="仿宋" w:hAnsi="仿宋" w:eastAsia="仿宋" w:cs="仿宋"/>
          <w:color w:val="000000" w:themeColor="text1"/>
          <w:spacing w:val="11"/>
          <w:sz w:val="32"/>
          <w:szCs w:val="32"/>
          <w:lang w:val="en-US" w:eastAsia="zh-CN"/>
          <w14:textFill>
            <w14:solidFill>
              <w14:schemeClr w14:val="tx1"/>
            </w14:solidFill>
          </w14:textFill>
        </w:rPr>
        <w:t>知名服务品牌。服务业企业品牌培育意识不强，缺少</w:t>
      </w:r>
      <w:r>
        <w:rPr>
          <w:rFonts w:hint="default" w:ascii="仿宋" w:hAnsi="仿宋" w:eastAsia="仿宋" w:cs="仿宋"/>
          <w:color w:val="000000" w:themeColor="text1"/>
          <w:spacing w:val="11"/>
          <w:sz w:val="32"/>
          <w:szCs w:val="32"/>
          <w:lang w:eastAsia="zh-CN"/>
          <w14:textFill>
            <w14:solidFill>
              <w14:schemeClr w14:val="tx1"/>
            </w14:solidFill>
          </w14:textFill>
        </w:rPr>
        <w:t>具备全国影响力成熟度高的龙头</w:t>
      </w:r>
      <w:r>
        <w:rPr>
          <w:rFonts w:hint="eastAsia" w:ascii="仿宋" w:hAnsi="仿宋" w:eastAsia="仿宋" w:cs="仿宋"/>
          <w:color w:val="000000" w:themeColor="text1"/>
          <w:spacing w:val="11"/>
          <w:sz w:val="32"/>
          <w:szCs w:val="32"/>
          <w:lang w:val="en-US" w:eastAsia="zh-CN"/>
          <w14:textFill>
            <w14:solidFill>
              <w14:schemeClr w14:val="tx1"/>
            </w14:solidFill>
          </w14:textFill>
        </w:rPr>
        <w:t>品牌带动。虽然培育了梦莉娇、万华生态新家装、欢乐爱家等服务业新供给标杆企业，但整体品牌实力和影响力不足，难以形成品牌溢价和市场竞争优势。</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五是基础设施不完善，发展环境有待优化。</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服务业基础设施不完善</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特别是公共服务设施等还不健全。在养老服务领域，已建成的社区日间照料中心功能单一，难以满足老年人助餐、助浴等多样化需求</w:t>
      </w:r>
      <w:bookmarkEnd w:id="18"/>
      <w:bookmarkEnd w:id="19"/>
      <w:bookmarkEnd w:id="20"/>
      <w:bookmarkEnd w:id="21"/>
      <w:r>
        <w:rPr>
          <w:rFonts w:hint="eastAsia" w:ascii="仿宋" w:hAnsi="仿宋" w:eastAsia="仿宋" w:cs="仿宋"/>
          <w:color w:val="000000" w:themeColor="text1"/>
          <w:spacing w:val="11"/>
          <w:sz w:val="32"/>
          <w:szCs w:val="32"/>
          <w:lang w:val="en-US" w:eastAsia="zh-CN"/>
          <w14:textFill>
            <w14:solidFill>
              <w14:schemeClr w14:val="tx1"/>
            </w14:solidFill>
          </w14:textFill>
        </w:rPr>
        <w:t>；物流通道硬短板较为突出，缺少连接长三角、关中平原东西向铁路。洪河、汝河航运未贯通，无通江达海</w:t>
      </w:r>
      <w:r>
        <w:rPr>
          <w:rFonts w:hint="default" w:ascii="仿宋" w:hAnsi="仿宋" w:eastAsia="仿宋" w:cs="仿宋"/>
          <w:color w:val="000000" w:themeColor="text1"/>
          <w:spacing w:val="11"/>
          <w:sz w:val="32"/>
          <w:szCs w:val="32"/>
          <w:lang w:eastAsia="zh-CN"/>
          <w14:textFill>
            <w14:solidFill>
              <w14:schemeClr w14:val="tx1"/>
            </w14:solidFill>
          </w14:textFill>
        </w:rPr>
        <w:t>的</w:t>
      </w:r>
      <w:r>
        <w:rPr>
          <w:rFonts w:hint="eastAsia" w:ascii="仿宋" w:hAnsi="仿宋" w:eastAsia="仿宋" w:cs="仿宋"/>
          <w:color w:val="000000" w:themeColor="text1"/>
          <w:spacing w:val="11"/>
          <w:sz w:val="32"/>
          <w:szCs w:val="32"/>
          <w:lang w:val="en-US" w:eastAsia="zh-CN"/>
          <w14:textFill>
            <w14:solidFill>
              <w14:schemeClr w14:val="tx1"/>
            </w14:solidFill>
          </w14:textFill>
        </w:rPr>
        <w:t>水运通道。</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黑体" w:hAnsi="黑体" w:eastAsia="黑体" w:cs="黑体"/>
          <w:color w:val="000000" w:themeColor="text1"/>
          <w:spacing w:val="11"/>
          <w:sz w:val="32"/>
          <w:szCs w:val="32"/>
          <w:lang w:eastAsia="zh-CN"/>
          <w14:textFill>
            <w14:solidFill>
              <w14:schemeClr w14:val="tx1"/>
            </w14:solidFill>
          </w14:textFill>
        </w:rPr>
      </w:pPr>
      <w:r>
        <w:rPr>
          <w:rFonts w:hint="eastAsia" w:ascii="黑体" w:hAnsi="黑体" w:eastAsia="黑体" w:cs="黑体"/>
          <w:color w:val="000000" w:themeColor="text1"/>
          <w:spacing w:val="11"/>
          <w:sz w:val="32"/>
          <w:szCs w:val="32"/>
          <w:lang w:eastAsia="zh-CN"/>
          <w14:textFill>
            <w14:solidFill>
              <w14:schemeClr w14:val="tx1"/>
            </w14:solidFill>
          </w14:textFill>
        </w:rPr>
        <w:t>二、总体要求</w:t>
      </w:r>
      <w:bookmarkStart w:id="22" w:name="_Toc961"/>
      <w:bookmarkStart w:id="23" w:name="_Toc11897"/>
      <w:bookmarkStart w:id="24" w:name="_Toc89724582"/>
      <w:bookmarkStart w:id="25" w:name="_Toc20031"/>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14:textFill>
            <w14:solidFill>
              <w14:schemeClr w14:val="tx1"/>
            </w14:solidFill>
          </w14:textFill>
        </w:rPr>
      </w:pP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lang w:val="en-US" w:eastAsia="zh-CN"/>
          <w14:textFill>
            <w14:solidFill>
              <w14:schemeClr w14:val="tx1"/>
            </w14:solidFill>
          </w14:textFill>
        </w:rPr>
        <w:t>一</w:t>
      </w: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14:textFill>
            <w14:solidFill>
              <w14:schemeClr w14:val="tx1"/>
            </w14:solidFill>
          </w14:textFill>
        </w:rPr>
        <w:t>指导思想</w:t>
      </w:r>
      <w:bookmarkEnd w:id="22"/>
      <w:bookmarkEnd w:id="23"/>
      <w:bookmarkEnd w:id="24"/>
      <w:bookmarkEnd w:id="25"/>
      <w:bookmarkStart w:id="26" w:name="_Toc89724583"/>
      <w:bookmarkStart w:id="27" w:name="_Toc9098"/>
      <w:bookmarkStart w:id="28" w:name="_Toc17062"/>
      <w:bookmarkStart w:id="29" w:name="_Toc12921"/>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坚持以习近平新时代中国特色社会主义思想为指导，全面贯彻党的二十大和二十届</w:t>
      </w:r>
      <w:r>
        <w:rPr>
          <w:rFonts w:hint="default" w:ascii="仿宋" w:hAnsi="仿宋" w:eastAsia="仿宋" w:cs="仿宋"/>
          <w:color w:val="000000" w:themeColor="text1"/>
          <w:spacing w:val="11"/>
          <w:sz w:val="32"/>
          <w:szCs w:val="32"/>
          <w:lang w:eastAsia="zh-CN"/>
          <w14:textFill>
            <w14:solidFill>
              <w14:schemeClr w14:val="tx1"/>
            </w14:solidFill>
          </w14:textFill>
        </w:rPr>
        <w:t>历次</w:t>
      </w:r>
      <w:r>
        <w:rPr>
          <w:rFonts w:hint="eastAsia" w:ascii="仿宋" w:hAnsi="仿宋" w:eastAsia="仿宋" w:cs="仿宋"/>
          <w:color w:val="000000" w:themeColor="text1"/>
          <w:spacing w:val="11"/>
          <w:sz w:val="32"/>
          <w:szCs w:val="32"/>
          <w:lang w:val="en-US" w:eastAsia="zh-CN"/>
          <w14:textFill>
            <w14:solidFill>
              <w14:schemeClr w14:val="tx1"/>
            </w14:solidFill>
          </w14:textFill>
        </w:rPr>
        <w:t>全会精神，深入学习贯彻习近平总书记关于服务业工作的重要论述和在河南考察时的重要讲话精神，聚焦“1+2+4+N”目标任务体系。以推动服务业优质高效发展为主题，以改革创新为根本动力，以满足人民日益增长的美好生活需要为根本目的。围绕建设现代化区域中心城市，坚持市场化、融合化、数字化、品牌化、绿色化方向，构建优质高效、结构优化、竞争力强的“十五五”现代服务业体系</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大力实施服务业扩能提质行动，推动生产性服务业向专业化和价值链高端延伸，促进生活性服务业高品质、多样化、便利化发展，培育更多服务业品牌，</w:t>
      </w:r>
      <w:r>
        <w:rPr>
          <w:rFonts w:hint="default" w:ascii="仿宋" w:hAnsi="仿宋" w:eastAsia="仿宋" w:cs="仿宋"/>
          <w:color w:val="000000" w:themeColor="text1"/>
          <w:spacing w:val="11"/>
          <w:sz w:val="32"/>
          <w:szCs w:val="32"/>
          <w:lang w:eastAsia="zh-CN"/>
          <w14:textFill>
            <w14:solidFill>
              <w14:schemeClr w14:val="tx1"/>
            </w14:solidFill>
          </w14:textFill>
        </w:rPr>
        <w:t>奋</w:t>
      </w:r>
      <w:r>
        <w:rPr>
          <w:rFonts w:hint="eastAsia" w:ascii="仿宋" w:hAnsi="仿宋" w:eastAsia="仿宋" w:cs="仿宋"/>
          <w:color w:val="000000" w:themeColor="text1"/>
          <w:spacing w:val="11"/>
          <w:sz w:val="32"/>
          <w:szCs w:val="32"/>
          <w:lang w:val="en-US" w:eastAsia="zh-CN"/>
          <w14:textFill>
            <w14:solidFill>
              <w14:schemeClr w14:val="tx1"/>
            </w14:solidFill>
          </w14:textFill>
        </w:rPr>
        <w:t>力开创驻马店服务业高</w:t>
      </w:r>
      <w:r>
        <w:rPr>
          <w:rFonts w:hint="default" w:ascii="仿宋" w:hAnsi="仿宋" w:eastAsia="仿宋" w:cs="仿宋"/>
          <w:color w:val="000000" w:themeColor="text1"/>
          <w:spacing w:val="11"/>
          <w:sz w:val="32"/>
          <w:szCs w:val="32"/>
          <w:lang w:eastAsia="zh-CN"/>
          <w14:textFill>
            <w14:solidFill>
              <w14:schemeClr w14:val="tx1"/>
            </w14:solidFill>
          </w14:textFill>
        </w:rPr>
        <w:t>质量</w:t>
      </w:r>
      <w:r>
        <w:rPr>
          <w:rFonts w:hint="eastAsia" w:ascii="仿宋" w:hAnsi="仿宋" w:eastAsia="仿宋" w:cs="仿宋"/>
          <w:color w:val="000000" w:themeColor="text1"/>
          <w:spacing w:val="11"/>
          <w:sz w:val="32"/>
          <w:szCs w:val="32"/>
          <w:lang w:val="en-US" w:eastAsia="zh-CN"/>
          <w14:textFill>
            <w14:solidFill>
              <w14:schemeClr w14:val="tx1"/>
            </w14:solidFill>
          </w14:textFill>
        </w:rPr>
        <w:t>发展新局面。</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eastAsia="zh-CN"/>
          <w14:textFill>
            <w14:solidFill>
              <w14:schemeClr w14:val="tx1"/>
            </w14:solidFill>
          </w14:textFill>
        </w:rPr>
      </w:pPr>
      <w:r>
        <w:rPr>
          <w:rFonts w:hint="eastAsia" w:ascii="楷体" w:hAnsi="楷体" w:eastAsia="楷体" w:cs="楷体"/>
          <w:color w:val="000000" w:themeColor="text1"/>
          <w:spacing w:val="11"/>
          <w:sz w:val="32"/>
          <w:szCs w:val="32"/>
          <w:lang w:eastAsia="zh-CN"/>
          <w14:textFill>
            <w14:solidFill>
              <w14:schemeClr w14:val="tx1"/>
            </w14:solidFill>
          </w14:textFill>
        </w:rPr>
        <w:t>（</w:t>
      </w:r>
      <w:r>
        <w:rPr>
          <w:rFonts w:hint="eastAsia" w:ascii="楷体" w:hAnsi="楷体" w:eastAsia="楷体" w:cs="楷体"/>
          <w:color w:val="000000" w:themeColor="text1"/>
          <w:spacing w:val="11"/>
          <w:sz w:val="32"/>
          <w:szCs w:val="32"/>
          <w:lang w:val="en-US" w:eastAsia="zh-CN"/>
          <w14:textFill>
            <w14:solidFill>
              <w14:schemeClr w14:val="tx1"/>
            </w14:solidFill>
          </w14:textFill>
        </w:rPr>
        <w:t>二</w:t>
      </w:r>
      <w:r>
        <w:rPr>
          <w:rFonts w:hint="eastAsia" w:ascii="楷体" w:hAnsi="楷体" w:eastAsia="楷体" w:cs="楷体"/>
          <w:color w:val="000000" w:themeColor="text1"/>
          <w:spacing w:val="11"/>
          <w:sz w:val="32"/>
          <w:szCs w:val="32"/>
          <w:lang w:eastAsia="zh-CN"/>
          <w14:textFill>
            <w14:solidFill>
              <w14:schemeClr w14:val="tx1"/>
            </w14:solidFill>
          </w14:textFill>
        </w:rPr>
        <w:t>）基本原则</w:t>
      </w:r>
      <w:bookmarkEnd w:id="26"/>
      <w:bookmarkEnd w:id="27"/>
      <w:bookmarkEnd w:id="28"/>
      <w:bookmarkEnd w:id="29"/>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1.坚持市场主导，政府引导。</w:t>
      </w:r>
      <w:r>
        <w:rPr>
          <w:rFonts w:hint="eastAsia" w:ascii="仿宋" w:hAnsi="仿宋" w:eastAsia="仿宋" w:cs="仿宋"/>
          <w:color w:val="000000" w:themeColor="text1"/>
          <w:spacing w:val="11"/>
          <w:sz w:val="32"/>
          <w:szCs w:val="32"/>
          <w:lang w:val="en-US" w:eastAsia="zh-CN"/>
          <w14:textFill>
            <w14:solidFill>
              <w14:schemeClr w14:val="tx1"/>
            </w14:solidFill>
          </w14:textFill>
        </w:rPr>
        <w:t>充分发挥市场在资源配置中的决定性作用，激发各类市场主体活力。更好发挥政府在战略引导、规划统筹、政策支持</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环境营造中的作用。</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2.坚持创新驱动，融合发展。</w:t>
      </w:r>
      <w:r>
        <w:rPr>
          <w:rFonts w:hint="eastAsia" w:ascii="仿宋" w:hAnsi="仿宋" w:eastAsia="仿宋" w:cs="仿宋"/>
          <w:color w:val="000000" w:themeColor="text1"/>
          <w:spacing w:val="11"/>
          <w:sz w:val="32"/>
          <w:szCs w:val="32"/>
          <w:lang w:val="en-US" w:eastAsia="zh-CN"/>
          <w14:textFill>
            <w14:solidFill>
              <w14:schemeClr w14:val="tx1"/>
            </w14:solidFill>
          </w14:textFill>
        </w:rPr>
        <w:t>把创新摆在服务业发展的核心位置，推动技术创新、模式创新和业态创新。深化服务业与先进制造业、现代农业的深度融合，促进服务业内部各行业交叉渗透。</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3.坚持数字赋能，提质增效。</w:t>
      </w:r>
      <w:r>
        <w:rPr>
          <w:rFonts w:hint="eastAsia" w:ascii="仿宋" w:hAnsi="仿宋" w:eastAsia="仿宋" w:cs="仿宋"/>
          <w:color w:val="000000" w:themeColor="text1"/>
          <w:spacing w:val="11"/>
          <w:sz w:val="32"/>
          <w:szCs w:val="32"/>
          <w:lang w:val="en-US" w:eastAsia="zh-CN"/>
          <w14:textFill>
            <w14:solidFill>
              <w14:schemeClr w14:val="tx1"/>
            </w14:solidFill>
          </w14:textFill>
        </w:rPr>
        <w:t>全面推进服务业数字化转型，推动数据要素价值化，以数字化、智能化重塑服务业价值链，提升服务效率和质量。</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4.坚持突出重点，特色发展。</w:t>
      </w:r>
      <w:r>
        <w:rPr>
          <w:rFonts w:hint="eastAsia" w:ascii="仿宋" w:hAnsi="仿宋" w:eastAsia="仿宋" w:cs="仿宋"/>
          <w:color w:val="000000" w:themeColor="text1"/>
          <w:spacing w:val="11"/>
          <w:sz w:val="32"/>
          <w:szCs w:val="32"/>
          <w:lang w:val="en-US" w:eastAsia="zh-CN"/>
          <w14:textFill>
            <w14:solidFill>
              <w14:schemeClr w14:val="tx1"/>
            </w14:solidFill>
          </w14:textFill>
        </w:rPr>
        <w:t>立足驻马店资源禀赋和产业基础，明确主攻方向，做强优势领域，补齐短板弱项，形成错位发展、特色鲜明的服务业产业体系。</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5.坚持以人为本，绿色发展。</w:t>
      </w:r>
      <w:r>
        <w:rPr>
          <w:rFonts w:hint="eastAsia" w:ascii="仿宋" w:hAnsi="仿宋" w:eastAsia="仿宋" w:cs="仿宋"/>
          <w:color w:val="000000" w:themeColor="text1"/>
          <w:spacing w:val="11"/>
          <w:sz w:val="32"/>
          <w:szCs w:val="32"/>
          <w:lang w:val="en-US" w:eastAsia="zh-CN"/>
          <w14:textFill>
            <w14:solidFill>
              <w14:schemeClr w14:val="tx1"/>
            </w14:solidFill>
          </w14:textFill>
        </w:rPr>
        <w:t>把保障和改善民生作为出发点</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落脚点，增加优质服务供给。将绿色理念贯穿服务业发展全过程，推动绿色消费、绿色流通、绿色服务。</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r>
        <w:rPr>
          <w:rFonts w:hint="eastAsia" w:ascii="楷体" w:hAnsi="楷体" w:eastAsia="楷体" w:cs="楷体"/>
          <w:color w:val="000000" w:themeColor="text1"/>
          <w:spacing w:val="11"/>
          <w:sz w:val="32"/>
          <w:szCs w:val="32"/>
          <w:lang w:val="en-US" w:eastAsia="zh-CN"/>
          <w14:textFill>
            <w14:solidFill>
              <w14:schemeClr w14:val="tx1"/>
            </w14:solidFill>
          </w14:textFill>
        </w:rPr>
        <w:t>（三）发展目标</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到2030年，</w:t>
      </w:r>
      <w:r>
        <w:rPr>
          <w:rFonts w:hint="eastAsia" w:ascii="仿宋" w:hAnsi="仿宋" w:eastAsia="仿宋" w:cs="仿宋"/>
          <w:color w:val="000000" w:themeColor="text1"/>
          <w:spacing w:val="11"/>
          <w:sz w:val="32"/>
          <w:szCs w:val="32"/>
          <w:lang w:eastAsia="zh-CN"/>
          <w14:textFill>
            <w14:solidFill>
              <w14:schemeClr w14:val="tx1"/>
            </w14:solidFill>
          </w14:textFill>
        </w:rPr>
        <w:t>全市现代服务业</w:t>
      </w:r>
      <w:r>
        <w:rPr>
          <w:rFonts w:hint="eastAsia" w:ascii="仿宋" w:hAnsi="仿宋" w:eastAsia="仿宋" w:cs="仿宋"/>
          <w:color w:val="000000" w:themeColor="text1"/>
          <w:spacing w:val="11"/>
          <w:sz w:val="32"/>
          <w:szCs w:val="32"/>
          <w:lang w:val="en-US" w:eastAsia="zh-CN"/>
          <w14:textFill>
            <w14:solidFill>
              <w14:schemeClr w14:val="tx1"/>
            </w14:solidFill>
          </w14:textFill>
        </w:rPr>
        <w:t>发展水平</w:t>
      </w:r>
      <w:r>
        <w:rPr>
          <w:rFonts w:hint="default" w:ascii="仿宋" w:hAnsi="仿宋" w:eastAsia="仿宋" w:cs="仿宋"/>
          <w:color w:val="000000" w:themeColor="text1"/>
          <w:spacing w:val="11"/>
          <w:sz w:val="32"/>
          <w:szCs w:val="32"/>
          <w:lang w:eastAsia="zh-CN"/>
          <w14:textFill>
            <w14:solidFill>
              <w14:schemeClr w14:val="tx1"/>
            </w14:solidFill>
          </w14:textFill>
        </w:rPr>
        <w:t>跻身</w:t>
      </w:r>
      <w:r>
        <w:rPr>
          <w:rFonts w:hint="eastAsia" w:ascii="仿宋" w:hAnsi="仿宋" w:eastAsia="仿宋" w:cs="仿宋"/>
          <w:color w:val="000000" w:themeColor="text1"/>
          <w:spacing w:val="11"/>
          <w:sz w:val="32"/>
          <w:szCs w:val="32"/>
          <w:lang w:eastAsia="zh-CN"/>
          <w14:textFill>
            <w14:solidFill>
              <w14:schemeClr w14:val="tx1"/>
            </w14:solidFill>
          </w14:textFill>
        </w:rPr>
        <w:t>全省前列</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，服务业体系</w:t>
      </w:r>
      <w:r>
        <w:rPr>
          <w:rFonts w:hint="default" w:ascii="仿宋" w:hAnsi="仿宋" w:eastAsia="仿宋" w:cs="仿宋"/>
          <w:color w:val="000000" w:themeColor="text1"/>
          <w:spacing w:val="11"/>
          <w:sz w:val="32"/>
          <w:szCs w:val="32"/>
          <w:lang w:eastAsia="zh-CN"/>
          <w14:textFill>
            <w14:solidFill>
              <w14:schemeClr w14:val="tx1"/>
            </w14:solidFill>
          </w14:textFill>
        </w:rPr>
        <w:t>更加</w:t>
      </w:r>
      <w:r>
        <w:rPr>
          <w:rFonts w:hint="eastAsia" w:ascii="仿宋" w:hAnsi="仿宋" w:eastAsia="仿宋" w:cs="仿宋"/>
          <w:color w:val="000000" w:themeColor="text1"/>
          <w:spacing w:val="11"/>
          <w:sz w:val="32"/>
          <w:szCs w:val="32"/>
          <w:lang w:val="en-US" w:eastAsia="zh-CN"/>
          <w14:textFill>
            <w14:solidFill>
              <w14:schemeClr w14:val="tx1"/>
            </w14:solidFill>
          </w14:textFill>
        </w:rPr>
        <w:t>完善，</w:t>
      </w:r>
      <w:r>
        <w:rPr>
          <w:rFonts w:hint="eastAsia" w:ascii="仿宋" w:hAnsi="仿宋" w:eastAsia="仿宋" w:cs="仿宋"/>
          <w:color w:val="000000" w:themeColor="text1"/>
          <w:spacing w:val="11"/>
          <w:sz w:val="32"/>
          <w:szCs w:val="32"/>
          <w:lang w:eastAsia="zh-CN"/>
          <w14:textFill>
            <w14:solidFill>
              <w14:schemeClr w14:val="tx1"/>
            </w14:solidFill>
          </w14:textFill>
        </w:rPr>
        <w:t>质量效益</w:t>
      </w:r>
      <w:r>
        <w:rPr>
          <w:rFonts w:hint="default" w:ascii="仿宋" w:hAnsi="仿宋" w:eastAsia="仿宋" w:cs="仿宋"/>
          <w:color w:val="000000" w:themeColor="text1"/>
          <w:spacing w:val="11"/>
          <w:sz w:val="32"/>
          <w:szCs w:val="32"/>
          <w:lang w:eastAsia="zh-CN"/>
          <w14:textFill>
            <w14:solidFill>
              <w14:schemeClr w14:val="tx1"/>
            </w14:solidFill>
          </w14:textFill>
        </w:rPr>
        <w:t>稳步</w:t>
      </w:r>
      <w:r>
        <w:rPr>
          <w:rFonts w:hint="eastAsia" w:ascii="仿宋" w:hAnsi="仿宋" w:eastAsia="仿宋" w:cs="仿宋"/>
          <w:color w:val="000000" w:themeColor="text1"/>
          <w:spacing w:val="11"/>
          <w:sz w:val="32"/>
          <w:szCs w:val="32"/>
          <w:lang w:eastAsia="zh-CN"/>
          <w14:textFill>
            <w14:solidFill>
              <w14:schemeClr w14:val="tx1"/>
            </w14:solidFill>
          </w14:textFill>
        </w:rPr>
        <w:t>提升，</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服务业综合实力、创新能力和竞争力更加突出，</w:t>
      </w:r>
      <w:r>
        <w:rPr>
          <w:rFonts w:hint="eastAsia" w:ascii="仿宋" w:hAnsi="仿宋" w:eastAsia="仿宋" w:cs="仿宋"/>
          <w:color w:val="000000" w:themeColor="text1"/>
          <w:spacing w:val="11"/>
          <w:sz w:val="32"/>
          <w:szCs w:val="32"/>
          <w:lang w:eastAsia="zh-CN"/>
          <w14:textFill>
            <w14:solidFill>
              <w14:schemeClr w14:val="tx1"/>
            </w14:solidFill>
          </w14:textFill>
        </w:rPr>
        <w:t>对经济社会发展的</w:t>
      </w:r>
      <w:r>
        <w:rPr>
          <w:rFonts w:hint="eastAsia" w:ascii="仿宋" w:hAnsi="仿宋" w:eastAsia="仿宋" w:cs="仿宋"/>
          <w:color w:val="000000" w:themeColor="text1"/>
          <w:spacing w:val="11"/>
          <w:sz w:val="32"/>
          <w:szCs w:val="32"/>
          <w:lang w:val="en-US" w:eastAsia="zh-CN"/>
          <w14:textFill>
            <w14:solidFill>
              <w14:schemeClr w14:val="tx1"/>
            </w14:solidFill>
          </w14:textFill>
        </w:rPr>
        <w:t>支撑作用</w:t>
      </w:r>
      <w:r>
        <w:rPr>
          <w:rFonts w:hint="default" w:ascii="仿宋" w:hAnsi="仿宋" w:eastAsia="仿宋" w:cs="仿宋"/>
          <w:color w:val="000000" w:themeColor="text1"/>
          <w:spacing w:val="11"/>
          <w:sz w:val="32"/>
          <w:szCs w:val="32"/>
          <w:lang w:eastAsia="zh-CN"/>
          <w14:textFill>
            <w14:solidFill>
              <w14:schemeClr w14:val="tx1"/>
            </w14:solidFill>
          </w14:textFill>
        </w:rPr>
        <w:t>持续</w:t>
      </w:r>
      <w:r>
        <w:rPr>
          <w:rFonts w:hint="eastAsia" w:ascii="仿宋" w:hAnsi="仿宋" w:eastAsia="仿宋" w:cs="仿宋"/>
          <w:color w:val="000000" w:themeColor="text1"/>
          <w:spacing w:val="11"/>
          <w:sz w:val="32"/>
          <w:szCs w:val="32"/>
          <w:lang w:val="en-US" w:eastAsia="zh-CN"/>
          <w14:textFill>
            <w14:solidFill>
              <w14:schemeClr w14:val="tx1"/>
            </w14:solidFill>
          </w14:textFill>
        </w:rPr>
        <w:t>增强，我市在</w:t>
      </w:r>
      <w:r>
        <w:rPr>
          <w:rFonts w:hint="eastAsia" w:ascii="仿宋" w:hAnsi="仿宋" w:eastAsia="仿宋" w:cs="仿宋"/>
          <w:color w:val="000000" w:themeColor="text1"/>
          <w:spacing w:val="11"/>
          <w:sz w:val="32"/>
          <w:szCs w:val="32"/>
          <w:lang w:eastAsia="zh-CN"/>
          <w14:textFill>
            <w14:solidFill>
              <w14:schemeClr w14:val="tx1"/>
            </w14:solidFill>
          </w14:textFill>
        </w:rPr>
        <w:t>全省</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全国服务业发展大格局中的地位更加重要</w:t>
      </w:r>
      <w:r>
        <w:rPr>
          <w:rFonts w:hint="eastAsia" w:ascii="仿宋" w:hAnsi="仿宋" w:eastAsia="仿宋" w:cs="仿宋"/>
          <w:color w:val="000000" w:themeColor="text1"/>
          <w:spacing w:val="1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1.总量规模迈上新台阶。</w:t>
      </w:r>
      <w:r>
        <w:rPr>
          <w:rFonts w:hint="eastAsia" w:ascii="仿宋" w:hAnsi="仿宋" w:eastAsia="仿宋" w:cs="仿宋"/>
          <w:color w:val="000000" w:themeColor="text1"/>
          <w:spacing w:val="6"/>
          <w:sz w:val="32"/>
          <w:szCs w:val="32"/>
          <w:lang w:val="en-US" w:eastAsia="zh-CN"/>
          <w14:textFill>
            <w14:solidFill>
              <w14:schemeClr w14:val="tx1"/>
            </w14:solidFill>
          </w14:textFill>
        </w:rPr>
        <w:t>力争“十五五”时期实现“两个突破、两个高于”</w:t>
      </w:r>
      <w:r>
        <w:rPr>
          <w:rFonts w:hint="default" w:ascii="仿宋" w:hAnsi="仿宋" w:eastAsia="仿宋" w:cs="仿宋"/>
          <w:color w:val="000000" w:themeColor="text1"/>
          <w:spacing w:val="6"/>
          <w:sz w:val="32"/>
          <w:szCs w:val="32"/>
          <w:lang w:eastAsia="zh-CN"/>
          <w14:textFill>
            <w14:solidFill>
              <w14:schemeClr w14:val="tx1"/>
            </w14:solidFill>
          </w14:textFill>
        </w:rPr>
        <w:t>：</w:t>
      </w:r>
      <w:r>
        <w:rPr>
          <w:rFonts w:hint="eastAsia" w:ascii="仿宋" w:hAnsi="仿宋" w:eastAsia="仿宋" w:cs="仿宋"/>
          <w:color w:val="000000" w:themeColor="text1"/>
          <w:spacing w:val="6"/>
          <w:sz w:val="32"/>
          <w:szCs w:val="32"/>
          <w:lang w:val="en-US" w:eastAsia="zh-CN"/>
          <w14:textFill>
            <w14:solidFill>
              <w14:schemeClr w14:val="tx1"/>
            </w14:solidFill>
          </w14:textFill>
        </w:rPr>
        <w:t>全市服务业增加值突破2000亿元，服务业从业人员占全社会从业人员比重突破48%。服务业增加值年均增速达到6%左右，高于全省服务业增速、全市地区生产总值增速。</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2.产业结构实现新优化。</w:t>
      </w:r>
      <w:r>
        <w:rPr>
          <w:rFonts w:hint="eastAsia" w:ascii="仿宋" w:hAnsi="仿宋" w:eastAsia="仿宋" w:cs="仿宋"/>
          <w:color w:val="000000" w:themeColor="text1"/>
          <w:spacing w:val="11"/>
          <w:sz w:val="32"/>
          <w:szCs w:val="32"/>
          <w:lang w:val="en-US" w:eastAsia="zh-CN"/>
          <w14:textFill>
            <w14:solidFill>
              <w14:schemeClr w14:val="tx1"/>
            </w14:solidFill>
          </w14:textFill>
        </w:rPr>
        <w:t>大力发展现代物流业、现代金融、科技研发、信息服务等生产性服务业，推动生产性服务业比重显著提升；着力发展文化旅游、商贸服务、健康养老、家政服务、医疗卫生等生活性服务业，促进生活性服务业满足消费升级需求的能力全面增强。</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3.创新能力得到新突破。</w:t>
      </w:r>
      <w:r>
        <w:rPr>
          <w:rFonts w:hint="eastAsia" w:ascii="仿宋" w:hAnsi="仿宋" w:eastAsia="仿宋" w:cs="仿宋"/>
          <w:color w:val="000000" w:themeColor="text1"/>
          <w:spacing w:val="11"/>
          <w:sz w:val="32"/>
          <w:szCs w:val="32"/>
          <w:lang w:val="en-US" w:eastAsia="zh-CN"/>
          <w14:textFill>
            <w14:solidFill>
              <w14:schemeClr w14:val="tx1"/>
            </w14:solidFill>
          </w14:textFill>
        </w:rPr>
        <w:t>研发投入强度稳步提高，</w:t>
      </w:r>
      <w:r>
        <w:rPr>
          <w:rFonts w:hint="default" w:ascii="仿宋" w:hAnsi="仿宋" w:eastAsia="仿宋" w:cs="仿宋"/>
          <w:color w:val="000000" w:themeColor="text1"/>
          <w:spacing w:val="11"/>
          <w:sz w:val="32"/>
          <w:szCs w:val="32"/>
          <w:lang w:eastAsia="zh-CN"/>
          <w14:textFill>
            <w14:solidFill>
              <w14:schemeClr w14:val="tx1"/>
            </w14:solidFill>
          </w14:textFill>
        </w:rPr>
        <w:t>培育</w:t>
      </w:r>
      <w:r>
        <w:rPr>
          <w:rFonts w:hint="eastAsia" w:ascii="仿宋" w:hAnsi="仿宋" w:eastAsia="仿宋" w:cs="仿宋"/>
          <w:color w:val="000000" w:themeColor="text1"/>
          <w:spacing w:val="11"/>
          <w:sz w:val="32"/>
          <w:szCs w:val="32"/>
          <w:lang w:val="en-US" w:eastAsia="zh-CN"/>
          <w14:textFill>
            <w14:solidFill>
              <w14:schemeClr w14:val="tx1"/>
            </w14:solidFill>
          </w14:textFill>
        </w:rPr>
        <w:t>一批具有影响力的服务业新业态、新模式，建成一批服务业创新平台，打造一批</w:t>
      </w:r>
      <w:r>
        <w:rPr>
          <w:rFonts w:hint="default" w:ascii="仿宋" w:hAnsi="仿宋" w:eastAsia="仿宋" w:cs="仿宋"/>
          <w:color w:val="000000" w:themeColor="text1"/>
          <w:spacing w:val="11"/>
          <w:sz w:val="32"/>
          <w:szCs w:val="32"/>
          <w:lang w:eastAsia="zh-CN"/>
          <w14:textFill>
            <w14:solidFill>
              <w14:schemeClr w14:val="tx1"/>
            </w14:solidFill>
          </w14:textFill>
        </w:rPr>
        <w:t>凸显</w:t>
      </w:r>
      <w:r>
        <w:rPr>
          <w:rFonts w:hint="eastAsia" w:ascii="仿宋" w:hAnsi="仿宋" w:eastAsia="仿宋" w:cs="仿宋"/>
          <w:color w:val="000000" w:themeColor="text1"/>
          <w:spacing w:val="11"/>
          <w:sz w:val="32"/>
          <w:szCs w:val="32"/>
          <w:lang w:val="en-US" w:eastAsia="zh-CN"/>
          <w14:textFill>
            <w14:solidFill>
              <w14:schemeClr w14:val="tx1"/>
            </w14:solidFill>
          </w14:textFill>
        </w:rPr>
        <w:t>先发优势的引领型服务业</w:t>
      </w:r>
      <w:r>
        <w:rPr>
          <w:rFonts w:hint="default" w:ascii="仿宋" w:hAnsi="仿宋" w:eastAsia="仿宋" w:cs="仿宋"/>
          <w:color w:val="000000" w:themeColor="text1"/>
          <w:spacing w:val="11"/>
          <w:sz w:val="32"/>
          <w:szCs w:val="32"/>
          <w:lang w:eastAsia="zh-CN"/>
          <w14:textFill>
            <w14:solidFill>
              <w14:schemeClr w14:val="tx1"/>
            </w14:solidFill>
          </w14:textFill>
        </w:rPr>
        <w:t>集群</w:t>
      </w:r>
      <w:r>
        <w:rPr>
          <w:rFonts w:hint="eastAsia" w:ascii="仿宋" w:hAnsi="仿宋" w:eastAsia="仿宋" w:cs="仿宋"/>
          <w:color w:val="000000" w:themeColor="text1"/>
          <w:spacing w:val="11"/>
          <w:sz w:val="32"/>
          <w:szCs w:val="32"/>
          <w:lang w:val="en-US" w:eastAsia="zh-CN"/>
          <w14:textFill>
            <w14:solidFill>
              <w14:schemeClr w14:val="tx1"/>
            </w14:solidFill>
          </w14:textFill>
        </w:rPr>
        <w:t>。加快数字技术与服务业深度融合，不继催生新的商业模式。鼓励不同企业之间进行跨界融合，探索“服务+”行动，积极推动服务业与制造业、农业融合发展，培育打造一批省级两业融合发展区</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两业融合试点企业。</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4.集聚发展呈现新格局。</w:t>
      </w:r>
      <w:r>
        <w:rPr>
          <w:rFonts w:hint="eastAsia" w:ascii="仿宋" w:hAnsi="仿宋" w:eastAsia="仿宋" w:cs="仿宋"/>
          <w:color w:val="000000" w:themeColor="text1"/>
          <w:spacing w:val="6"/>
          <w:sz w:val="32"/>
          <w:szCs w:val="32"/>
          <w:lang w:val="en-US" w:eastAsia="zh-CN"/>
          <w14:textFill>
            <w14:solidFill>
              <w14:schemeClr w14:val="tx1"/>
            </w14:solidFill>
          </w14:textFill>
        </w:rPr>
        <w:t>中心城区服务经济核心功能显著增强，形成一批特色鲜明、功能互补、辐射力强的服务业发展区和服务业强县（区）。</w:t>
      </w:r>
      <w:r>
        <w:rPr>
          <w:rFonts w:hint="eastAsia" w:ascii="仿宋" w:hAnsi="仿宋" w:eastAsia="仿宋" w:cs="仿宋"/>
          <w:color w:val="000000" w:themeColor="text1"/>
          <w:spacing w:val="6"/>
          <w:sz w:val="32"/>
          <w:szCs w:val="32"/>
          <w14:textFill>
            <w14:solidFill>
              <w14:schemeClr w14:val="tx1"/>
            </w14:solidFill>
          </w14:textFill>
        </w:rPr>
        <w:t>提高服务业集聚程度，围绕大企业建立轮轴式、卫星式产业集聚区，发挥大企业对整个区域的辐射、带动作用。</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5.发展环境达到新水平。</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服务业标准化、品牌化、诚信化水平大幅提升，市场化法治化国际化营商环境持续优化，服务业服务保障水平进一步提高。</w:t>
      </w:r>
      <w:bookmarkStart w:id="30" w:name="_Toc89724590"/>
      <w:bookmarkStart w:id="31" w:name="_Toc4485"/>
      <w:bookmarkStart w:id="32" w:name="_Toc16949"/>
      <w:bookmarkStart w:id="33" w:name="_Toc21418"/>
      <w:r>
        <w:rPr>
          <w:rFonts w:hint="eastAsia" w:ascii="仿宋" w:hAnsi="仿宋" w:eastAsia="仿宋" w:cs="仿宋"/>
          <w:color w:val="000000" w:themeColor="text1"/>
          <w:spacing w:val="11"/>
          <w:sz w:val="32"/>
          <w:szCs w:val="32"/>
          <w14:textFill>
            <w14:solidFill>
              <w14:schemeClr w14:val="tx1"/>
            </w14:solidFill>
          </w14:textFill>
        </w:rPr>
        <w:t>坚持内需为基、深挖内需潜力和制度活力，坚定不移扩大高水平开放，增强经济循环的内外联动性。</w:t>
      </w:r>
    </w:p>
    <w:tbl>
      <w:tblPr>
        <w:tblStyle w:val="19"/>
        <w:tblW w:w="0" w:type="auto"/>
        <w:jc w:val="center"/>
        <w:tblLayout w:type="fixed"/>
        <w:tblCellMar>
          <w:top w:w="0" w:type="dxa"/>
          <w:left w:w="108" w:type="dxa"/>
          <w:bottom w:w="0" w:type="dxa"/>
          <w:right w:w="108" w:type="dxa"/>
        </w:tblCellMar>
      </w:tblPr>
      <w:tblGrid>
        <w:gridCol w:w="756"/>
        <w:gridCol w:w="4446"/>
        <w:gridCol w:w="1205"/>
        <w:gridCol w:w="1334"/>
        <w:gridCol w:w="1199"/>
      </w:tblGrid>
      <w:tr>
        <w:tblPrEx>
          <w:tblCellMar>
            <w:top w:w="0" w:type="dxa"/>
            <w:left w:w="108" w:type="dxa"/>
            <w:bottom w:w="0" w:type="dxa"/>
            <w:right w:w="108" w:type="dxa"/>
          </w:tblCellMar>
        </w:tblPrEx>
        <w:trPr>
          <w:trHeight w:val="637" w:hRule="atLeast"/>
          <w:jc w:val="center"/>
        </w:trPr>
        <w:tc>
          <w:tcPr>
            <w:tcW w:w="8940"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sz w:val="24"/>
                <w:szCs w:val="24"/>
                <w:highlight w:val="none"/>
                <w:u w:val="none"/>
                <w:lang w:val="en-US" w:eastAsia="zh-CN"/>
                <w14:textFill>
                  <w14:solidFill>
                    <w14:schemeClr w14:val="tx1"/>
                  </w14:solidFill>
                </w14:textFill>
              </w:rPr>
            </w:pPr>
            <w:r>
              <w:rPr>
                <w:rFonts w:hint="eastAsia" w:ascii="黑体" w:hAnsi="黑体" w:eastAsia="黑体" w:cs="黑体"/>
                <w:b w:val="0"/>
                <w:bCs w:val="0"/>
                <w:i w:val="0"/>
                <w:iCs w:val="0"/>
                <w:color w:val="000000" w:themeColor="text1"/>
                <w:sz w:val="28"/>
                <w:szCs w:val="28"/>
                <w:highlight w:val="none"/>
                <w:u w:val="none"/>
                <w:lang w:eastAsia="zh-CN"/>
                <w14:textFill>
                  <w14:solidFill>
                    <w14:schemeClr w14:val="tx1"/>
                  </w14:solidFill>
                </w14:textFill>
              </w:rPr>
              <w:t>专栏</w:t>
            </w:r>
            <w:r>
              <w:rPr>
                <w:rFonts w:hint="eastAsia" w:ascii="黑体" w:hAnsi="黑体" w:eastAsia="黑体" w:cs="黑体"/>
                <w:b w:val="0"/>
                <w:bCs w:val="0"/>
                <w:i w:val="0"/>
                <w:iCs w:val="0"/>
                <w:color w:val="000000" w:themeColor="text1"/>
                <w:sz w:val="28"/>
                <w:szCs w:val="28"/>
                <w:highlight w:val="none"/>
                <w:u w:val="none"/>
                <w:lang w:val="en-US" w:eastAsia="zh-CN"/>
                <w14:textFill>
                  <w14:solidFill>
                    <w14:schemeClr w14:val="tx1"/>
                  </w14:solidFill>
                </w14:textFill>
              </w:rPr>
              <w:t>1  “十五五”时期现代服务业发展主要指标</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黑体" w:hAnsi="黑体" w:eastAsia="黑体" w:cs="黑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0"/>
                <w:sz w:val="24"/>
                <w:szCs w:val="24"/>
                <w:highlight w:val="none"/>
                <w:u w:val="none"/>
                <w:lang w:val="en-US" w:eastAsia="zh-CN" w:bidi="ar"/>
                <w14:textFill>
                  <w14:solidFill>
                    <w14:schemeClr w14:val="tx1"/>
                  </w14:solidFill>
                </w14:textFill>
              </w:rPr>
              <w:t>序号</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黑体" w:hAnsi="黑体" w:eastAsia="黑体" w:cs="黑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0"/>
                <w:sz w:val="24"/>
                <w:szCs w:val="24"/>
                <w:highlight w:val="none"/>
                <w:u w:val="none"/>
                <w:lang w:val="en-US" w:eastAsia="zh-CN" w:bidi="ar"/>
                <w14:textFill>
                  <w14:solidFill>
                    <w14:schemeClr w14:val="tx1"/>
                  </w14:solidFill>
                </w14:textFill>
              </w:rPr>
              <w:t>指标名称</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黑体" w:hAnsi="黑体" w:eastAsia="黑体" w:cs="黑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0"/>
                <w:sz w:val="24"/>
                <w:szCs w:val="24"/>
                <w:highlight w:val="none"/>
                <w:u w:val="none"/>
                <w:lang w:val="en-US" w:eastAsia="zh-CN" w:bidi="ar"/>
                <w14:textFill>
                  <w14:solidFill>
                    <w14:schemeClr w14:val="tx1"/>
                  </w14:solidFill>
                </w14:textFill>
              </w:rPr>
              <w:t>单位</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黑体" w:hAnsi="黑体" w:eastAsia="黑体" w:cs="黑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0"/>
                <w:sz w:val="24"/>
                <w:szCs w:val="24"/>
                <w:highlight w:val="none"/>
                <w:u w:val="none"/>
                <w:lang w:val="en-US" w:eastAsia="zh-CN" w:bidi="ar"/>
                <w14:textFill>
                  <w14:solidFill>
                    <w14:schemeClr w14:val="tx1"/>
                  </w14:solidFill>
                </w14:textFill>
              </w:rPr>
              <w:t>2025年</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黑体" w:hAnsi="黑体" w:eastAsia="黑体" w:cs="黑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0"/>
                <w:sz w:val="24"/>
                <w:szCs w:val="24"/>
                <w:highlight w:val="none"/>
                <w:u w:val="none"/>
                <w:lang w:val="en-US" w:eastAsia="zh-CN" w:bidi="ar"/>
                <w14:textFill>
                  <w14:solidFill>
                    <w14:schemeClr w14:val="tx1"/>
                  </w14:solidFill>
                </w14:textFill>
              </w:rPr>
              <w:t>2030年</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1</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left"/>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服务业增加值</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亿元</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1835.81</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约2000</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2</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left"/>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服务业增加值占生产总值的比重</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52.4</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58左右</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3</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left"/>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社会消费品零售总额</w:t>
            </w:r>
            <w:r>
              <w:rPr>
                <w:rFonts w:hint="eastAsia" w:ascii="宋体" w:hAnsi="宋体" w:eastAsia="宋体" w:cs="宋体"/>
                <w:color w:val="000000" w:themeColor="text1"/>
                <w:spacing w:val="11"/>
                <w:kern w:val="21"/>
                <w:sz w:val="24"/>
                <w:szCs w:val="24"/>
                <w:u w:val="none" w:color="auto"/>
                <w:lang w:eastAsia="zh-CN"/>
                <w14:textFill>
                  <w14:solidFill>
                    <w14:schemeClr w14:val="tx1"/>
                  </w14:solidFill>
                </w14:textFill>
              </w:rPr>
              <w:t>增长</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spacing w:val="11"/>
                <w:kern w:val="21"/>
                <w:sz w:val="24"/>
                <w:szCs w:val="24"/>
                <w:u w:val="none" w:color="auto"/>
                <w14:textFill>
                  <w14:solidFill>
                    <w14:schemeClr w14:val="tx1"/>
                  </w14:solidFill>
                </w14:textFill>
              </w:rPr>
              <w:t>%</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6.1</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5.5左右</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4</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left"/>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服务业固定资产投资占全市投资总额比重</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46.4</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47左右</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5</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left"/>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服务业从业人员占全社会从业人员比重</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46.3</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cs="宋体"/>
                <w:b w:val="0"/>
                <w:bCs w:val="0"/>
                <w:i w:val="0"/>
                <w:iCs w:val="0"/>
                <w:color w:val="000000" w:themeColor="text1"/>
                <w:kern w:val="2"/>
                <w:sz w:val="24"/>
                <w:szCs w:val="24"/>
                <w:highlight w:val="none"/>
                <w:u w:val="none"/>
                <w:lang w:val="en-US" w:eastAsia="zh-CN" w:bidi="ar-SA"/>
                <w14:textFill>
                  <w14:solidFill>
                    <w14:schemeClr w14:val="tx1"/>
                  </w14:solidFill>
                </w14:textFill>
              </w:rPr>
              <w:t>50</w:t>
            </w:r>
            <w:bookmarkStart w:id="54" w:name="_GoBack"/>
            <w:bookmarkEnd w:id="54"/>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左右</w:t>
            </w:r>
          </w:p>
        </w:tc>
      </w:tr>
      <w:tr>
        <w:tblPrEx>
          <w:tblCellMar>
            <w:top w:w="0" w:type="dxa"/>
            <w:left w:w="108" w:type="dxa"/>
            <w:bottom w:w="0" w:type="dxa"/>
            <w:right w:w="108" w:type="dxa"/>
          </w:tblCellMar>
        </w:tblPrEx>
        <w:trPr>
          <w:trHeight w:val="637"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6</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left"/>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规模以上服务业企业数量</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sz w:val="24"/>
                <w:szCs w:val="24"/>
                <w:highlight w:val="none"/>
                <w:u w:val="none"/>
                <w:lang w:val="en-US" w:eastAsia="zh-CN"/>
                <w14:textFill>
                  <w14:solidFill>
                    <w14:schemeClr w14:val="tx1"/>
                  </w14:solidFill>
                </w14:textFill>
              </w:rPr>
              <w:t>个</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sz w:val="24"/>
                <w:szCs w:val="24"/>
                <w:highlight w:val="none"/>
                <w:u w:val="none"/>
                <w:lang w:val="en-US" w:eastAsia="zh-CN"/>
                <w14:textFill>
                  <w14:solidFill>
                    <w14:schemeClr w14:val="tx1"/>
                  </w14:solidFill>
                </w14:textFill>
              </w:rPr>
              <w:t>435</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u w:val="none"/>
                <w:lang w:val="en-US" w:eastAsia="zh-CN" w:bidi="ar-SA"/>
                <w14:textFill>
                  <w14:solidFill>
                    <w14:schemeClr w14:val="tx1"/>
                  </w14:solidFill>
                </w14:textFill>
              </w:rPr>
              <w:t>450左右</w:t>
            </w:r>
          </w:p>
        </w:tc>
      </w:tr>
      <w:tr>
        <w:tblPrEx>
          <w:tblCellMar>
            <w:top w:w="0" w:type="dxa"/>
            <w:left w:w="108" w:type="dxa"/>
            <w:bottom w:w="0" w:type="dxa"/>
            <w:right w:w="108" w:type="dxa"/>
          </w:tblCellMar>
        </w:tblPrEx>
        <w:trPr>
          <w:trHeight w:val="678" w:hRule="atLeast"/>
          <w:jc w:val="center"/>
        </w:trPr>
        <w:tc>
          <w:tcPr>
            <w:tcW w:w="7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7</w:t>
            </w:r>
          </w:p>
        </w:tc>
        <w:tc>
          <w:tcPr>
            <w:tcW w:w="4446" w:type="dxa"/>
            <w:tcBorders>
              <w:top w:val="single" w:color="000000" w:sz="4" w:space="0"/>
              <w:left w:val="single" w:color="000000" w:sz="4" w:space="0"/>
              <w:bottom w:val="single" w:color="000000" w:sz="4" w:space="0"/>
              <w:right w:val="single" w:color="000000" w:sz="4" w:space="0"/>
            </w:tcBorders>
            <w:noWrap/>
            <w:vAlign w:val="center"/>
          </w:tcPr>
          <w:p>
            <w:pPr>
              <w:pStyle w:val="24"/>
              <w:keepNext w:val="0"/>
              <w:keepLines w:val="0"/>
              <w:pageBreakBefore w:val="0"/>
              <w:widowControl w:val="0"/>
              <w:kinsoku/>
              <w:wordWrap/>
              <w:overflowPunct/>
              <w:autoSpaceDE/>
              <w:autoSpaceDN/>
              <w:bidi w:val="0"/>
              <w:spacing w:after="0"/>
              <w:ind w:right="0" w:rightChars="0" w:firstLine="0" w:firstLineChars="0"/>
              <w:jc w:val="both"/>
              <w:outlineLvl w:val="9"/>
              <w:rPr>
                <w:rFonts w:hint="eastAsia" w:ascii="宋体" w:hAnsi="宋体" w:eastAsia="宋体" w:cs="宋体"/>
                <w:color w:val="000000" w:themeColor="text1"/>
                <w:spacing w:val="11"/>
                <w:kern w:val="21"/>
                <w:sz w:val="24"/>
                <w:szCs w:val="24"/>
                <w:u w:val="none" w:color="auto"/>
                <w:lang w:eastAsia="zh-CN"/>
                <w14:textFill>
                  <w14:solidFill>
                    <w14:schemeClr w14:val="tx1"/>
                  </w14:solidFill>
                </w14:textFill>
              </w:rPr>
            </w:pPr>
            <w:r>
              <w:rPr>
                <w:rFonts w:hint="eastAsia" w:ascii="宋体" w:hAnsi="宋体" w:eastAsia="宋体" w:cs="宋体"/>
                <w:color w:val="000000" w:themeColor="text1"/>
                <w:spacing w:val="11"/>
                <w:kern w:val="21"/>
                <w:sz w:val="24"/>
                <w:szCs w:val="24"/>
                <w:u w:val="none" w:color="auto"/>
                <w:lang w:eastAsia="zh-CN"/>
                <w14:textFill>
                  <w14:solidFill>
                    <w14:schemeClr w14:val="tx1"/>
                  </w14:solidFill>
                </w14:textFill>
              </w:rPr>
              <w:t>全市服务业经营主体数量</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pStyle w:val="24"/>
              <w:keepNext w:val="0"/>
              <w:keepLines w:val="0"/>
              <w:pageBreakBefore w:val="0"/>
              <w:widowControl w:val="0"/>
              <w:kinsoku/>
              <w:wordWrap/>
              <w:overflowPunct/>
              <w:autoSpaceDE/>
              <w:autoSpaceDN/>
              <w:bidi w:val="0"/>
              <w:spacing w:after="0"/>
              <w:ind w:right="0" w:rightChars="0" w:firstLine="0" w:firstLineChars="0"/>
              <w:jc w:val="center"/>
              <w:outlineLvl w:val="9"/>
              <w:rPr>
                <w:rFonts w:hint="eastAsia" w:ascii="宋体" w:hAnsi="宋体" w:eastAsia="宋体" w:cs="宋体"/>
                <w:color w:val="000000" w:themeColor="text1"/>
                <w:spacing w:val="11"/>
                <w:kern w:val="21"/>
                <w:sz w:val="24"/>
                <w:szCs w:val="24"/>
                <w:u w:val="none" w:color="auto"/>
                <w:lang w:eastAsia="zh-CN"/>
                <w14:textFill>
                  <w14:solidFill>
                    <w14:schemeClr w14:val="tx1"/>
                  </w14:solidFill>
                </w14:textFill>
              </w:rPr>
            </w:pPr>
            <w:r>
              <w:rPr>
                <w:rFonts w:hint="eastAsia" w:ascii="宋体" w:hAnsi="宋体" w:eastAsia="宋体" w:cs="宋体"/>
                <w:color w:val="000000" w:themeColor="text1"/>
                <w:spacing w:val="11"/>
                <w:kern w:val="21"/>
                <w:sz w:val="24"/>
                <w:szCs w:val="24"/>
                <w:u w:val="none" w:color="auto"/>
                <w:lang w:eastAsia="zh-CN"/>
                <w14:textFill>
                  <w14:solidFill>
                    <w14:schemeClr w14:val="tx1"/>
                  </w14:solidFill>
                </w14:textFill>
              </w:rPr>
              <w:t>万人</w:t>
            </w:r>
          </w:p>
        </w:tc>
        <w:tc>
          <w:tcPr>
            <w:tcW w:w="1334" w:type="dxa"/>
            <w:tcBorders>
              <w:top w:val="single" w:color="000000" w:sz="4" w:space="0"/>
              <w:left w:val="single" w:color="000000" w:sz="4" w:space="0"/>
              <w:bottom w:val="single" w:color="000000" w:sz="4" w:space="0"/>
              <w:right w:val="single" w:color="000000" w:sz="4" w:space="0"/>
            </w:tcBorders>
            <w:noWrap/>
            <w:vAlign w:val="center"/>
          </w:tcPr>
          <w:p>
            <w:pPr>
              <w:pStyle w:val="24"/>
              <w:keepNext w:val="0"/>
              <w:keepLines w:val="0"/>
              <w:pageBreakBefore w:val="0"/>
              <w:widowControl w:val="0"/>
              <w:kinsoku/>
              <w:wordWrap/>
              <w:overflowPunct/>
              <w:autoSpaceDE/>
              <w:autoSpaceDN/>
              <w:bidi w:val="0"/>
              <w:spacing w:after="0"/>
              <w:ind w:right="0" w:rightChars="0" w:firstLine="0" w:firstLineChars="0"/>
              <w:jc w:val="center"/>
              <w:outlineLvl w:val="9"/>
              <w:rPr>
                <w:rFonts w:hint="eastAsia" w:ascii="宋体" w:hAnsi="宋体" w:eastAsia="宋体" w:cs="宋体"/>
                <w:color w:val="000000" w:themeColor="text1"/>
                <w:spacing w:val="11"/>
                <w:kern w:val="21"/>
                <w:sz w:val="24"/>
                <w:szCs w:val="24"/>
                <w:u w:val="none" w:color="auto"/>
                <w:lang w:val="en-US" w:eastAsia="zh-CN"/>
                <w14:textFill>
                  <w14:solidFill>
                    <w14:schemeClr w14:val="tx1"/>
                  </w14:solidFill>
                </w14:textFill>
              </w:rPr>
            </w:pPr>
            <w:r>
              <w:rPr>
                <w:rFonts w:hint="eastAsia" w:ascii="宋体" w:hAnsi="宋体" w:eastAsia="宋体" w:cs="宋体"/>
                <w:color w:val="000000" w:themeColor="text1"/>
                <w:spacing w:val="11"/>
                <w:kern w:val="21"/>
                <w:sz w:val="24"/>
                <w:szCs w:val="24"/>
                <w:u w:val="none" w:color="auto"/>
                <w:lang w:val="en-US" w:eastAsia="zh-CN"/>
                <w14:textFill>
                  <w14:solidFill>
                    <w14:schemeClr w14:val="tx1"/>
                  </w14:solidFill>
                </w14:textFill>
              </w:rPr>
              <w:t>45.5</w:t>
            </w:r>
          </w:p>
        </w:tc>
        <w:tc>
          <w:tcPr>
            <w:tcW w:w="119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val="0"/>
              <w:topLinePunct w:val="0"/>
              <w:autoSpaceDE/>
              <w:autoSpaceDN/>
              <w:bidi w:val="0"/>
              <w:adjustRightInd/>
              <w:snapToGrid/>
              <w:spacing w:beforeLines="0" w:afterLines="0" w:line="560" w:lineRule="exact"/>
              <w:jc w:val="center"/>
              <w:textAlignment w:val="center"/>
              <w:rPr>
                <w:rFonts w:hint="eastAsia" w:ascii="宋体" w:hAnsi="宋体" w:eastAsia="宋体" w:cs="宋体"/>
                <w:color w:val="000000" w:themeColor="text1"/>
                <w:spacing w:val="11"/>
                <w:kern w:val="21"/>
                <w:sz w:val="24"/>
                <w:szCs w:val="24"/>
                <w:u w:val="none" w:color="auto"/>
                <w:lang w:val="en-US" w:eastAsia="zh-CN"/>
                <w14:textFill>
                  <w14:solidFill>
                    <w14:schemeClr w14:val="tx1"/>
                  </w14:solidFill>
                </w14:textFill>
              </w:rPr>
            </w:pPr>
            <w:r>
              <w:rPr>
                <w:rFonts w:hint="eastAsia" w:ascii="宋体" w:hAnsi="宋体" w:eastAsia="宋体" w:cs="宋体"/>
                <w:color w:val="000000" w:themeColor="text1"/>
                <w:spacing w:val="11"/>
                <w:kern w:val="21"/>
                <w:sz w:val="24"/>
                <w:szCs w:val="24"/>
                <w:u w:val="none" w:color="auto"/>
                <w:lang w:val="en-US" w:eastAsia="zh-CN"/>
                <w14:textFill>
                  <w14:solidFill>
                    <w14:schemeClr w14:val="tx1"/>
                  </w14:solidFill>
                </w14:textFill>
              </w:rPr>
              <w:t>46左右</w:t>
            </w:r>
          </w:p>
        </w:tc>
      </w:tr>
    </w:tbl>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bookmarkStart w:id="34" w:name="_Toc22584"/>
      <w:r>
        <w:rPr>
          <w:rFonts w:hint="default" w:ascii="楷体" w:hAnsi="楷体" w:eastAsia="楷体" w:cs="楷体"/>
          <w:color w:val="000000" w:themeColor="text1"/>
          <w:spacing w:val="11"/>
          <w:sz w:val="32"/>
          <w:szCs w:val="32"/>
          <w:lang w:val="en-US" w:eastAsia="zh-CN"/>
          <w14:textFill>
            <w14:solidFill>
              <w14:schemeClr w14:val="tx1"/>
            </w14:solidFill>
          </w14:textFill>
        </w:rPr>
        <w:t>（四）</w:t>
      </w:r>
      <w:r>
        <w:rPr>
          <w:rFonts w:hint="eastAsia" w:ascii="楷体" w:hAnsi="楷体" w:eastAsia="楷体" w:cs="楷体"/>
          <w:color w:val="000000" w:themeColor="text1"/>
          <w:spacing w:val="11"/>
          <w:sz w:val="32"/>
          <w:szCs w:val="32"/>
          <w:lang w:val="en-US" w:eastAsia="zh-CN"/>
          <w14:textFill>
            <w14:solidFill>
              <w14:schemeClr w14:val="tx1"/>
            </w14:solidFill>
          </w14:textFill>
        </w:rPr>
        <w:t>空间</w:t>
      </w:r>
      <w:r>
        <w:rPr>
          <w:rFonts w:hint="default" w:ascii="楷体" w:hAnsi="楷体" w:eastAsia="楷体" w:cs="楷体"/>
          <w:color w:val="000000" w:themeColor="text1"/>
          <w:spacing w:val="11"/>
          <w:sz w:val="32"/>
          <w:szCs w:val="32"/>
          <w:lang w:val="en-US" w:eastAsia="zh-CN"/>
          <w14:textFill>
            <w14:solidFill>
              <w14:schemeClr w14:val="tx1"/>
            </w14:solidFill>
          </w14:textFill>
        </w:rPr>
        <w:t>布局</w:t>
      </w:r>
      <w:bookmarkEnd w:id="34"/>
      <w:r>
        <w:rPr>
          <w:rFonts w:hint="eastAsia" w:ascii="楷体" w:hAnsi="楷体" w:eastAsia="楷体" w:cs="楷体"/>
          <w:color w:val="000000" w:themeColor="text1"/>
          <w:spacing w:val="1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按照</w:t>
      </w:r>
      <w:r>
        <w:rPr>
          <w:rFonts w:hint="eastAsia" w:ascii="仿宋" w:hAnsi="仿宋" w:eastAsia="仿宋" w:cs="仿宋"/>
          <w:color w:val="000000" w:themeColor="text1"/>
          <w:spacing w:val="11"/>
          <w:sz w:val="32"/>
          <w:szCs w:val="32"/>
          <w:lang w:val="en-US" w:eastAsia="zh-CN"/>
          <w14:textFill>
            <w14:solidFill>
              <w14:schemeClr w14:val="tx1"/>
            </w14:solidFill>
          </w14:textFill>
        </w:rPr>
        <w:t>“科学布局、统筹分工、突出特色”原则，</w:t>
      </w:r>
      <w:r>
        <w:rPr>
          <w:rFonts w:hint="default" w:ascii="仿宋" w:hAnsi="仿宋" w:eastAsia="仿宋" w:cs="仿宋"/>
          <w:color w:val="000000" w:themeColor="text1"/>
          <w:spacing w:val="11"/>
          <w:sz w:val="32"/>
          <w:szCs w:val="32"/>
          <w:lang w:val="en-US" w:eastAsia="zh-CN"/>
          <w14:textFill>
            <w14:solidFill>
              <w14:schemeClr w14:val="tx1"/>
            </w14:solidFill>
          </w14:textFill>
        </w:rPr>
        <w:t>结合各区域资源环境承载力、比较优势及功能特色，着力构筑</w:t>
      </w:r>
      <w:r>
        <w:rPr>
          <w:rFonts w:hint="default" w:ascii="仿宋" w:hAnsi="仿宋" w:eastAsia="仿宋" w:cs="仿宋"/>
          <w:b/>
          <w:bCs/>
          <w:color w:val="000000" w:themeColor="text1"/>
          <w:spacing w:val="11"/>
          <w:sz w:val="32"/>
          <w:szCs w:val="32"/>
          <w:lang w:val="en-US" w:eastAsia="zh-CN"/>
          <w14:textFill>
            <w14:solidFill>
              <w14:schemeClr w14:val="tx1"/>
            </w14:solidFill>
          </w14:textFill>
        </w:rPr>
        <w:t>“一核引领、四区</w:t>
      </w:r>
      <w:r>
        <w:rPr>
          <w:rFonts w:hint="eastAsia" w:ascii="仿宋" w:hAnsi="仿宋" w:eastAsia="仿宋" w:cs="仿宋"/>
          <w:b/>
          <w:bCs/>
          <w:color w:val="000000" w:themeColor="text1"/>
          <w:spacing w:val="11"/>
          <w:sz w:val="32"/>
          <w:szCs w:val="32"/>
          <w:lang w:val="en-US" w:eastAsia="zh-CN"/>
          <w14:textFill>
            <w14:solidFill>
              <w14:schemeClr w14:val="tx1"/>
            </w14:solidFill>
          </w14:textFill>
        </w:rPr>
        <w:t>联动</w:t>
      </w:r>
      <w:r>
        <w:rPr>
          <w:rFonts w:hint="default" w:ascii="仿宋" w:hAnsi="仿宋" w:eastAsia="仿宋" w:cs="仿宋"/>
          <w:b/>
          <w:bCs/>
          <w:color w:val="000000" w:themeColor="text1"/>
          <w:spacing w:val="11"/>
          <w:sz w:val="32"/>
          <w:szCs w:val="32"/>
          <w:lang w:val="en-US" w:eastAsia="zh-CN"/>
          <w14:textFill>
            <w14:solidFill>
              <w14:schemeClr w14:val="tx1"/>
            </w14:solidFill>
          </w14:textFill>
        </w:rPr>
        <w:t>、全域提升”</w:t>
      </w:r>
      <w:r>
        <w:rPr>
          <w:rFonts w:hint="default" w:ascii="仿宋" w:hAnsi="仿宋" w:eastAsia="仿宋" w:cs="仿宋"/>
          <w:color w:val="000000" w:themeColor="text1"/>
          <w:spacing w:val="11"/>
          <w:sz w:val="32"/>
          <w:szCs w:val="32"/>
          <w:lang w:val="en-US" w:eastAsia="zh-CN"/>
          <w14:textFill>
            <w14:solidFill>
              <w14:schemeClr w14:val="tx1"/>
            </w14:solidFill>
          </w14:textFill>
        </w:rPr>
        <w:t>的服务经济空间布局，引导各区域服务业错位、联动、协调、有序发展。</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强化</w:t>
      </w:r>
      <w:r>
        <w:rPr>
          <w:rFonts w:hint="eastAsia" w:ascii="仿宋" w:hAnsi="仿宋" w:eastAsia="仿宋" w:cs="仿宋"/>
          <w:color w:val="000000" w:themeColor="text1"/>
          <w:spacing w:val="11"/>
          <w:sz w:val="32"/>
          <w:szCs w:val="32"/>
          <w:lang w:val="en-US" w:eastAsia="zh-CN"/>
          <w14:textFill>
            <w14:solidFill>
              <w14:schemeClr w14:val="tx1"/>
            </w14:solidFill>
          </w14:textFill>
        </w:rPr>
        <w:t>“一核引领”</w:t>
      </w:r>
      <w:r>
        <w:rPr>
          <w:rFonts w:hint="default" w:ascii="仿宋" w:hAnsi="仿宋" w:eastAsia="仿宋" w:cs="仿宋"/>
          <w:color w:val="000000" w:themeColor="text1"/>
          <w:spacing w:val="11"/>
          <w:sz w:val="32"/>
          <w:szCs w:val="32"/>
          <w:lang w:val="en-US" w:eastAsia="zh-CN"/>
          <w14:textFill>
            <w14:solidFill>
              <w14:schemeClr w14:val="tx1"/>
            </w14:solidFill>
          </w14:textFill>
        </w:rPr>
        <w:t>，提升中心城区服务能级。围绕区域中心城市建设，坚持规模扩张与业态提升并重，进一步强化中心城区在全市现代服务业发展中的核心引擎地位</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以提升服务业产业能级和辐射水平为重点，把握建设</w:t>
      </w:r>
      <w:r>
        <w:rPr>
          <w:rFonts w:hint="eastAsia" w:ascii="仿宋" w:hAnsi="仿宋" w:eastAsia="仿宋" w:cs="仿宋"/>
          <w:color w:val="000000" w:themeColor="text1"/>
          <w:spacing w:val="11"/>
          <w:sz w:val="32"/>
          <w:szCs w:val="32"/>
          <w:lang w:val="en-US" w:eastAsia="zh-CN"/>
          <w14:textFill>
            <w14:solidFill>
              <w14:schemeClr w14:val="tx1"/>
            </w14:solidFill>
          </w14:textFill>
        </w:rPr>
        <w:t>陆港</w:t>
      </w:r>
      <w:r>
        <w:rPr>
          <w:rFonts w:hint="default" w:ascii="仿宋" w:hAnsi="仿宋" w:eastAsia="仿宋" w:cs="仿宋"/>
          <w:color w:val="000000" w:themeColor="text1"/>
          <w:spacing w:val="11"/>
          <w:sz w:val="32"/>
          <w:szCs w:val="32"/>
          <w:lang w:val="en-US" w:eastAsia="zh-CN"/>
          <w14:textFill>
            <w14:solidFill>
              <w14:schemeClr w14:val="tx1"/>
            </w14:solidFill>
          </w14:textFill>
        </w:rPr>
        <w:t>型国家物流枢纽战略机遇，</w:t>
      </w:r>
      <w:r>
        <w:rPr>
          <w:rFonts w:hint="eastAsia" w:ascii="仿宋" w:hAnsi="仿宋" w:eastAsia="仿宋" w:cs="仿宋"/>
          <w:color w:val="000000" w:themeColor="text1"/>
          <w:spacing w:val="11"/>
          <w:sz w:val="32"/>
          <w:szCs w:val="32"/>
          <w:lang w:val="en-US" w:eastAsia="zh-CN"/>
          <w14:textFill>
            <w14:solidFill>
              <w14:schemeClr w14:val="tx1"/>
            </w14:solidFill>
          </w14:textFill>
        </w:rPr>
        <w:t>主动对接郑州、武汉、合肥三大</w:t>
      </w:r>
      <w:r>
        <w:rPr>
          <w:rFonts w:hint="default" w:ascii="仿宋" w:hAnsi="仿宋" w:eastAsia="仿宋" w:cs="仿宋"/>
          <w:color w:val="000000" w:themeColor="text1"/>
          <w:spacing w:val="11"/>
          <w:sz w:val="32"/>
          <w:szCs w:val="32"/>
          <w:lang w:val="en-US" w:eastAsia="zh-CN"/>
          <w14:textFill>
            <w14:solidFill>
              <w14:schemeClr w14:val="tx1"/>
            </w14:solidFill>
          </w14:textFill>
        </w:rPr>
        <w:t>都市圈</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积极</w:t>
      </w:r>
      <w:r>
        <w:rPr>
          <w:rFonts w:hint="default" w:ascii="仿宋" w:hAnsi="仿宋" w:eastAsia="仿宋" w:cs="仿宋"/>
          <w:color w:val="000000" w:themeColor="text1"/>
          <w:spacing w:val="11"/>
          <w:sz w:val="32"/>
          <w:szCs w:val="32"/>
          <w:lang w:val="en-US" w:eastAsia="zh-CN"/>
          <w14:textFill>
            <w14:solidFill>
              <w14:schemeClr w14:val="tx1"/>
            </w14:solidFill>
          </w14:textFill>
        </w:rPr>
        <w:t>融入长三角一体化</w:t>
      </w:r>
      <w:r>
        <w:rPr>
          <w:rFonts w:hint="eastAsia" w:ascii="仿宋" w:hAnsi="仿宋" w:eastAsia="仿宋" w:cs="仿宋"/>
          <w:color w:val="000000" w:themeColor="text1"/>
          <w:spacing w:val="11"/>
          <w:sz w:val="32"/>
          <w:szCs w:val="32"/>
          <w:lang w:val="en-US" w:eastAsia="zh-CN"/>
          <w14:textFill>
            <w14:solidFill>
              <w14:schemeClr w14:val="tx1"/>
            </w14:solidFill>
          </w14:textFill>
        </w:rPr>
        <w:t>进程</w:t>
      </w:r>
      <w:r>
        <w:rPr>
          <w:rFonts w:hint="default"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带</w:t>
      </w:r>
      <w:r>
        <w:rPr>
          <w:rFonts w:hint="default" w:ascii="仿宋" w:hAnsi="仿宋" w:eastAsia="仿宋" w:cs="仿宋"/>
          <w:color w:val="000000" w:themeColor="text1"/>
          <w:spacing w:val="11"/>
          <w:sz w:val="32"/>
          <w:szCs w:val="32"/>
          <w:lang w:eastAsia="zh-CN"/>
          <w14:textFill>
            <w14:solidFill>
              <w14:schemeClr w14:val="tx1"/>
            </w14:solidFill>
          </w14:textFill>
        </w:rPr>
        <w:t>动</w:t>
      </w:r>
      <w:r>
        <w:rPr>
          <w:rFonts w:hint="default" w:ascii="仿宋" w:hAnsi="仿宋" w:eastAsia="仿宋" w:cs="仿宋"/>
          <w:color w:val="000000" w:themeColor="text1"/>
          <w:spacing w:val="11"/>
          <w:sz w:val="32"/>
          <w:szCs w:val="32"/>
          <w:lang w:val="en-US" w:eastAsia="zh-CN"/>
          <w14:textFill>
            <w14:solidFill>
              <w14:schemeClr w14:val="tx1"/>
            </w14:solidFill>
          </w14:textFill>
        </w:rPr>
        <w:t>中心城区商贸物流</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科技研发</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金融服务</w:t>
      </w:r>
      <w:r>
        <w:rPr>
          <w:rFonts w:hint="eastAsia" w:ascii="仿宋" w:hAnsi="仿宋" w:eastAsia="仿宋" w:cs="仿宋"/>
          <w:color w:val="000000" w:themeColor="text1"/>
          <w:spacing w:val="11"/>
          <w:sz w:val="32"/>
          <w:szCs w:val="32"/>
          <w:lang w:val="en-US" w:eastAsia="zh-CN"/>
          <w14:textFill>
            <w14:solidFill>
              <w14:schemeClr w14:val="tx1"/>
            </w14:solidFill>
          </w14:textFill>
        </w:rPr>
        <w:t>等</w:t>
      </w:r>
      <w:r>
        <w:rPr>
          <w:rFonts w:hint="default" w:ascii="仿宋" w:hAnsi="仿宋" w:eastAsia="仿宋" w:cs="仿宋"/>
          <w:color w:val="000000" w:themeColor="text1"/>
          <w:spacing w:val="11"/>
          <w:sz w:val="32"/>
          <w:szCs w:val="32"/>
          <w:lang w:val="en-US" w:eastAsia="zh-CN"/>
          <w14:textFill>
            <w14:solidFill>
              <w14:schemeClr w14:val="tx1"/>
            </w14:solidFill>
          </w14:textFill>
        </w:rPr>
        <w:t>各个板块产业发展，推动</w:t>
      </w:r>
      <w:r>
        <w:rPr>
          <w:rFonts w:hint="default" w:ascii="仿宋" w:hAnsi="仿宋" w:eastAsia="仿宋" w:cs="仿宋"/>
          <w:color w:val="000000" w:themeColor="text1"/>
          <w:spacing w:val="11"/>
          <w:sz w:val="32"/>
          <w:szCs w:val="32"/>
          <w:lang w:eastAsia="zh-CN"/>
          <w14:textFill>
            <w14:solidFill>
              <w14:schemeClr w14:val="tx1"/>
            </w14:solidFill>
          </w14:textFill>
        </w:rPr>
        <w:t>全市</w:t>
      </w:r>
      <w:r>
        <w:rPr>
          <w:rFonts w:hint="eastAsia" w:ascii="仿宋" w:hAnsi="仿宋" w:eastAsia="仿宋" w:cs="仿宋"/>
          <w:color w:val="000000" w:themeColor="text1"/>
          <w:spacing w:val="11"/>
          <w:sz w:val="32"/>
          <w:szCs w:val="32"/>
          <w:lang w:val="en-US" w:eastAsia="zh-CN"/>
          <w14:textFill>
            <w14:solidFill>
              <w14:schemeClr w14:val="tx1"/>
            </w14:solidFill>
          </w14:textFill>
        </w:rPr>
        <w:t>服务业向价值链高端延伸，</w:t>
      </w:r>
      <w:r>
        <w:rPr>
          <w:rFonts w:hint="default" w:ascii="仿宋" w:hAnsi="仿宋" w:eastAsia="仿宋" w:cs="仿宋"/>
          <w:color w:val="000000" w:themeColor="text1"/>
          <w:spacing w:val="11"/>
          <w:sz w:val="32"/>
          <w:szCs w:val="32"/>
          <w:lang w:val="en-US" w:eastAsia="zh-CN"/>
          <w14:textFill>
            <w14:solidFill>
              <w14:schemeClr w14:val="tx1"/>
            </w14:solidFill>
          </w14:textFill>
        </w:rPr>
        <w:t>不断增强中心城区集聚</w:t>
      </w:r>
      <w:r>
        <w:rPr>
          <w:rFonts w:hint="eastAsia" w:ascii="仿宋" w:hAnsi="仿宋" w:eastAsia="仿宋" w:cs="仿宋"/>
          <w:color w:val="000000" w:themeColor="text1"/>
          <w:spacing w:val="11"/>
          <w:sz w:val="32"/>
          <w:szCs w:val="32"/>
          <w:lang w:val="en-US" w:eastAsia="zh-CN"/>
          <w14:textFill>
            <w14:solidFill>
              <w14:schemeClr w14:val="tx1"/>
            </w14:solidFill>
          </w14:textFill>
        </w:rPr>
        <w:t>发展</w:t>
      </w:r>
      <w:r>
        <w:rPr>
          <w:rFonts w:hint="default" w:ascii="仿宋" w:hAnsi="仿宋" w:eastAsia="仿宋" w:cs="仿宋"/>
          <w:color w:val="000000" w:themeColor="text1"/>
          <w:spacing w:val="11"/>
          <w:sz w:val="32"/>
          <w:szCs w:val="32"/>
          <w:lang w:val="en-US" w:eastAsia="zh-CN"/>
          <w14:textFill>
            <w14:solidFill>
              <w14:schemeClr w14:val="tx1"/>
            </w14:solidFill>
          </w14:textFill>
        </w:rPr>
        <w:t>带动能力</w:t>
      </w:r>
      <w:r>
        <w:rPr>
          <w:rFonts w:hint="eastAsia" w:ascii="仿宋" w:hAnsi="仿宋" w:eastAsia="仿宋" w:cs="仿宋"/>
          <w:color w:val="000000" w:themeColor="text1"/>
          <w:spacing w:val="1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实施</w:t>
      </w:r>
      <w:r>
        <w:rPr>
          <w:rFonts w:hint="eastAsia" w:ascii="仿宋" w:hAnsi="仿宋" w:eastAsia="仿宋" w:cs="仿宋"/>
          <w:color w:val="000000" w:themeColor="text1"/>
          <w:spacing w:val="11"/>
          <w:sz w:val="32"/>
          <w:szCs w:val="32"/>
          <w:lang w:val="en-US" w:eastAsia="zh-CN"/>
          <w14:textFill>
            <w14:solidFill>
              <w14:schemeClr w14:val="tx1"/>
            </w14:solidFill>
          </w14:textFill>
        </w:rPr>
        <w:t>“四区</w:t>
      </w:r>
      <w:r>
        <w:rPr>
          <w:rFonts w:hint="default" w:ascii="仿宋" w:hAnsi="仿宋" w:eastAsia="仿宋" w:cs="仿宋"/>
          <w:color w:val="000000" w:themeColor="text1"/>
          <w:spacing w:val="11"/>
          <w:sz w:val="32"/>
          <w:szCs w:val="32"/>
          <w:lang w:val="en-US" w:eastAsia="zh-CN"/>
          <w14:textFill>
            <w14:solidFill>
              <w14:schemeClr w14:val="tx1"/>
            </w14:solidFill>
          </w14:textFill>
        </w:rPr>
        <w:t>联动</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，打造</w:t>
      </w:r>
      <w:r>
        <w:rPr>
          <w:rFonts w:hint="eastAsia" w:ascii="仿宋" w:hAnsi="仿宋" w:eastAsia="仿宋" w:cs="仿宋"/>
          <w:color w:val="000000" w:themeColor="text1"/>
          <w:spacing w:val="11"/>
          <w:sz w:val="32"/>
          <w:szCs w:val="32"/>
          <w:lang w:val="en-US" w:eastAsia="zh-CN"/>
          <w14:textFill>
            <w14:solidFill>
              <w14:schemeClr w14:val="tx1"/>
            </w14:solidFill>
          </w14:textFill>
        </w:rPr>
        <w:t>四</w:t>
      </w:r>
      <w:r>
        <w:rPr>
          <w:rFonts w:hint="default" w:ascii="仿宋" w:hAnsi="仿宋" w:eastAsia="仿宋" w:cs="仿宋"/>
          <w:color w:val="000000" w:themeColor="text1"/>
          <w:spacing w:val="11"/>
          <w:sz w:val="32"/>
          <w:szCs w:val="32"/>
          <w:lang w:val="en-US" w:eastAsia="zh-CN"/>
          <w14:textFill>
            <w14:solidFill>
              <w14:schemeClr w14:val="tx1"/>
            </w14:solidFill>
          </w14:textFill>
        </w:rPr>
        <w:t>个服务业核心</w:t>
      </w:r>
      <w:r>
        <w:rPr>
          <w:rFonts w:hint="eastAsia" w:ascii="仿宋" w:hAnsi="仿宋" w:eastAsia="仿宋" w:cs="仿宋"/>
          <w:color w:val="000000" w:themeColor="text1"/>
          <w:spacing w:val="11"/>
          <w:sz w:val="32"/>
          <w:szCs w:val="32"/>
          <w:lang w:val="en-US" w:eastAsia="zh-CN"/>
          <w14:textFill>
            <w14:solidFill>
              <w14:schemeClr w14:val="tx1"/>
            </w14:solidFill>
          </w14:textFill>
        </w:rPr>
        <w:t>发展区</w:t>
      </w:r>
      <w:r>
        <w:rPr>
          <w:rFonts w:hint="default"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b/>
          <w:bCs/>
          <w:color w:val="000000" w:themeColor="text1"/>
          <w:spacing w:val="6"/>
          <w:sz w:val="32"/>
          <w:szCs w:val="32"/>
          <w:lang w:val="en-US" w:eastAsia="zh-CN"/>
          <w14:textFill>
            <w14:solidFill>
              <w14:schemeClr w14:val="tx1"/>
            </w14:solidFill>
          </w14:textFill>
        </w:rPr>
        <w:t>驻马店陆港型物流枢纽经济发展区，</w:t>
      </w:r>
      <w:r>
        <w:rPr>
          <w:rFonts w:hint="eastAsia" w:ascii="仿宋" w:hAnsi="仿宋" w:eastAsia="仿宋" w:cs="仿宋"/>
          <w:color w:val="000000" w:themeColor="text1"/>
          <w:spacing w:val="6"/>
          <w:sz w:val="32"/>
          <w:szCs w:val="32"/>
          <w:lang w:val="en-US" w:eastAsia="zh-CN"/>
          <w14:textFill>
            <w14:solidFill>
              <w14:schemeClr w14:val="tx1"/>
            </w14:solidFill>
          </w14:textFill>
        </w:rPr>
        <w:t>依托京广铁路以东恒兴物流、马庄铁路物流基地、福和物流</w:t>
      </w:r>
      <w:r>
        <w:rPr>
          <w:rFonts w:hint="default" w:ascii="仿宋" w:hAnsi="仿宋" w:eastAsia="仿宋" w:cs="仿宋"/>
          <w:color w:val="000000" w:themeColor="text1"/>
          <w:spacing w:val="6"/>
          <w:sz w:val="32"/>
          <w:szCs w:val="32"/>
          <w:lang w:eastAsia="zh-CN"/>
          <w14:textFill>
            <w14:solidFill>
              <w14:schemeClr w14:val="tx1"/>
            </w14:solidFill>
          </w14:textFill>
        </w:rPr>
        <w:t>、</w:t>
      </w:r>
      <w:r>
        <w:rPr>
          <w:rFonts w:hint="eastAsia" w:ascii="仿宋" w:hAnsi="仿宋" w:eastAsia="仿宋" w:cs="仿宋"/>
          <w:color w:val="000000" w:themeColor="text1"/>
          <w:spacing w:val="6"/>
          <w:sz w:val="32"/>
          <w:szCs w:val="32"/>
          <w:lang w:val="en-US" w:eastAsia="zh-CN"/>
          <w14:textFill>
            <w14:solidFill>
              <w14:schemeClr w14:val="tx1"/>
            </w14:solidFill>
          </w14:textFill>
        </w:rPr>
        <w:t>驻马店保税物流中心等物流园区，深化多种运输方式衔接，拓展区域分拨配送和国际物流组织等功能，推进物流与制造、商贸产业融合，把驻马店打造成引领</w:t>
      </w:r>
      <w:r>
        <w:rPr>
          <w:rFonts w:hint="default" w:ascii="仿宋" w:hAnsi="仿宋" w:eastAsia="仿宋" w:cs="仿宋"/>
          <w:color w:val="000000" w:themeColor="text1"/>
          <w:spacing w:val="6"/>
          <w:sz w:val="32"/>
          <w:szCs w:val="32"/>
          <w:lang w:eastAsia="zh-CN"/>
          <w14:textFill>
            <w14:solidFill>
              <w14:schemeClr w14:val="tx1"/>
            </w14:solidFill>
          </w14:textFill>
        </w:rPr>
        <w:t>区域深度融入国内国际双</w:t>
      </w:r>
      <w:r>
        <w:rPr>
          <w:rFonts w:hint="eastAsia" w:ascii="仿宋" w:hAnsi="仿宋" w:eastAsia="仿宋" w:cs="仿宋"/>
          <w:color w:val="000000" w:themeColor="text1"/>
          <w:spacing w:val="6"/>
          <w:sz w:val="32"/>
          <w:szCs w:val="32"/>
          <w:lang w:val="en-US" w:eastAsia="zh-CN"/>
          <w14:textFill>
            <w14:solidFill>
              <w14:schemeClr w14:val="tx1"/>
            </w14:solidFill>
          </w14:textFill>
        </w:rPr>
        <w:t>循环的开放型物流战略支点</w:t>
      </w:r>
      <w:r>
        <w:rPr>
          <w:rFonts w:hint="default" w:ascii="仿宋" w:hAnsi="仿宋" w:eastAsia="仿宋" w:cs="仿宋"/>
          <w:color w:val="000000" w:themeColor="text1"/>
          <w:spacing w:val="6"/>
          <w:sz w:val="32"/>
          <w:szCs w:val="32"/>
          <w:lang w:eastAsia="zh-CN"/>
          <w14:textFill>
            <w14:solidFill>
              <w14:schemeClr w14:val="tx1"/>
            </w14:solidFill>
          </w14:textFill>
        </w:rPr>
        <w:t>。</w:t>
      </w:r>
      <w:r>
        <w:rPr>
          <w:rFonts w:hint="default" w:ascii="仿宋" w:hAnsi="仿宋" w:eastAsia="仿宋" w:cs="仿宋"/>
          <w:b/>
          <w:bCs/>
          <w:color w:val="000000" w:themeColor="text1"/>
          <w:spacing w:val="6"/>
          <w:sz w:val="32"/>
          <w:szCs w:val="32"/>
          <w:lang w:val="en-US" w:eastAsia="zh-CN"/>
          <w14:textFill>
            <w14:solidFill>
              <w14:schemeClr w14:val="tx1"/>
            </w14:solidFill>
          </w14:textFill>
        </w:rPr>
        <w:t>高铁商贸商务</w:t>
      </w:r>
      <w:r>
        <w:rPr>
          <w:rFonts w:hint="eastAsia" w:ascii="仿宋" w:hAnsi="仿宋" w:eastAsia="仿宋" w:cs="仿宋"/>
          <w:b/>
          <w:bCs/>
          <w:color w:val="000000" w:themeColor="text1"/>
          <w:spacing w:val="6"/>
          <w:sz w:val="32"/>
          <w:szCs w:val="32"/>
          <w:lang w:val="en-US" w:eastAsia="zh-CN"/>
          <w14:textFill>
            <w14:solidFill>
              <w14:schemeClr w14:val="tx1"/>
            </w14:solidFill>
          </w14:textFill>
        </w:rPr>
        <w:t>创新发展</w:t>
      </w:r>
      <w:r>
        <w:rPr>
          <w:rFonts w:hint="default" w:ascii="仿宋" w:hAnsi="仿宋" w:eastAsia="仿宋" w:cs="仿宋"/>
          <w:b/>
          <w:bCs/>
          <w:color w:val="000000" w:themeColor="text1"/>
          <w:spacing w:val="6"/>
          <w:sz w:val="32"/>
          <w:szCs w:val="32"/>
          <w:lang w:val="en-US" w:eastAsia="zh-CN"/>
          <w14:textFill>
            <w14:solidFill>
              <w14:schemeClr w14:val="tx1"/>
            </w14:solidFill>
          </w14:textFill>
        </w:rPr>
        <w:t>区，</w:t>
      </w:r>
      <w:r>
        <w:rPr>
          <w:rFonts w:hint="default" w:ascii="仿宋" w:hAnsi="仿宋" w:eastAsia="仿宋" w:cs="仿宋"/>
          <w:color w:val="000000" w:themeColor="text1"/>
          <w:spacing w:val="6"/>
          <w:sz w:val="32"/>
          <w:szCs w:val="32"/>
          <w:lang w:val="en-US" w:eastAsia="zh-CN"/>
          <w14:textFill>
            <w14:solidFill>
              <w14:schemeClr w14:val="tx1"/>
            </w14:solidFill>
          </w14:textFill>
        </w:rPr>
        <w:t>围绕</w:t>
      </w:r>
      <w:r>
        <w:rPr>
          <w:rFonts w:hint="eastAsia" w:ascii="仿宋" w:hAnsi="仿宋" w:eastAsia="仿宋" w:cs="仿宋"/>
          <w:color w:val="000000" w:themeColor="text1"/>
          <w:spacing w:val="6"/>
          <w:sz w:val="32"/>
          <w:szCs w:val="32"/>
          <w:lang w:val="en-US" w:eastAsia="zh-CN"/>
          <w14:textFill>
            <w14:solidFill>
              <w14:schemeClr w14:val="tx1"/>
            </w14:solidFill>
          </w14:textFill>
        </w:rPr>
        <w:t>驻马店</w:t>
      </w:r>
      <w:r>
        <w:rPr>
          <w:rFonts w:hint="default" w:ascii="仿宋" w:hAnsi="仿宋" w:eastAsia="仿宋" w:cs="仿宋"/>
          <w:color w:val="000000" w:themeColor="text1"/>
          <w:spacing w:val="6"/>
          <w:sz w:val="32"/>
          <w:szCs w:val="32"/>
          <w:lang w:val="en-US" w:eastAsia="zh-CN"/>
          <w14:textFill>
            <w14:solidFill>
              <w14:schemeClr w14:val="tx1"/>
            </w14:solidFill>
          </w14:textFill>
        </w:rPr>
        <w:t>高铁</w:t>
      </w:r>
      <w:r>
        <w:rPr>
          <w:rFonts w:hint="eastAsia" w:ascii="仿宋" w:hAnsi="仿宋" w:eastAsia="仿宋" w:cs="仿宋"/>
          <w:color w:val="000000" w:themeColor="text1"/>
          <w:spacing w:val="6"/>
          <w:sz w:val="32"/>
          <w:szCs w:val="32"/>
          <w:lang w:val="en-US" w:eastAsia="zh-CN"/>
          <w14:textFill>
            <w14:solidFill>
              <w14:schemeClr w14:val="tx1"/>
            </w14:solidFill>
          </w14:textFill>
        </w:rPr>
        <w:t>站片区</w:t>
      </w:r>
      <w:r>
        <w:rPr>
          <w:rFonts w:hint="default" w:ascii="仿宋" w:hAnsi="仿宋" w:eastAsia="仿宋" w:cs="仿宋"/>
          <w:color w:val="000000" w:themeColor="text1"/>
          <w:spacing w:val="6"/>
          <w:sz w:val="32"/>
          <w:szCs w:val="32"/>
          <w:lang w:val="en-US" w:eastAsia="zh-CN"/>
          <w14:textFill>
            <w14:solidFill>
              <w14:schemeClr w14:val="tx1"/>
            </w14:solidFill>
          </w14:textFill>
        </w:rPr>
        <w:t>打造以</w:t>
      </w:r>
      <w:r>
        <w:rPr>
          <w:rFonts w:hint="eastAsia" w:ascii="仿宋" w:hAnsi="仿宋" w:eastAsia="仿宋" w:cs="仿宋"/>
          <w:color w:val="000000" w:themeColor="text1"/>
          <w:spacing w:val="6"/>
          <w:sz w:val="32"/>
          <w:szCs w:val="32"/>
          <w:lang w:val="en-US" w:eastAsia="zh-CN"/>
          <w14:textFill>
            <w14:solidFill>
              <w14:schemeClr w14:val="tx1"/>
            </w14:solidFill>
          </w14:textFill>
        </w:rPr>
        <w:t>环球港为引领的</w:t>
      </w:r>
      <w:r>
        <w:rPr>
          <w:rFonts w:hint="default" w:ascii="仿宋" w:hAnsi="仿宋" w:eastAsia="仿宋" w:cs="仿宋"/>
          <w:color w:val="000000" w:themeColor="text1"/>
          <w:spacing w:val="6"/>
          <w:sz w:val="32"/>
          <w:szCs w:val="32"/>
          <w:lang w:val="en-US" w:eastAsia="zh-CN"/>
          <w14:textFill>
            <w14:solidFill>
              <w14:schemeClr w14:val="tx1"/>
            </w14:solidFill>
          </w14:textFill>
        </w:rPr>
        <w:t>高端商贸特色商业区</w:t>
      </w:r>
      <w:r>
        <w:rPr>
          <w:rFonts w:hint="default" w:ascii="仿宋" w:hAnsi="仿宋" w:eastAsia="仿宋" w:cs="仿宋"/>
          <w:color w:val="000000" w:themeColor="text1"/>
          <w:spacing w:val="6"/>
          <w:sz w:val="32"/>
          <w:szCs w:val="32"/>
          <w:lang w:eastAsia="zh-CN"/>
          <w14:textFill>
            <w14:solidFill>
              <w14:schemeClr w14:val="tx1"/>
            </w14:solidFill>
          </w14:textFill>
        </w:rPr>
        <w:t>；</w:t>
      </w:r>
      <w:r>
        <w:rPr>
          <w:rFonts w:hint="default" w:ascii="仿宋" w:hAnsi="仿宋" w:eastAsia="仿宋" w:cs="仿宋"/>
          <w:color w:val="000000" w:themeColor="text1"/>
          <w:spacing w:val="6"/>
          <w:sz w:val="32"/>
          <w:szCs w:val="32"/>
          <w:lang w:val="en-US" w:eastAsia="zh-CN"/>
          <w14:textFill>
            <w14:solidFill>
              <w14:schemeClr w14:val="tx1"/>
            </w14:solidFill>
          </w14:textFill>
        </w:rPr>
        <w:t>依托</w:t>
      </w:r>
      <w:r>
        <w:rPr>
          <w:rFonts w:hint="eastAsia" w:ascii="仿宋" w:hAnsi="仿宋" w:eastAsia="仿宋" w:cs="仿宋"/>
          <w:color w:val="000000" w:themeColor="text1"/>
          <w:spacing w:val="6"/>
          <w:sz w:val="32"/>
          <w:szCs w:val="32"/>
          <w:lang w:val="en-US" w:eastAsia="zh-CN"/>
          <w14:textFill>
            <w14:solidFill>
              <w14:schemeClr w14:val="tx1"/>
            </w14:solidFill>
          </w14:textFill>
        </w:rPr>
        <w:t>驻马店智慧岛等载体平台，</w:t>
      </w:r>
      <w:r>
        <w:rPr>
          <w:rFonts w:hint="default" w:ascii="仿宋" w:hAnsi="仿宋" w:eastAsia="仿宋" w:cs="仿宋"/>
          <w:color w:val="000000" w:themeColor="text1"/>
          <w:spacing w:val="6"/>
          <w:sz w:val="32"/>
          <w:szCs w:val="32"/>
          <w:lang w:val="en-US" w:eastAsia="zh-CN"/>
          <w14:textFill>
            <w14:solidFill>
              <w14:schemeClr w14:val="tx1"/>
            </w14:solidFill>
          </w14:textFill>
        </w:rPr>
        <w:t>打造科技</w:t>
      </w:r>
      <w:r>
        <w:rPr>
          <w:rFonts w:hint="eastAsia" w:ascii="仿宋" w:hAnsi="仿宋" w:eastAsia="仿宋" w:cs="仿宋"/>
          <w:color w:val="000000" w:themeColor="text1"/>
          <w:spacing w:val="6"/>
          <w:sz w:val="32"/>
          <w:szCs w:val="32"/>
          <w:lang w:val="en-US" w:eastAsia="zh-CN"/>
          <w14:textFill>
            <w14:solidFill>
              <w14:schemeClr w14:val="tx1"/>
            </w14:solidFill>
          </w14:textFill>
        </w:rPr>
        <w:t>、中介等</w:t>
      </w:r>
      <w:r>
        <w:rPr>
          <w:rFonts w:hint="default" w:ascii="仿宋" w:hAnsi="仿宋" w:eastAsia="仿宋" w:cs="仿宋"/>
          <w:color w:val="000000" w:themeColor="text1"/>
          <w:spacing w:val="6"/>
          <w:sz w:val="32"/>
          <w:szCs w:val="32"/>
          <w:lang w:val="en-US" w:eastAsia="zh-CN"/>
          <w14:textFill>
            <w14:solidFill>
              <w14:schemeClr w14:val="tx1"/>
            </w14:solidFill>
          </w14:textFill>
        </w:rPr>
        <w:t>服务策源地和技术成果转化集散地</w:t>
      </w:r>
      <w:r>
        <w:rPr>
          <w:rFonts w:hint="default" w:ascii="仿宋" w:hAnsi="仿宋" w:eastAsia="仿宋" w:cs="仿宋"/>
          <w:color w:val="000000" w:themeColor="text1"/>
          <w:spacing w:val="6"/>
          <w:sz w:val="32"/>
          <w:szCs w:val="32"/>
          <w:lang w:eastAsia="zh-CN"/>
          <w14:textFill>
            <w14:solidFill>
              <w14:schemeClr w14:val="tx1"/>
            </w14:solidFill>
          </w14:textFill>
        </w:rPr>
        <w:t>。</w:t>
      </w:r>
      <w:r>
        <w:rPr>
          <w:rFonts w:hint="eastAsia" w:ascii="仿宋" w:hAnsi="仿宋" w:eastAsia="仿宋" w:cs="仿宋"/>
          <w:b/>
          <w:bCs/>
          <w:color w:val="000000" w:themeColor="text1"/>
          <w:spacing w:val="6"/>
          <w:sz w:val="32"/>
          <w:szCs w:val="32"/>
          <w:lang w:val="en-US" w:eastAsia="zh-CN"/>
          <w14:textFill>
            <w14:solidFill>
              <w14:schemeClr w14:val="tx1"/>
            </w14:solidFill>
          </w14:textFill>
        </w:rPr>
        <w:t>生产性服务业发展区，</w:t>
      </w:r>
      <w:r>
        <w:rPr>
          <w:rFonts w:hint="eastAsia" w:ascii="仿宋" w:hAnsi="仿宋" w:eastAsia="仿宋" w:cs="仿宋"/>
          <w:color w:val="000000" w:themeColor="text1"/>
          <w:spacing w:val="6"/>
          <w:sz w:val="32"/>
          <w:szCs w:val="32"/>
          <w:lang w:val="en-US" w:eastAsia="zh-CN"/>
          <w14:textFill>
            <w14:solidFill>
              <w14:schemeClr w14:val="tx1"/>
            </w14:solidFill>
          </w14:textFill>
        </w:rPr>
        <w:t>依托驻马店经济开发区和高新技术产业开发区两大载体平台</w:t>
      </w:r>
      <w:r>
        <w:rPr>
          <w:rFonts w:hint="default" w:ascii="仿宋" w:hAnsi="仿宋" w:eastAsia="仿宋" w:cs="仿宋"/>
          <w:color w:val="000000" w:themeColor="text1"/>
          <w:spacing w:val="6"/>
          <w:sz w:val="32"/>
          <w:szCs w:val="32"/>
          <w:lang w:val="en-US" w:eastAsia="zh-CN"/>
          <w14:textFill>
            <w14:solidFill>
              <w14:schemeClr w14:val="tx1"/>
            </w14:solidFill>
          </w14:textFill>
        </w:rPr>
        <w:t>，</w:t>
      </w:r>
      <w:r>
        <w:rPr>
          <w:rFonts w:hint="eastAsia" w:ascii="仿宋" w:hAnsi="仿宋" w:eastAsia="仿宋" w:cs="仿宋"/>
          <w:color w:val="000000" w:themeColor="text1"/>
          <w:spacing w:val="6"/>
          <w:sz w:val="32"/>
          <w:szCs w:val="32"/>
          <w:lang w:val="en-US" w:eastAsia="zh-CN"/>
          <w14:textFill>
            <w14:solidFill>
              <w14:schemeClr w14:val="tx1"/>
            </w14:solidFill>
          </w14:textFill>
        </w:rPr>
        <w:t>聚焦农产品加工、精细化工</w:t>
      </w:r>
      <w:r>
        <w:rPr>
          <w:rFonts w:hint="default" w:ascii="仿宋" w:hAnsi="仿宋" w:eastAsia="仿宋" w:cs="仿宋"/>
          <w:color w:val="000000" w:themeColor="text1"/>
          <w:spacing w:val="6"/>
          <w:sz w:val="32"/>
          <w:szCs w:val="32"/>
          <w:lang w:val="en-US" w:eastAsia="zh-CN"/>
          <w14:textFill>
            <w14:solidFill>
              <w14:schemeClr w14:val="tx1"/>
            </w14:solidFill>
          </w14:textFill>
        </w:rPr>
        <w:t>、</w:t>
      </w:r>
      <w:r>
        <w:rPr>
          <w:rFonts w:hint="eastAsia" w:ascii="仿宋" w:hAnsi="仿宋" w:eastAsia="仿宋" w:cs="仿宋"/>
          <w:color w:val="000000" w:themeColor="text1"/>
          <w:spacing w:val="6"/>
          <w:sz w:val="32"/>
          <w:szCs w:val="32"/>
          <w:lang w:val="en-US" w:eastAsia="zh-CN"/>
          <w14:textFill>
            <w14:solidFill>
              <w14:schemeClr w14:val="tx1"/>
            </w14:solidFill>
          </w14:textFill>
        </w:rPr>
        <w:t>医药</w:t>
      </w:r>
      <w:r>
        <w:rPr>
          <w:rFonts w:hint="default" w:ascii="仿宋" w:hAnsi="仿宋" w:eastAsia="仿宋" w:cs="仿宋"/>
          <w:color w:val="000000" w:themeColor="text1"/>
          <w:spacing w:val="6"/>
          <w:sz w:val="32"/>
          <w:szCs w:val="32"/>
          <w:lang w:val="en-US" w:eastAsia="zh-CN"/>
          <w14:textFill>
            <w14:solidFill>
              <w14:schemeClr w14:val="tx1"/>
            </w14:solidFill>
          </w14:textFill>
        </w:rPr>
        <w:t>、</w:t>
      </w:r>
      <w:r>
        <w:rPr>
          <w:rFonts w:hint="eastAsia" w:ascii="仿宋" w:hAnsi="仿宋" w:eastAsia="仿宋" w:cs="仿宋"/>
          <w:color w:val="000000" w:themeColor="text1"/>
          <w:spacing w:val="6"/>
          <w:sz w:val="32"/>
          <w:szCs w:val="32"/>
          <w:lang w:val="en-US" w:eastAsia="zh-CN"/>
          <w14:textFill>
            <w14:solidFill>
              <w14:schemeClr w14:val="tx1"/>
            </w14:solidFill>
          </w14:textFill>
        </w:rPr>
        <w:t>复合新材料</w:t>
      </w:r>
      <w:r>
        <w:rPr>
          <w:rFonts w:hint="default" w:ascii="仿宋" w:hAnsi="仿宋" w:eastAsia="仿宋" w:cs="仿宋"/>
          <w:color w:val="000000" w:themeColor="text1"/>
          <w:spacing w:val="6"/>
          <w:sz w:val="32"/>
          <w:szCs w:val="32"/>
          <w:lang w:val="en-US" w:eastAsia="zh-CN"/>
          <w14:textFill>
            <w14:solidFill>
              <w14:schemeClr w14:val="tx1"/>
            </w14:solidFill>
          </w14:textFill>
        </w:rPr>
        <w:t>等产业，大力发展</w:t>
      </w:r>
      <w:r>
        <w:rPr>
          <w:rFonts w:hint="eastAsia" w:ascii="仿宋" w:hAnsi="仿宋" w:eastAsia="仿宋" w:cs="仿宋"/>
          <w:color w:val="000000" w:themeColor="text1"/>
          <w:spacing w:val="6"/>
          <w:sz w:val="32"/>
          <w:szCs w:val="32"/>
          <w:lang w:val="en-US" w:eastAsia="zh-CN"/>
          <w14:textFill>
            <w14:solidFill>
              <w14:schemeClr w14:val="tx1"/>
            </w14:solidFill>
          </w14:textFill>
        </w:rPr>
        <w:t>现代</w:t>
      </w:r>
      <w:r>
        <w:rPr>
          <w:rFonts w:hint="default" w:ascii="仿宋" w:hAnsi="仿宋" w:eastAsia="仿宋" w:cs="仿宋"/>
          <w:color w:val="000000" w:themeColor="text1"/>
          <w:spacing w:val="6"/>
          <w:sz w:val="32"/>
          <w:szCs w:val="32"/>
          <w:lang w:val="en-US" w:eastAsia="zh-CN"/>
          <w14:textFill>
            <w14:solidFill>
              <w14:schemeClr w14:val="tx1"/>
            </w14:solidFill>
          </w14:textFill>
        </w:rPr>
        <w:t>物流、金融服务、科技创新等服务业，建设先进制造业和现代服务业融合</w:t>
      </w:r>
      <w:r>
        <w:rPr>
          <w:rFonts w:hint="eastAsia" w:ascii="仿宋" w:hAnsi="仿宋" w:eastAsia="仿宋" w:cs="仿宋"/>
          <w:color w:val="000000" w:themeColor="text1"/>
          <w:spacing w:val="6"/>
          <w:sz w:val="32"/>
          <w:szCs w:val="32"/>
          <w:lang w:val="en-US" w:eastAsia="zh-CN"/>
          <w14:textFill>
            <w14:solidFill>
              <w14:schemeClr w14:val="tx1"/>
            </w14:solidFill>
          </w14:textFill>
        </w:rPr>
        <w:t>发展区，努力将驻马店</w:t>
      </w:r>
      <w:r>
        <w:rPr>
          <w:rFonts w:hint="default" w:ascii="仿宋" w:hAnsi="仿宋" w:eastAsia="仿宋" w:cs="仿宋"/>
          <w:color w:val="000000" w:themeColor="text1"/>
          <w:spacing w:val="6"/>
          <w:sz w:val="32"/>
          <w:szCs w:val="32"/>
          <w:lang w:val="en-US" w:eastAsia="zh-CN"/>
          <w14:textFill>
            <w14:solidFill>
              <w14:schemeClr w14:val="tx1"/>
            </w14:solidFill>
          </w14:textFill>
        </w:rPr>
        <w:t>打造</w:t>
      </w:r>
      <w:r>
        <w:rPr>
          <w:rFonts w:hint="eastAsia" w:ascii="仿宋" w:hAnsi="仿宋" w:eastAsia="仿宋" w:cs="仿宋"/>
          <w:color w:val="000000" w:themeColor="text1"/>
          <w:spacing w:val="6"/>
          <w:sz w:val="32"/>
          <w:szCs w:val="32"/>
          <w:lang w:val="en-US" w:eastAsia="zh-CN"/>
          <w14:textFill>
            <w14:solidFill>
              <w14:schemeClr w14:val="tx1"/>
            </w14:solidFill>
          </w14:textFill>
        </w:rPr>
        <w:t>成</w:t>
      </w:r>
      <w:r>
        <w:rPr>
          <w:rFonts w:hint="default" w:ascii="仿宋" w:hAnsi="仿宋" w:eastAsia="仿宋" w:cs="仿宋"/>
          <w:color w:val="000000" w:themeColor="text1"/>
          <w:spacing w:val="6"/>
          <w:sz w:val="32"/>
          <w:szCs w:val="32"/>
          <w:lang w:val="en-US" w:eastAsia="zh-CN"/>
          <w14:textFill>
            <w14:solidFill>
              <w14:schemeClr w14:val="tx1"/>
            </w14:solidFill>
          </w14:textFill>
        </w:rPr>
        <w:t>现代服务业创新发展新高地</w:t>
      </w:r>
      <w:r>
        <w:rPr>
          <w:rFonts w:hint="default" w:ascii="仿宋" w:hAnsi="仿宋" w:eastAsia="仿宋" w:cs="仿宋"/>
          <w:color w:val="000000" w:themeColor="text1"/>
          <w:spacing w:val="6"/>
          <w:sz w:val="32"/>
          <w:szCs w:val="32"/>
          <w:lang w:eastAsia="zh-CN"/>
          <w14:textFill>
            <w14:solidFill>
              <w14:schemeClr w14:val="tx1"/>
            </w14:solidFill>
          </w14:textFill>
        </w:rPr>
        <w:t>。</w:t>
      </w:r>
      <w:r>
        <w:rPr>
          <w:rFonts w:hint="eastAsia" w:ascii="仿宋" w:hAnsi="仿宋" w:eastAsia="仿宋" w:cs="仿宋"/>
          <w:b/>
          <w:bCs/>
          <w:color w:val="000000" w:themeColor="text1"/>
          <w:spacing w:val="6"/>
          <w:sz w:val="32"/>
          <w:szCs w:val="32"/>
          <w:lang w:val="en-US" w:eastAsia="zh-CN"/>
          <w14:textFill>
            <w14:solidFill>
              <w14:schemeClr w14:val="tx1"/>
            </w14:solidFill>
          </w14:textFill>
        </w:rPr>
        <w:t>天中文化旅游创意区，</w:t>
      </w:r>
      <w:r>
        <w:rPr>
          <w:rFonts w:hint="eastAsia" w:ascii="仿宋" w:hAnsi="仿宋" w:eastAsia="仿宋" w:cs="仿宋"/>
          <w:b w:val="0"/>
          <w:bCs w:val="0"/>
          <w:color w:val="000000" w:themeColor="text1"/>
          <w:spacing w:val="6"/>
          <w:sz w:val="32"/>
          <w:szCs w:val="32"/>
          <w:lang w:val="en-US" w:eastAsia="zh-CN"/>
          <w14:textFill>
            <w14:solidFill>
              <w14:schemeClr w14:val="tx1"/>
            </w14:solidFill>
          </w14:textFill>
        </w:rPr>
        <w:t>以皇家驿站、金顶山、老乐山、杨靖宇将军纪念馆、南山民宿等景区为基础，串联嵖岈山、宿鸭湖、天中山文化园等景区，建设文旅休闲消费街区、特色美食街区、民宿客栈、非遗民俗场馆及游船（河道）航道、亲水平台等</w:t>
      </w:r>
      <w:r>
        <w:rPr>
          <w:rFonts w:hint="default" w:ascii="仿宋" w:hAnsi="仿宋" w:eastAsia="仿宋" w:cs="仿宋"/>
          <w:b w:val="0"/>
          <w:bCs w:val="0"/>
          <w:color w:val="000000" w:themeColor="text1"/>
          <w:spacing w:val="6"/>
          <w:sz w:val="32"/>
          <w:szCs w:val="32"/>
          <w:lang w:eastAsia="zh-CN"/>
          <w14:textFill>
            <w14:solidFill>
              <w14:schemeClr w14:val="tx1"/>
            </w14:solidFill>
          </w14:textFill>
        </w:rPr>
        <w:t>配套业态</w:t>
      </w:r>
      <w:r>
        <w:rPr>
          <w:rFonts w:hint="eastAsia" w:ascii="仿宋" w:hAnsi="仿宋" w:eastAsia="仿宋" w:cs="仿宋"/>
          <w:b w:val="0"/>
          <w:bCs w:val="0"/>
          <w:color w:val="000000" w:themeColor="text1"/>
          <w:spacing w:val="6"/>
          <w:sz w:val="32"/>
          <w:szCs w:val="32"/>
          <w:lang w:val="en-US" w:eastAsia="zh-CN"/>
          <w14:textFill>
            <w14:solidFill>
              <w14:schemeClr w14:val="tx1"/>
            </w14:solidFill>
          </w14:textFill>
        </w:rPr>
        <w:t>，大力发展文化旅游产业，将驻马店塑造成为具有鲜明特色的文化旅游目的地。</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促进</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全域提升</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，增强县</w:t>
      </w:r>
      <w:r>
        <w:rPr>
          <w:rFonts w:hint="eastAsia" w:ascii="仿宋" w:hAnsi="仿宋" w:eastAsia="仿宋" w:cs="仿宋"/>
          <w:color w:val="000000" w:themeColor="text1"/>
          <w:spacing w:val="11"/>
          <w:sz w:val="32"/>
          <w:szCs w:val="32"/>
          <w:lang w:val="en-US" w:eastAsia="zh-CN"/>
          <w14:textFill>
            <w14:solidFill>
              <w14:schemeClr w14:val="tx1"/>
            </w14:solidFill>
          </w14:textFill>
        </w:rPr>
        <w:t>域服务业</w:t>
      </w:r>
      <w:r>
        <w:rPr>
          <w:rFonts w:hint="default" w:ascii="仿宋" w:hAnsi="仿宋" w:eastAsia="仿宋" w:cs="仿宋"/>
          <w:color w:val="000000" w:themeColor="text1"/>
          <w:spacing w:val="11"/>
          <w:sz w:val="32"/>
          <w:szCs w:val="32"/>
          <w:lang w:val="en-US" w:eastAsia="zh-CN"/>
          <w14:textFill>
            <w14:solidFill>
              <w14:schemeClr w14:val="tx1"/>
            </w14:solidFill>
          </w14:textFill>
        </w:rPr>
        <w:t>集聚承载能力。</w:t>
      </w:r>
      <w:r>
        <w:rPr>
          <w:rFonts w:hint="eastAsia" w:ascii="仿宋" w:hAnsi="仿宋" w:eastAsia="仿宋" w:cs="仿宋"/>
          <w:color w:val="000000" w:themeColor="text1"/>
          <w:spacing w:val="11"/>
          <w:sz w:val="32"/>
          <w:szCs w:val="32"/>
          <w:lang w:val="en-US" w:eastAsia="zh-CN"/>
          <w14:textFill>
            <w14:solidFill>
              <w14:schemeClr w14:val="tx1"/>
            </w14:solidFill>
          </w14:textFill>
        </w:rPr>
        <w:t>依托驻马店市九县城区原商务中心区或特色商业区，积极融入先进制造业开发区，瞄准主业、联动发展，形成各具特色的现代服务业集聚发展板块。支持各县</w:t>
      </w:r>
      <w:r>
        <w:rPr>
          <w:rFonts w:hint="default" w:ascii="仿宋" w:hAnsi="仿宋" w:eastAsia="仿宋" w:cs="仿宋"/>
          <w:color w:val="000000" w:themeColor="text1"/>
          <w:spacing w:val="11"/>
          <w:sz w:val="32"/>
          <w:szCs w:val="32"/>
          <w:lang w:eastAsia="zh-CN"/>
          <w14:textFill>
            <w14:solidFill>
              <w14:schemeClr w14:val="tx1"/>
            </w14:solidFill>
          </w14:textFill>
        </w:rPr>
        <w:t>依托</w:t>
      </w:r>
      <w:r>
        <w:rPr>
          <w:rFonts w:hint="eastAsia" w:ascii="仿宋" w:hAnsi="仿宋" w:eastAsia="仿宋" w:cs="仿宋"/>
          <w:color w:val="000000" w:themeColor="text1"/>
          <w:spacing w:val="11"/>
          <w:sz w:val="32"/>
          <w:szCs w:val="32"/>
          <w:lang w:val="en-US" w:eastAsia="zh-CN"/>
          <w14:textFill>
            <w14:solidFill>
              <w14:schemeClr w14:val="tx1"/>
            </w14:solidFill>
          </w14:textFill>
        </w:rPr>
        <w:t>工业</w:t>
      </w:r>
      <w:r>
        <w:rPr>
          <w:rFonts w:hint="default" w:ascii="仿宋" w:hAnsi="仿宋" w:eastAsia="仿宋" w:cs="仿宋"/>
          <w:color w:val="000000" w:themeColor="text1"/>
          <w:spacing w:val="11"/>
          <w:sz w:val="32"/>
          <w:szCs w:val="32"/>
          <w:lang w:eastAsia="zh-CN"/>
          <w14:textFill>
            <w14:solidFill>
              <w14:schemeClr w14:val="tx1"/>
            </w14:solidFill>
          </w14:textFill>
        </w:rPr>
        <w:t>基础</w:t>
      </w:r>
      <w:r>
        <w:rPr>
          <w:rFonts w:hint="eastAsia" w:ascii="仿宋" w:hAnsi="仿宋" w:eastAsia="仿宋" w:cs="仿宋"/>
          <w:color w:val="000000" w:themeColor="text1"/>
          <w:spacing w:val="11"/>
          <w:sz w:val="32"/>
          <w:szCs w:val="32"/>
          <w:lang w:val="en-US" w:eastAsia="zh-CN"/>
          <w14:textFill>
            <w14:solidFill>
              <w14:schemeClr w14:val="tx1"/>
            </w14:solidFill>
          </w14:textFill>
        </w:rPr>
        <w:t>加快发展生产性服务业,推动制造业向产业链两端延伸,提升专业化服务水平,构建与主导产业配套的生产服务体系。支持各县布局发展现代物流、商贸流通等产业,加快建设一批跨区域物流中心和新型交易市场。支持各县结合实际培育发展一批文化创意、健康养老、家政服务等特色服务业基地和园区,打造一批精品景区和旅游线路,提升区域生活服务品质。</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黑体" w:hAnsi="黑体" w:eastAsia="黑体" w:cs="黑体"/>
          <w:color w:val="000000" w:themeColor="text1"/>
          <w:spacing w:val="11"/>
          <w:sz w:val="32"/>
          <w:szCs w:val="32"/>
          <w:lang w:val="en-US" w:eastAsia="zh-CN"/>
          <w14:textFill>
            <w14:solidFill>
              <w14:schemeClr w14:val="tx1"/>
            </w14:solidFill>
          </w14:textFill>
        </w:rPr>
      </w:pPr>
      <w:r>
        <w:rPr>
          <w:rFonts w:hint="default" w:ascii="黑体" w:hAnsi="黑体" w:eastAsia="黑体" w:cs="黑体"/>
          <w:color w:val="000000" w:themeColor="text1"/>
          <w:spacing w:val="11"/>
          <w:sz w:val="32"/>
          <w:szCs w:val="32"/>
          <w:lang w:eastAsia="zh-CN"/>
          <w14:textFill>
            <w14:solidFill>
              <w14:schemeClr w14:val="tx1"/>
            </w14:solidFill>
          </w14:textFill>
        </w:rPr>
        <w:t>三</w:t>
      </w:r>
      <w:r>
        <w:rPr>
          <w:rFonts w:hint="eastAsia" w:ascii="黑体" w:hAnsi="黑体" w:eastAsia="黑体" w:cs="黑体"/>
          <w:color w:val="000000" w:themeColor="text1"/>
          <w:spacing w:val="11"/>
          <w:sz w:val="32"/>
          <w:szCs w:val="32"/>
          <w:lang w:val="en-US" w:eastAsia="zh-CN"/>
          <w14:textFill>
            <w14:solidFill>
              <w14:schemeClr w14:val="tx1"/>
            </w14:solidFill>
          </w14:textFill>
        </w:rPr>
        <w:t>、重点产业体系</w:t>
      </w:r>
      <w:bookmarkEnd w:id="30"/>
      <w:bookmarkStart w:id="35" w:name="_Toc89708014"/>
      <w:bookmarkEnd w:id="35"/>
      <w:bookmarkStart w:id="36" w:name="_Toc89724591"/>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围绕以国内大循环为主体、国内国际双循环相互促进的新发展格局，以服务业扩能提质为主攻方向</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大力发展现代物流、商务服务、现代金融、文化旅游等支撑型服务业</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提升发展研发设计、科技信息、特色餐饮、商贸展会等赋能型服务业</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加快培育壮大养老服务、体育服务、法律服务、家政服务等新模式、新业态，着力推动服务业向价值链高端延伸，聚力构筑“3</w:t>
      </w:r>
      <w:r>
        <w:rPr>
          <w:rFonts w:hint="default"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4”服务业体系。</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r>
        <w:rPr>
          <w:rFonts w:hint="eastAsia" w:ascii="楷体" w:hAnsi="楷体" w:eastAsia="楷体" w:cs="楷体"/>
          <w:color w:val="000000" w:themeColor="text1"/>
          <w:spacing w:val="11"/>
          <w:sz w:val="32"/>
          <w:szCs w:val="32"/>
          <w:lang w:val="en-US" w:eastAsia="zh-CN"/>
          <w14:textFill>
            <w14:solidFill>
              <w14:schemeClr w14:val="tx1"/>
            </w14:solidFill>
          </w14:textFill>
        </w:rPr>
        <w:t>（一）做大做强支撑型服务业</w:t>
      </w:r>
      <w:bookmarkEnd w:id="36"/>
      <w:r>
        <w:rPr>
          <w:rFonts w:hint="eastAsia" w:ascii="楷体" w:hAnsi="楷体" w:eastAsia="楷体" w:cs="楷体"/>
          <w:color w:val="000000" w:themeColor="text1"/>
          <w:spacing w:val="1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1.现代物流。</w:t>
      </w:r>
      <w:r>
        <w:rPr>
          <w:rFonts w:hint="default" w:ascii="仿宋" w:hAnsi="仿宋" w:eastAsia="仿宋" w:cs="仿宋"/>
          <w:color w:val="000000" w:themeColor="text1"/>
          <w:spacing w:val="11"/>
          <w:sz w:val="32"/>
          <w:szCs w:val="32"/>
          <w:lang w:val="en-US" w:eastAsia="zh-CN"/>
          <w14:textFill>
            <w14:solidFill>
              <w14:schemeClr w14:val="tx1"/>
            </w14:solidFill>
          </w14:textFill>
        </w:rPr>
        <w:t>加快推进陆港型国家物流枢纽建设，推动物流业由基础性物流服务向高附加增值服务转型升级。到20</w:t>
      </w:r>
      <w:r>
        <w:rPr>
          <w:rFonts w:hint="eastAsia" w:ascii="仿宋" w:hAnsi="仿宋" w:eastAsia="仿宋" w:cs="仿宋"/>
          <w:color w:val="000000" w:themeColor="text1"/>
          <w:spacing w:val="11"/>
          <w:sz w:val="32"/>
          <w:szCs w:val="32"/>
          <w:lang w:val="en-US" w:eastAsia="zh-CN"/>
          <w14:textFill>
            <w14:solidFill>
              <w14:schemeClr w14:val="tx1"/>
            </w14:solidFill>
          </w14:textFill>
        </w:rPr>
        <w:t>30</w:t>
      </w:r>
      <w:r>
        <w:rPr>
          <w:rFonts w:hint="default" w:ascii="仿宋" w:hAnsi="仿宋" w:eastAsia="仿宋" w:cs="仿宋"/>
          <w:color w:val="000000" w:themeColor="text1"/>
          <w:spacing w:val="11"/>
          <w:sz w:val="32"/>
          <w:szCs w:val="32"/>
          <w:lang w:val="en-US" w:eastAsia="zh-CN"/>
          <w14:textFill>
            <w14:solidFill>
              <w14:schemeClr w14:val="tx1"/>
            </w14:solidFill>
          </w14:textFill>
        </w:rPr>
        <w:t>年，基本建成陆港型国家物流枢纽，</w:t>
      </w:r>
      <w:r>
        <w:rPr>
          <w:rFonts w:hint="eastAsia" w:ascii="仿宋" w:hAnsi="仿宋" w:eastAsia="仿宋" w:cs="仿宋"/>
          <w:color w:val="000000" w:themeColor="text1"/>
          <w:spacing w:val="11"/>
          <w:sz w:val="32"/>
          <w:szCs w:val="32"/>
          <w:lang w:val="en-US" w:eastAsia="zh-CN"/>
          <w14:textFill>
            <w14:solidFill>
              <w14:schemeClr w14:val="tx1"/>
            </w14:solidFill>
          </w14:textFill>
        </w:rPr>
        <w:t>全市物流业增加值占GDP比重达到5%左右,社会物流总费用与GDP的比率降至13%以下。</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优化现代物流网络体系。构建以驻马店市中心城区为中心、县域物流节点城市为支撑、城乡分拨配送网络为基础的“一中心、县节点、全覆盖”的现代化物流空间网络体系。推动城乡物流一体化发展,深化“县园+乡站+村点”三级网络建设,扩容升级乡镇公共配送站与村级服务点,推广“客货邮融合”“多站合一”模式,推动县域共同配送比例提升至70%以上,实现行政村物流服务全覆盖。到2030年</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力争建成“市有园区、县有中心、镇有门店、村有站点”的全市物流运行网络,实现“县县有分拨、乡乡有网点、村村通快递”。推动物流通道建设，加大南驻阜铁路向上对接争取力度，尽早纳入国家铁路建设规划；推进洪汝河航运工程前期手续办理，力争早日开工建设，补齐驻马店物流通道发展短板。</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加快陆港型国家物流枢纽建设。坚持“政企结合、多元合作”的原则，成立驻马店陆港物流发展集团，发挥国企平台引领作用，整合市域物流产业资源、盘活国有物流资产，深入与全市其它大中型物流企业形成枢纽联盟，推动驻马店陆港型国家物流枢纽建设，将驻马店打造成豫南多式联运组织中心、豫鄂皖枢纽经济新平台，引领地区嵌入</w:t>
      </w:r>
      <w:r>
        <w:rPr>
          <w:rFonts w:hint="default" w:ascii="仿宋" w:hAnsi="仿宋" w:eastAsia="仿宋" w:cs="仿宋"/>
          <w:color w:val="000000" w:themeColor="text1"/>
          <w:spacing w:val="11"/>
          <w:sz w:val="32"/>
          <w:szCs w:val="32"/>
          <w:lang w:eastAsia="zh-CN"/>
          <w14:textFill>
            <w14:solidFill>
              <w14:schemeClr w14:val="tx1"/>
            </w14:solidFill>
          </w14:textFill>
        </w:rPr>
        <w:t>国内</w:t>
      </w:r>
      <w:r>
        <w:rPr>
          <w:rFonts w:hint="eastAsia" w:ascii="仿宋" w:hAnsi="仿宋" w:eastAsia="仿宋" w:cs="仿宋"/>
          <w:color w:val="000000" w:themeColor="text1"/>
          <w:spacing w:val="11"/>
          <w:sz w:val="32"/>
          <w:szCs w:val="32"/>
          <w:lang w:val="en-US" w:eastAsia="zh-CN"/>
          <w14:textFill>
            <w14:solidFill>
              <w14:schemeClr w14:val="tx1"/>
            </w14:solidFill>
          </w14:textFill>
        </w:rPr>
        <w:t>大循环</w:t>
      </w:r>
      <w:r>
        <w:rPr>
          <w:rFonts w:hint="default" w:ascii="仿宋" w:hAnsi="仿宋" w:eastAsia="仿宋" w:cs="仿宋"/>
          <w:color w:val="000000" w:themeColor="text1"/>
          <w:spacing w:val="11"/>
          <w:sz w:val="32"/>
          <w:szCs w:val="32"/>
          <w:lang w:eastAsia="zh-CN"/>
          <w14:textFill>
            <w14:solidFill>
              <w14:schemeClr w14:val="tx1"/>
            </w14:solidFill>
          </w14:textFill>
        </w:rPr>
        <w:t>国内国际</w:t>
      </w:r>
      <w:r>
        <w:rPr>
          <w:rFonts w:hint="eastAsia" w:ascii="仿宋" w:hAnsi="仿宋" w:eastAsia="仿宋" w:cs="仿宋"/>
          <w:color w:val="000000" w:themeColor="text1"/>
          <w:spacing w:val="11"/>
          <w:sz w:val="32"/>
          <w:szCs w:val="32"/>
          <w:lang w:val="en-US" w:eastAsia="zh-CN"/>
          <w14:textFill>
            <w14:solidFill>
              <w14:schemeClr w14:val="tx1"/>
            </w14:solidFill>
          </w14:textFill>
        </w:rPr>
        <w:t>双循环的开放型物流战略支点，力争</w:t>
      </w:r>
      <w:r>
        <w:rPr>
          <w:rFonts w:hint="default" w:ascii="仿宋" w:hAnsi="仿宋" w:eastAsia="仿宋" w:cs="仿宋"/>
          <w:color w:val="000000" w:themeColor="text1"/>
          <w:spacing w:val="11"/>
          <w:sz w:val="32"/>
          <w:szCs w:val="32"/>
          <w:lang w:val="en-US" w:eastAsia="zh-CN"/>
          <w14:textFill>
            <w14:solidFill>
              <w14:schemeClr w14:val="tx1"/>
            </w14:solidFill>
          </w14:textFill>
        </w:rPr>
        <w:t>到20</w:t>
      </w:r>
      <w:r>
        <w:rPr>
          <w:rFonts w:hint="eastAsia" w:ascii="仿宋" w:hAnsi="仿宋" w:eastAsia="仿宋" w:cs="仿宋"/>
          <w:color w:val="000000" w:themeColor="text1"/>
          <w:spacing w:val="11"/>
          <w:sz w:val="32"/>
          <w:szCs w:val="32"/>
          <w:lang w:val="en-US" w:eastAsia="zh-CN"/>
          <w14:textFill>
            <w14:solidFill>
              <w14:schemeClr w14:val="tx1"/>
            </w14:solidFill>
          </w14:textFill>
        </w:rPr>
        <w:t>30</w:t>
      </w:r>
      <w:r>
        <w:rPr>
          <w:rFonts w:hint="default" w:ascii="仿宋" w:hAnsi="仿宋" w:eastAsia="仿宋" w:cs="仿宋"/>
          <w:color w:val="000000" w:themeColor="text1"/>
          <w:spacing w:val="11"/>
          <w:sz w:val="32"/>
          <w:szCs w:val="32"/>
          <w:lang w:val="en-US" w:eastAsia="zh-CN"/>
          <w14:textFill>
            <w14:solidFill>
              <w14:schemeClr w14:val="tx1"/>
            </w14:solidFill>
          </w14:textFill>
        </w:rPr>
        <w:t>年</w:t>
      </w:r>
      <w:r>
        <w:rPr>
          <w:rFonts w:hint="eastAsia" w:ascii="仿宋" w:hAnsi="仿宋" w:eastAsia="仿宋" w:cs="仿宋"/>
          <w:color w:val="000000" w:themeColor="text1"/>
          <w:spacing w:val="11"/>
          <w:sz w:val="32"/>
          <w:szCs w:val="32"/>
          <w:lang w:val="en-US" w:eastAsia="zh-CN"/>
          <w14:textFill>
            <w14:solidFill>
              <w14:schemeClr w14:val="tx1"/>
            </w14:solidFill>
          </w14:textFill>
        </w:rPr>
        <w:t>驻马店枢纽货运量达到3000万吨。支持新蔡县和平舆县创建省级区域物流枢纽承载城市，力争在“十五五”末形成“市级枢纽+县域节点”的联动发展格局。</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加快物流载体平台建设。巩固提升我市在全省、全国物流发展布局中的地位,加快区域物流枢纽企业恒达智慧物流园、万邦物流园、驻马店国际公路物流港、马庄铁路物流基地、驻马店高新技术产业开发区铁路物流园等物流园区建设,提升中心城区枢纽能级</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建设平舆、新蔡、泌阳、正阳等户外休闲、农副产品等专业物流集散基地，力争形成一批功能复合、高效联通的物流设施群和物流活动组织中心。推动恒兴仓储物流园、福和物流园、中运物流等园区迭代升级,完善分拣分拨、仓储配送、信息服务、金融配套等综合功能。培育专业功能枢纽,聚焦冷链物流、装备制造物流、跨境电商物流等领域,在区域内培育形成具有标杆性的国家示范物流园区。</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强化物流枢纽协同联动。依托物流枢纽（园区）联盟，支持平舆华舆物流、马庄铁路物流和驻马店保税中心等企业深化与京津冀、长三角、粤港澳大湾区及沿边地区合作，探索建立“设施共建、业务共担、利益共享”模式，协同开展干线运输、跨境物流、区域分拨、铁水联运等业务，构建跨区域物流通道网络和分工协作体系，巩固发展驻马店与宁波舟山港、青岛港、上海港、连云港等沿海港公铁海多式联运模式，打造内陆“无水港”。</w:t>
      </w:r>
    </w:p>
    <w:tbl>
      <w:tblPr>
        <w:tblStyle w:val="2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897" w:type="dxa"/>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700" w:lineRule="exact"/>
              <w:jc w:val="center"/>
              <w:textAlignment w:val="center"/>
              <w:rPr>
                <w:rFonts w:hint="eastAsia" w:ascii="黑体" w:hAnsi="黑体" w:eastAsia="黑体" w:cs="黑体"/>
                <w:b/>
                <w:bCs/>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黑体" w:hAnsi="黑体" w:eastAsia="黑体" w:cs="黑体"/>
                <w:b w:val="0"/>
                <w:bCs w:val="0"/>
                <w:i w:val="0"/>
                <w:iCs w:val="0"/>
                <w:color w:val="000000" w:themeColor="text1"/>
                <w:kern w:val="2"/>
                <w:sz w:val="28"/>
                <w:szCs w:val="28"/>
                <w:highlight w:val="none"/>
                <w:u w:val="none"/>
                <w:lang w:val="en-US" w:eastAsia="zh-CN" w:bidi="ar-SA"/>
                <w14:textFill>
                  <w14:solidFill>
                    <w14:schemeClr w14:val="tx1"/>
                  </w14:solidFill>
                </w14:textFill>
              </w:rPr>
              <w:t>专栏2  现代物流发展支撑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0" w:hRule="atLeast"/>
          <w:jc w:val="center"/>
        </w:trPr>
        <w:tc>
          <w:tcPr>
            <w:tcW w:w="8897" w:type="dxa"/>
            <w:vAlign w:val="center"/>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360" w:lineRule="exact"/>
              <w:ind w:firstLine="440" w:firstLineChars="200"/>
              <w:jc w:val="both"/>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1.物流枢纽。</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加快建设驻马店陆港型国家物流枢纽，全面融入国家物流枢纽网络，力争到2030年驻马店枢纽货运量达到3000万吨。加快建设平舆县、新蔡县省级区域物流枢纽，努力形成“市级枢纽+县域节点”的联动发展格局。</w:t>
            </w:r>
          </w:p>
          <w:p>
            <w:pPr>
              <w:keepNext w:val="0"/>
              <w:keepLines w:val="0"/>
              <w:pageBreakBefore w:val="0"/>
              <w:widowControl w:val="0"/>
              <w:suppressLineNumbers w:val="0"/>
              <w:kinsoku/>
              <w:wordWrap/>
              <w:overflowPunct w:val="0"/>
              <w:topLinePunct w:val="0"/>
              <w:autoSpaceDE/>
              <w:autoSpaceDN/>
              <w:bidi w:val="0"/>
              <w:adjustRightInd/>
              <w:snapToGrid/>
              <w:spacing w:beforeLines="0" w:afterLines="0" w:line="360" w:lineRule="exact"/>
              <w:ind w:firstLine="440" w:firstLineChars="200"/>
              <w:jc w:val="both"/>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2.物流园区。</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推进恒兴仓储物流园、驻马店国际公路物流港、驻马店公共保税中心提质扩容，加快马庄铁路物流基地、驻马店高新技术产业开发区铁路物流园等建设,提升中心城区枢纽能级。新建平舆舆西货运枢纽、新蔡县生猪屠宰冷链物流园和正阳花生第一大县粮油仓储冷链物流园等项目，为跨区域产业合作和居民消费提供集散分拨、衔接转运等服务。</w:t>
            </w:r>
          </w:p>
          <w:p>
            <w:pPr>
              <w:keepNext w:val="0"/>
              <w:keepLines w:val="0"/>
              <w:pageBreakBefore w:val="0"/>
              <w:widowControl w:val="0"/>
              <w:suppressLineNumbers w:val="0"/>
              <w:kinsoku/>
              <w:wordWrap/>
              <w:overflowPunct w:val="0"/>
              <w:topLinePunct w:val="0"/>
              <w:autoSpaceDE/>
              <w:autoSpaceDN/>
              <w:bidi w:val="0"/>
              <w:adjustRightInd/>
              <w:snapToGrid/>
              <w:spacing w:beforeLines="0" w:afterLines="0" w:line="360" w:lineRule="exact"/>
              <w:ind w:firstLine="440" w:firstLineChars="200"/>
              <w:jc w:val="both"/>
              <w:textAlignment w:val="center"/>
              <w:rPr>
                <w:rFonts w:hint="eastAsia" w:ascii="宋体" w:hAnsi="宋体" w:eastAsia="宋体" w:cs="宋体"/>
                <w:b/>
                <w:color w:val="000000" w:themeColor="text1"/>
                <w:kern w:val="0"/>
                <w:sz w:val="24"/>
                <w:szCs w:val="24"/>
                <w:lang w:val="en-US" w:eastAsia="zh-CN"/>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3.物流产业链主。</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一是综合性物流企业链主：恒兴、福和、马庄铁路、万邦、众信物流企业</w:t>
            </w:r>
            <w:r>
              <w:rPr>
                <w:rFonts w:hint="default" w:ascii="宋体" w:hAnsi="宋体" w:cs="宋体"/>
                <w:b w:val="0"/>
                <w:bCs w:val="0"/>
                <w:i w:val="0"/>
                <w:iCs w:val="0"/>
                <w:color w:val="000000" w:themeColor="text1"/>
                <w:kern w:val="0"/>
                <w:sz w:val="24"/>
                <w:szCs w:val="24"/>
                <w:highlight w:val="none"/>
                <w:u w:val="none"/>
                <w:lang w:eastAsia="zh-CN" w:bidi="ar"/>
                <w14:textFill>
                  <w14:solidFill>
                    <w14:schemeClr w14:val="tx1"/>
                  </w14:solidFill>
                </w14:textFill>
              </w:rPr>
              <w:t>。</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二是农副产品物流企业链主：万邦、众信、华生粮油、恒兴、福和、平舆县领创·中原农博汇、泌阳县汇融等企业。三是工业产品物流企业链主：河南骏化、</w:t>
            </w:r>
            <w:r>
              <w:rPr>
                <w:rFonts w:hint="eastAsia" w:ascii="宋体" w:hAnsi="宋体" w:cs="宋体"/>
                <w:b w:val="0"/>
                <w:bCs w:val="0"/>
                <w:i w:val="0"/>
                <w:iCs w:val="0"/>
                <w:color w:val="000000" w:themeColor="text1"/>
                <w:kern w:val="0"/>
                <w:sz w:val="24"/>
                <w:szCs w:val="24"/>
                <w:highlight w:val="none"/>
                <w:u w:val="none"/>
                <w:lang w:val="en-US" w:eastAsia="zh-CN" w:bidi="ar"/>
                <w14:textFill>
                  <w14:solidFill>
                    <w14:schemeClr w14:val="tx1"/>
                  </w14:solidFill>
                </w14:textFill>
              </w:rPr>
              <w:t>华舆</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物流、恒兴、福和、马庄铁路物流等企业。四是医药物流企业链主：国药控股、长荣医疗器械、恒兴物流等企业。五是冷链物流企业链主：农副产品冷链物流，即恒兴、福和、万邦、中运、众信等企业；医药冷链物流，即国药控股、恒兴物流等企业；屠宰肉类冷链物流，即泌阳恒都、正阳牧原、确山凯佳、遂平大红门、上蔡上农实业、上蔡牧原等企业。六是跨境贸易物流企业链主：公共保税中心、马庄铁路、河南华舆物流等企业。七是电商快递物流企业链主：邮政驻马店分公司、顺丰速运、邦达贸易、韵达快递、新天地中通速递等公司。</w:t>
            </w:r>
          </w:p>
        </w:tc>
      </w:tr>
    </w:tbl>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2.商务服务。</w:t>
      </w:r>
      <w:r>
        <w:rPr>
          <w:rFonts w:hint="default" w:ascii="仿宋" w:hAnsi="仿宋" w:eastAsia="仿宋" w:cs="仿宋"/>
          <w:color w:val="000000" w:themeColor="text1"/>
          <w:spacing w:val="11"/>
          <w:sz w:val="32"/>
          <w:szCs w:val="32"/>
          <w:lang w:val="en-US" w:eastAsia="zh-CN"/>
          <w14:textFill>
            <w14:solidFill>
              <w14:schemeClr w14:val="tx1"/>
            </w14:solidFill>
          </w14:textFill>
        </w:rPr>
        <w:t>积极发展会展服务业。</w:t>
      </w:r>
      <w:r>
        <w:rPr>
          <w:rFonts w:hint="eastAsia" w:ascii="仿宋" w:hAnsi="仿宋" w:eastAsia="仿宋" w:cs="仿宋"/>
          <w:color w:val="000000" w:themeColor="text1"/>
          <w:spacing w:val="11"/>
          <w:sz w:val="32"/>
          <w:szCs w:val="32"/>
          <w:lang w:val="en-US" w:eastAsia="zh-CN"/>
          <w14:textFill>
            <w14:solidFill>
              <w14:schemeClr w14:val="tx1"/>
            </w14:solidFill>
          </w14:textFill>
        </w:rPr>
        <w:t>以驻马店国际会展中心、驻马店市体育中心等为载体，</w:t>
      </w:r>
      <w:r>
        <w:rPr>
          <w:rFonts w:hint="default" w:ascii="仿宋" w:hAnsi="仿宋" w:eastAsia="仿宋" w:cs="仿宋"/>
          <w:color w:val="000000" w:themeColor="text1"/>
          <w:spacing w:val="11"/>
          <w:sz w:val="32"/>
          <w:szCs w:val="32"/>
          <w:lang w:val="en-US" w:eastAsia="zh-CN"/>
          <w14:textFill>
            <w14:solidFill>
              <w14:schemeClr w14:val="tx1"/>
            </w14:solidFill>
          </w14:textFill>
        </w:rPr>
        <w:t>在特色农产品、文化</w:t>
      </w:r>
      <w:r>
        <w:rPr>
          <w:rFonts w:hint="eastAsia" w:ascii="仿宋" w:hAnsi="仿宋" w:eastAsia="仿宋" w:cs="仿宋"/>
          <w:color w:val="000000" w:themeColor="text1"/>
          <w:spacing w:val="11"/>
          <w:sz w:val="32"/>
          <w:szCs w:val="32"/>
          <w:lang w:val="en-US" w:eastAsia="zh-CN"/>
          <w14:textFill>
            <w14:solidFill>
              <w14:schemeClr w14:val="tx1"/>
            </w14:solidFill>
          </w14:textFill>
        </w:rPr>
        <w:t>体育</w:t>
      </w:r>
      <w:r>
        <w:rPr>
          <w:rFonts w:hint="default" w:ascii="仿宋" w:hAnsi="仿宋" w:eastAsia="仿宋" w:cs="仿宋"/>
          <w:color w:val="000000" w:themeColor="text1"/>
          <w:spacing w:val="11"/>
          <w:sz w:val="32"/>
          <w:szCs w:val="32"/>
          <w:lang w:val="en-US" w:eastAsia="zh-CN"/>
          <w14:textFill>
            <w14:solidFill>
              <w14:schemeClr w14:val="tx1"/>
            </w14:solidFill>
          </w14:textFill>
        </w:rPr>
        <w:t>、康复医疗、装备制造、纺织服装等领域，积极推动一批国内外知名会展、大型会议、高端论坛在</w:t>
      </w:r>
      <w:r>
        <w:rPr>
          <w:rFonts w:hint="eastAsia" w:ascii="仿宋" w:hAnsi="仿宋" w:eastAsia="仿宋" w:cs="仿宋"/>
          <w:color w:val="000000" w:themeColor="text1"/>
          <w:spacing w:val="11"/>
          <w:sz w:val="32"/>
          <w:szCs w:val="32"/>
          <w:lang w:val="en-US" w:eastAsia="zh-CN"/>
          <w14:textFill>
            <w14:solidFill>
              <w14:schemeClr w14:val="tx1"/>
            </w14:solidFill>
          </w14:textFill>
        </w:rPr>
        <w:t>驻</w:t>
      </w:r>
      <w:r>
        <w:rPr>
          <w:rFonts w:hint="default" w:ascii="仿宋" w:hAnsi="仿宋" w:eastAsia="仿宋" w:cs="仿宋"/>
          <w:color w:val="000000" w:themeColor="text1"/>
          <w:spacing w:val="11"/>
          <w:sz w:val="32"/>
          <w:szCs w:val="32"/>
          <w:lang w:val="en-US" w:eastAsia="zh-CN"/>
          <w14:textFill>
            <w14:solidFill>
              <w14:schemeClr w14:val="tx1"/>
            </w14:solidFill>
          </w14:textFill>
        </w:rPr>
        <w:t>落户，提高</w:t>
      </w:r>
      <w:r>
        <w:rPr>
          <w:rFonts w:hint="eastAsia" w:ascii="仿宋" w:hAnsi="仿宋" w:eastAsia="仿宋" w:cs="仿宋"/>
          <w:color w:val="000000" w:themeColor="text1"/>
          <w:spacing w:val="11"/>
          <w:sz w:val="32"/>
          <w:szCs w:val="32"/>
          <w:lang w:val="en-US" w:eastAsia="zh-CN"/>
          <w14:textFill>
            <w14:solidFill>
              <w14:schemeClr w14:val="tx1"/>
            </w14:solidFill>
          </w14:textFill>
        </w:rPr>
        <w:t>驻马店</w:t>
      </w:r>
      <w:r>
        <w:rPr>
          <w:rFonts w:hint="default" w:ascii="仿宋" w:hAnsi="仿宋" w:eastAsia="仿宋" w:cs="仿宋"/>
          <w:color w:val="000000" w:themeColor="text1"/>
          <w:spacing w:val="11"/>
          <w:sz w:val="32"/>
          <w:szCs w:val="32"/>
          <w:lang w:val="en-US" w:eastAsia="zh-CN"/>
          <w14:textFill>
            <w14:solidFill>
              <w14:schemeClr w14:val="tx1"/>
            </w14:solidFill>
          </w14:textFill>
        </w:rPr>
        <w:t>会展服务区域影响力。围绕会展核心业务，大力发展广告、策划咨询、装饰装潢、展会物流等配套服务产业</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加快发展酒店、旅游、餐饮、零售、电子商务等关联产业，延伸会展产业链，进一步扩大会展业对经济发展的拉动作用。</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拓展其他中介服务业。大力发展法律服务、评估检测、会计审计、广告咨询等商务服务</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加快发展战略规划、营销策划、市场调查、管理咨询等咨询服务</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着力发展融资、担保、产权交易、技术交易等中介服务</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培育发展资产评估、勘察设计、工程咨询等专业咨询服务</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进和培育一批具有较高资质的商务服务市场主体，推动各类商务服务机构向“专、精、特、新”方向发展，打造服务最优、成本最低的商务服务环境。</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auto"/>
          <w:spacing w:val="11"/>
          <w:sz w:val="32"/>
          <w:szCs w:val="32"/>
          <w:lang w:val="en-US" w:eastAsia="zh-CN"/>
        </w:rPr>
      </w:pPr>
      <w:r>
        <w:rPr>
          <w:rFonts w:hint="default" w:ascii="仿宋" w:hAnsi="仿宋" w:eastAsia="仿宋" w:cs="仿宋"/>
          <w:color w:val="000000" w:themeColor="text1"/>
          <w:spacing w:val="11"/>
          <w:sz w:val="32"/>
          <w:szCs w:val="32"/>
          <w:lang w:val="en-US" w:eastAsia="zh-CN"/>
          <w14:textFill>
            <w14:solidFill>
              <w14:schemeClr w14:val="tx1"/>
            </w14:solidFill>
          </w14:textFill>
        </w:rPr>
        <w:t>提升人力资源服务业。鼓励和支持人力资源服务机构发展高级人才寻访</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人力资源测评、服务外包、管理咨询等新兴业态和新产品。依托</w:t>
      </w:r>
      <w:r>
        <w:rPr>
          <w:rFonts w:hint="eastAsia" w:ascii="仿宋" w:hAnsi="仿宋" w:eastAsia="仿宋" w:cs="仿宋"/>
          <w:color w:val="000000" w:themeColor="text1"/>
          <w:spacing w:val="11"/>
          <w:sz w:val="32"/>
          <w:szCs w:val="32"/>
          <w:lang w:val="en-US" w:eastAsia="zh-CN"/>
          <w14:textFill>
            <w14:solidFill>
              <w14:schemeClr w14:val="tx1"/>
            </w14:solidFill>
          </w14:textFill>
        </w:rPr>
        <w:t>驻马店</w:t>
      </w:r>
      <w:r>
        <w:rPr>
          <w:rFonts w:hint="default" w:ascii="仿宋" w:hAnsi="仿宋" w:eastAsia="仿宋" w:cs="仿宋"/>
          <w:color w:val="000000" w:themeColor="text1"/>
          <w:spacing w:val="11"/>
          <w:sz w:val="32"/>
          <w:szCs w:val="32"/>
          <w:lang w:val="en-US" w:eastAsia="zh-CN"/>
          <w14:textFill>
            <w14:solidFill>
              <w14:schemeClr w14:val="tx1"/>
            </w14:solidFill>
          </w14:textFill>
        </w:rPr>
        <w:t>综合性人力资源要素市场、多功能人力资源服务平台，大力发展管理咨询、人才招聘、创业指导等人力资源服务，推动人力资源配置市场化，人力资源服务产业化</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着力打造一批专业化、规模化、品牌化运作的人</w:t>
      </w:r>
      <w:r>
        <w:rPr>
          <w:rFonts w:hint="default" w:ascii="仿宋" w:hAnsi="仿宋" w:eastAsia="仿宋" w:cs="仿宋"/>
          <w:color w:val="auto"/>
          <w:spacing w:val="11"/>
          <w:sz w:val="32"/>
          <w:szCs w:val="32"/>
          <w:lang w:val="en-US" w:eastAsia="zh-CN"/>
        </w:rPr>
        <w:t>力资源服务领军企业。</w:t>
      </w:r>
      <w:r>
        <w:rPr>
          <w:rFonts w:hint="eastAsia" w:ascii="仿宋" w:hAnsi="仿宋" w:eastAsia="仿宋" w:cs="仿宋"/>
          <w:color w:val="auto"/>
          <w:spacing w:val="11"/>
          <w:sz w:val="32"/>
          <w:szCs w:val="32"/>
          <w:lang w:val="en-US" w:eastAsia="zh-CN"/>
        </w:rPr>
        <w:t>到2030年全市技能人才总量达118万人以上，高技能人才突破35万人。</w:t>
      </w:r>
    </w:p>
    <w:p>
      <w:pPr>
        <w:keepNext w:val="0"/>
        <w:keepLines w:val="0"/>
        <w:pageBreakBefore w:val="0"/>
        <w:widowControl w:val="0"/>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做强对外开放服务业。依托驻马店海关、保税物流中心，聚焦综合运用海关惠企政策，加快实施驻马店对外开放服务，为企业量身定做监管服务</w:t>
      </w:r>
      <w:r>
        <w:rPr>
          <w:rFonts w:hint="default" w:ascii="仿宋" w:hAnsi="仿宋" w:eastAsia="仿宋" w:cs="仿宋"/>
          <w:color w:val="000000" w:themeColor="text1"/>
          <w:spacing w:val="11"/>
          <w:sz w:val="32"/>
          <w:szCs w:val="32"/>
          <w:lang w:eastAsia="zh-CN"/>
          <w14:textFill>
            <w14:solidFill>
              <w14:schemeClr w14:val="tx1"/>
            </w14:solidFill>
          </w14:textFill>
        </w:rPr>
        <w:t>与</w:t>
      </w:r>
      <w:r>
        <w:rPr>
          <w:rFonts w:hint="eastAsia" w:ascii="仿宋" w:hAnsi="仿宋" w:eastAsia="仿宋" w:cs="仿宋"/>
          <w:color w:val="000000" w:themeColor="text1"/>
          <w:spacing w:val="11"/>
          <w:sz w:val="32"/>
          <w:szCs w:val="32"/>
          <w:lang w:val="en-US" w:eastAsia="zh-CN"/>
          <w14:textFill>
            <w14:solidFill>
              <w14:schemeClr w14:val="tx1"/>
            </w14:solidFill>
          </w14:textFill>
        </w:rPr>
        <w:t>个性化通关方案，为</w:t>
      </w:r>
      <w:r>
        <w:rPr>
          <w:rFonts w:hint="default" w:ascii="仿宋" w:hAnsi="仿宋" w:eastAsia="仿宋" w:cs="仿宋"/>
          <w:color w:val="000000" w:themeColor="text1"/>
          <w:spacing w:val="11"/>
          <w:sz w:val="32"/>
          <w:szCs w:val="32"/>
          <w:lang w:eastAsia="zh-CN"/>
          <w14:textFill>
            <w14:solidFill>
              <w14:schemeClr w14:val="tx1"/>
            </w14:solidFill>
          </w14:textFill>
        </w:rPr>
        <w:t>本地</w:t>
      </w:r>
      <w:r>
        <w:rPr>
          <w:rFonts w:hint="eastAsia" w:ascii="仿宋" w:hAnsi="仿宋" w:eastAsia="仿宋" w:cs="仿宋"/>
          <w:color w:val="000000" w:themeColor="text1"/>
          <w:spacing w:val="11"/>
          <w:sz w:val="32"/>
          <w:szCs w:val="32"/>
          <w:lang w:val="en-US" w:eastAsia="zh-CN"/>
          <w14:textFill>
            <w14:solidFill>
              <w14:schemeClr w14:val="tx1"/>
            </w14:solidFill>
          </w14:textFill>
        </w:rPr>
        <w:t>企业提供便捷的家门口进出口货物报关、减免税、加工贸易等通关服务，使诸多“驻马店制造”便捷走出国门，步入高速通关时代，助力我市传统特色出口产品打造品牌，又好又快开展进出口贸易。</w:t>
      </w:r>
    </w:p>
    <w:tbl>
      <w:tblPr>
        <w:tblStyle w:val="20"/>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938" w:type="dxa"/>
          </w:tcPr>
          <w:p>
            <w:pPr>
              <w:keepNext w:val="0"/>
              <w:keepLines w:val="0"/>
              <w:pageBreakBefore w:val="0"/>
              <w:widowControl w:val="0"/>
              <w:suppressLineNumbers w:val="0"/>
              <w:kinsoku/>
              <w:wordWrap/>
              <w:overflowPunct w:val="0"/>
              <w:topLinePunct w:val="0"/>
              <w:autoSpaceDE/>
              <w:autoSpaceDN/>
              <w:bidi w:val="0"/>
              <w:adjustRightInd/>
              <w:snapToGrid/>
              <w:spacing w:beforeLines="0" w:afterLines="0" w:line="700" w:lineRule="exact"/>
              <w:jc w:val="center"/>
              <w:textAlignment w:val="center"/>
              <w:rPr>
                <w:rFonts w:hint="eastAsia" w:ascii="黑体" w:hAnsi="黑体" w:eastAsia="黑体" w:cs="黑体"/>
                <w:b w:val="0"/>
                <w:bCs w:val="0"/>
                <w:i w:val="0"/>
                <w:iCs w:val="0"/>
                <w:color w:val="000000" w:themeColor="text1"/>
                <w:kern w:val="2"/>
                <w:sz w:val="28"/>
                <w:szCs w:val="28"/>
                <w:highlight w:val="none"/>
                <w:u w:val="none"/>
                <w:lang w:val="en-US" w:eastAsia="zh-CN" w:bidi="ar-SA"/>
                <w14:textFill>
                  <w14:solidFill>
                    <w14:schemeClr w14:val="tx1"/>
                  </w14:solidFill>
                </w14:textFill>
              </w:rPr>
            </w:pPr>
            <w:r>
              <w:rPr>
                <w:rFonts w:hint="eastAsia" w:ascii="黑体" w:hAnsi="黑体" w:eastAsia="黑体" w:cs="黑体"/>
                <w:b w:val="0"/>
                <w:bCs w:val="0"/>
                <w:i w:val="0"/>
                <w:iCs w:val="0"/>
                <w:color w:val="000000" w:themeColor="text1"/>
                <w:kern w:val="2"/>
                <w:sz w:val="28"/>
                <w:szCs w:val="28"/>
                <w:highlight w:val="none"/>
                <w:u w:val="none"/>
                <w:lang w:val="en-US" w:eastAsia="zh-CN" w:bidi="ar-SA"/>
                <w14:textFill>
                  <w14:solidFill>
                    <w14:schemeClr w14:val="tx1"/>
                  </w14:solidFill>
                </w14:textFill>
              </w:rPr>
              <w:t>专栏3  商务服务发展重点任务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1" w:hRule="atLeast"/>
          <w:jc w:val="center"/>
        </w:trPr>
        <w:tc>
          <w:tcPr>
            <w:tcW w:w="8938" w:type="dxa"/>
            <w:vAlign w:val="center"/>
          </w:tcPr>
          <w:p>
            <w:pPr>
              <w:keepNext w:val="0"/>
              <w:keepLines w:val="0"/>
              <w:pageBreakBefore w:val="0"/>
              <w:widowControl w:val="0"/>
              <w:suppressLineNumbers w:val="0"/>
              <w:kinsoku/>
              <w:wordWrap/>
              <w:overflowPunct w:val="0"/>
              <w:topLinePunct w:val="0"/>
              <w:autoSpaceDE/>
              <w:autoSpaceDN/>
              <w:bidi w:val="0"/>
              <w:adjustRightInd/>
              <w:snapToGrid/>
              <w:spacing w:line="440" w:lineRule="exact"/>
              <w:ind w:firstLine="440" w:firstLineChars="200"/>
              <w:jc w:val="both"/>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1.会展服务。</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持续举办中国农加工投洽会、全国农机展、天中家博会等会展，积极申办文化、旅游等产业博览会，打造一批产品展示、文化旅游推介等方面的展会，支持发展市场竞争力强、带动作用大的线上品牌展会，培育一批会展服务运营主体，有效促进我市会展经济发展。</w:t>
            </w:r>
          </w:p>
          <w:p>
            <w:pPr>
              <w:keepNext w:val="0"/>
              <w:keepLines w:val="0"/>
              <w:pageBreakBefore w:val="0"/>
              <w:widowControl w:val="0"/>
              <w:suppressLineNumbers w:val="0"/>
              <w:kinsoku/>
              <w:wordWrap/>
              <w:overflowPunct w:val="0"/>
              <w:topLinePunct w:val="0"/>
              <w:autoSpaceDE/>
              <w:autoSpaceDN/>
              <w:bidi w:val="0"/>
              <w:adjustRightInd/>
              <w:snapToGrid/>
              <w:spacing w:line="440" w:lineRule="exact"/>
              <w:ind w:firstLine="440" w:firstLineChars="200"/>
              <w:jc w:val="both"/>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2.中介服务：</w:t>
            </w:r>
            <w:r>
              <w:rPr>
                <w:rFonts w:hint="default" w:ascii="宋体" w:hAnsi="宋体" w:cs="宋体"/>
                <w:b w:val="0"/>
                <w:bCs w:val="0"/>
                <w:i w:val="0"/>
                <w:iCs w:val="0"/>
                <w:color w:val="000000" w:themeColor="text1"/>
                <w:kern w:val="0"/>
                <w:sz w:val="24"/>
                <w:szCs w:val="24"/>
                <w:highlight w:val="none"/>
                <w:u w:val="none"/>
                <w:lang w:eastAsia="zh-CN" w:bidi="ar"/>
                <w14:textFill>
                  <w14:solidFill>
                    <w14:schemeClr w14:val="tx1"/>
                  </w14:solidFill>
                </w14:textFill>
              </w:rPr>
              <w:t>聚焦</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知识产权及技术转移、检验检测、融资担保、信用、咨询评估、会计、审计、人力资源、会展、广告、法律等服务，重点建设培育中介服务业开发区。</w:t>
            </w:r>
          </w:p>
          <w:p>
            <w:pPr>
              <w:keepNext w:val="0"/>
              <w:keepLines w:val="0"/>
              <w:pageBreakBefore w:val="0"/>
              <w:widowControl w:val="0"/>
              <w:suppressLineNumbers w:val="0"/>
              <w:kinsoku/>
              <w:wordWrap/>
              <w:overflowPunct w:val="0"/>
              <w:topLinePunct w:val="0"/>
              <w:autoSpaceDE/>
              <w:autoSpaceDN/>
              <w:bidi w:val="0"/>
              <w:adjustRightInd/>
              <w:snapToGrid/>
              <w:spacing w:line="440" w:lineRule="exact"/>
              <w:ind w:firstLine="440" w:firstLineChars="200"/>
              <w:jc w:val="both"/>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3.人力资源服务：</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大力发展管理咨询、人才招聘</w:t>
            </w:r>
            <w:r>
              <w:rPr>
                <w:rFonts w:hint="eastAsia" w:ascii="宋体" w:hAnsi="宋体" w:eastAsia="宋体" w:cs="宋体"/>
                <w:b w:val="0"/>
                <w:bCs w:val="0"/>
                <w:i w:val="0"/>
                <w:iCs w:val="0"/>
                <w:color w:val="auto"/>
                <w:kern w:val="0"/>
                <w:sz w:val="24"/>
                <w:szCs w:val="24"/>
                <w:highlight w:val="none"/>
                <w:u w:val="none"/>
                <w:lang w:val="en-US" w:eastAsia="zh-CN" w:bidi="ar"/>
              </w:rPr>
              <w:t>、创业指导等人力资源服务，推动人力资源配置市场化</w:t>
            </w:r>
            <w:r>
              <w:rPr>
                <w:rFonts w:hint="default" w:ascii="宋体" w:hAnsi="宋体" w:cs="宋体"/>
                <w:b w:val="0"/>
                <w:bCs w:val="0"/>
                <w:i w:val="0"/>
                <w:iCs w:val="0"/>
                <w:color w:val="auto"/>
                <w:kern w:val="0"/>
                <w:sz w:val="24"/>
                <w:szCs w:val="24"/>
                <w:highlight w:val="none"/>
                <w:u w:val="none"/>
                <w:lang w:eastAsia="zh-CN" w:bidi="ar"/>
              </w:rPr>
              <w:t>、</w:t>
            </w:r>
            <w:r>
              <w:rPr>
                <w:rFonts w:hint="eastAsia" w:ascii="宋体" w:hAnsi="宋体" w:eastAsia="宋体" w:cs="宋体"/>
                <w:b w:val="0"/>
                <w:bCs w:val="0"/>
                <w:i w:val="0"/>
                <w:iCs w:val="0"/>
                <w:color w:val="auto"/>
                <w:kern w:val="0"/>
                <w:sz w:val="24"/>
                <w:szCs w:val="24"/>
                <w:highlight w:val="none"/>
                <w:u w:val="none"/>
                <w:lang w:val="en-US" w:eastAsia="zh-CN" w:bidi="ar"/>
              </w:rPr>
              <w:t>人力资源服务产业化，到2030年全市技能人才总量达1</w:t>
            </w:r>
            <w:r>
              <w:rPr>
                <w:rFonts w:hint="eastAsia" w:ascii="宋体" w:hAnsi="宋体" w:cs="宋体"/>
                <w:b w:val="0"/>
                <w:bCs w:val="0"/>
                <w:i w:val="0"/>
                <w:iCs w:val="0"/>
                <w:color w:val="auto"/>
                <w:kern w:val="0"/>
                <w:sz w:val="24"/>
                <w:szCs w:val="24"/>
                <w:highlight w:val="none"/>
                <w:u w:val="none"/>
                <w:lang w:val="en-US" w:eastAsia="zh-CN" w:bidi="ar"/>
              </w:rPr>
              <w:t>18</w:t>
            </w:r>
            <w:r>
              <w:rPr>
                <w:rFonts w:hint="eastAsia" w:ascii="宋体" w:hAnsi="宋体" w:eastAsia="宋体" w:cs="宋体"/>
                <w:b w:val="0"/>
                <w:bCs w:val="0"/>
                <w:i w:val="0"/>
                <w:iCs w:val="0"/>
                <w:color w:val="auto"/>
                <w:kern w:val="0"/>
                <w:sz w:val="24"/>
                <w:szCs w:val="24"/>
                <w:highlight w:val="none"/>
                <w:u w:val="none"/>
                <w:lang w:val="en-US" w:eastAsia="zh-CN" w:bidi="ar"/>
              </w:rPr>
              <w:t>万人以上，高技能人才突破3</w:t>
            </w:r>
            <w:r>
              <w:rPr>
                <w:rFonts w:hint="eastAsia" w:ascii="宋体" w:hAnsi="宋体" w:cs="宋体"/>
                <w:b w:val="0"/>
                <w:bCs w:val="0"/>
                <w:i w:val="0"/>
                <w:iCs w:val="0"/>
                <w:color w:val="auto"/>
                <w:kern w:val="0"/>
                <w:sz w:val="24"/>
                <w:szCs w:val="24"/>
                <w:highlight w:val="none"/>
                <w:u w:val="none"/>
                <w:lang w:val="en-US" w:eastAsia="zh-CN" w:bidi="ar"/>
              </w:rPr>
              <w:t>5</w:t>
            </w:r>
            <w:r>
              <w:rPr>
                <w:rFonts w:hint="eastAsia" w:ascii="宋体" w:hAnsi="宋体" w:eastAsia="宋体" w:cs="宋体"/>
                <w:b w:val="0"/>
                <w:bCs w:val="0"/>
                <w:i w:val="0"/>
                <w:iCs w:val="0"/>
                <w:color w:val="auto"/>
                <w:kern w:val="0"/>
                <w:sz w:val="24"/>
                <w:szCs w:val="24"/>
                <w:highlight w:val="none"/>
                <w:u w:val="none"/>
                <w:lang w:val="en-US" w:eastAsia="zh-CN" w:bidi="ar"/>
              </w:rPr>
              <w:t>万。</w:t>
            </w:r>
          </w:p>
          <w:p>
            <w:pPr>
              <w:keepNext w:val="0"/>
              <w:keepLines w:val="0"/>
              <w:pageBreakBefore w:val="0"/>
              <w:widowControl w:val="0"/>
              <w:suppressLineNumbers w:val="0"/>
              <w:kinsoku/>
              <w:wordWrap/>
              <w:overflowPunct w:val="0"/>
              <w:topLinePunct w:val="0"/>
              <w:autoSpaceDE/>
              <w:autoSpaceDN/>
              <w:bidi w:val="0"/>
              <w:adjustRightInd/>
              <w:snapToGrid/>
              <w:spacing w:line="440" w:lineRule="exact"/>
              <w:ind w:firstLine="440" w:firstLineChars="200"/>
              <w:jc w:val="both"/>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4.对外开放服务：</w:t>
            </w: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提升口岸和海关特殊监管区域功能，积极推进驻马店保税物流中心（B型）和中国（河南）自由贸易试验区驻马店联动创新区申建，加快马庄铁路物流基地建设，打造驻马店无水港。</w:t>
            </w:r>
          </w:p>
        </w:tc>
      </w:tr>
    </w:tbl>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3.</w:t>
      </w:r>
      <w:r>
        <w:rPr>
          <w:rFonts w:hint="eastAsia" w:ascii="仿宋" w:hAnsi="仿宋" w:eastAsia="仿宋" w:cs="仿宋"/>
          <w:b/>
          <w:bCs/>
          <w:color w:val="000000" w:themeColor="text1"/>
          <w:spacing w:val="11"/>
          <w:sz w:val="32"/>
          <w:szCs w:val="32"/>
          <w14:textFill>
            <w14:solidFill>
              <w14:schemeClr w14:val="tx1"/>
            </w14:solidFill>
          </w14:textFill>
        </w:rPr>
        <w:t>文</w:t>
      </w:r>
      <w:r>
        <w:rPr>
          <w:rFonts w:hint="eastAsia" w:ascii="仿宋" w:hAnsi="仿宋" w:eastAsia="仿宋" w:cs="仿宋"/>
          <w:b/>
          <w:bCs/>
          <w:color w:val="000000" w:themeColor="text1"/>
          <w:spacing w:val="11"/>
          <w:sz w:val="32"/>
          <w:szCs w:val="32"/>
          <w:lang w:eastAsia="zh-CN"/>
          <w14:textFill>
            <w14:solidFill>
              <w14:schemeClr w14:val="tx1"/>
            </w14:solidFill>
          </w14:textFill>
        </w:rPr>
        <w:t>化</w:t>
      </w:r>
      <w:r>
        <w:rPr>
          <w:rFonts w:hint="eastAsia" w:ascii="仿宋" w:hAnsi="仿宋" w:eastAsia="仿宋" w:cs="仿宋"/>
          <w:b/>
          <w:bCs/>
          <w:color w:val="000000" w:themeColor="text1"/>
          <w:spacing w:val="11"/>
          <w:sz w:val="32"/>
          <w:szCs w:val="32"/>
          <w14:textFill>
            <w14:solidFill>
              <w14:schemeClr w14:val="tx1"/>
            </w14:solidFill>
          </w14:textFill>
        </w:rPr>
        <w:t>旅</w:t>
      </w:r>
      <w:r>
        <w:rPr>
          <w:rFonts w:hint="eastAsia" w:ascii="仿宋" w:hAnsi="仿宋" w:eastAsia="仿宋" w:cs="仿宋"/>
          <w:b/>
          <w:bCs/>
          <w:color w:val="000000" w:themeColor="text1"/>
          <w:spacing w:val="11"/>
          <w:sz w:val="32"/>
          <w:szCs w:val="32"/>
          <w:lang w:eastAsia="zh-CN"/>
          <w14:textFill>
            <w14:solidFill>
              <w14:schemeClr w14:val="tx1"/>
            </w14:solidFill>
          </w14:textFill>
        </w:rPr>
        <w:t>游</w:t>
      </w:r>
      <w:r>
        <w:rPr>
          <w:rFonts w:hint="eastAsia" w:ascii="仿宋" w:hAnsi="仿宋" w:eastAsia="仿宋" w:cs="仿宋"/>
          <w:b/>
          <w:bCs/>
          <w:color w:val="000000" w:themeColor="text1"/>
          <w:spacing w:val="11"/>
          <w:sz w:val="32"/>
          <w:szCs w:val="32"/>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以我市历史文化资源为基底，以天中文化为核心，按照</w:t>
      </w:r>
      <w:r>
        <w:rPr>
          <w:rFonts w:hint="eastAsia" w:ascii="仿宋" w:hAnsi="仿宋" w:eastAsia="仿宋" w:cs="仿宋"/>
          <w:b/>
          <w:bCs/>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“一心一带两片区”</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的总体思路，引领文旅融合、文旅创新，推动驻马店打造成为中原知名的文化传承创新示范（实验）区</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中部知名的文旅产业融合发展示范区。到2030年，全市国家A级旅游景区达到40家以上</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力争实现全市年接待游客量突破8500万人次，全市旅游综合收入突破600亿元，游客接待量和旅游收入年均增长6%。</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推进游客服务中心建设。以中心城区为依托，各县区为支点，建立健全游客接待服务体系，打造城市时尚文化和休闲消费中心，升级城市、服务全域。</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充分</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发挥市中心城区在我市文旅融合发展中的龙头带动作用，</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依托</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皇家驿站、杨靖宇将军纪念馆、金顶山景区等重点资源，打造</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集</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城市休闲游、产业观光游和主题游乐、文化体验、红色教育、运动康养度假于一体的复合型旅游目的地。</w:t>
      </w:r>
    </w:p>
    <w:p>
      <w:pPr>
        <w:pStyle w:val="5"/>
        <w:keepNext w:val="0"/>
        <w:keepLines w:val="0"/>
        <w:pageBreakBefore w:val="0"/>
        <w:widowControl w:val="0"/>
        <w:kinsoku/>
        <w:wordWrap/>
        <w:overflowPunct/>
        <w:topLinePunct w:val="0"/>
        <w:autoSpaceDE/>
        <w:autoSpaceDN/>
        <w:bidi w:val="0"/>
        <w:adjustRightInd/>
        <w:snapToGrid/>
        <w:spacing w:after="0" w:line="600" w:lineRule="exact"/>
        <w:ind w:left="0" w:leftChars="0" w:firstLine="644" w:firstLineChars="200"/>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打造淮河湿地生态文化旅游带。以淮河生态经济带国家战略为牵引，依托确山、正阳等沿淮休闲农业资源、历史遗址、特色村落等丰富的旅游资源</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加快正阳刘邓大军强渡汝河纪念馆、江国古城遗址、确山沿淮湿地公园等优质文旅项目建设，提升正阳刘邓大军强渡汝河纪念馆陈展利用水平，带动沿淮文化旅游产业发展，形成淮河湿地生态旅游带。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加强西部山水生态休闲旅游片区和东部文化创意体验旅游片区建设。</w:t>
      </w:r>
      <w:r>
        <w:rPr>
          <w:rFonts w:hint="eastAsia" w:ascii="仿宋" w:hAnsi="仿宋" w:eastAsia="仿宋" w:cs="仿宋"/>
          <w:b/>
          <w:bCs/>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西部山水生态休闲旅游片区</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整合遂平、西平、确山、泌阳和驿城区等西部山水生态旅游资源，以嵖岈山景区为龙头，推动嵖岈山景区创新产品业态，完善休闲设施，打造大嵖岈生态休闲旅游格局；以竹沟、金顶山、铜山（铜山湖）、老乐山、白云山、盘古山、千年岭等优质资源为依托，打造红色研学旅游、山地运动旅游、度假康养旅游和乡村休闲旅游等产品，带动传统观光旅游产品向中高端休闲疗养和康体养生度假转型升级。</w:t>
      </w:r>
      <w:r>
        <w:rPr>
          <w:rFonts w:hint="eastAsia" w:ascii="仿宋" w:hAnsi="仿宋" w:eastAsia="仿宋" w:cs="仿宋"/>
          <w:b/>
          <w:bCs/>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东部文化创意体验旅游片区：</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以汝南古城、蔡国故城为龙头，整合宿鸭湖</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汝南天中山文化园、船游汝南，刘邓大军强渡汝河纪念馆、新蔡蔡洪坊酒文化园、辛亥革命烈士纪念祠</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平舆蓝天芝麻小镇、挚都民俗文化博物馆</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上蔡状元红生态文化园、蔡侯陵园公园等</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文旅</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资源产品，大力推进天中文化创新创意，开发文化创意、沉浸体验</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人文遗迹、水上运动、古城夜游、民俗美食和田园休闲等特色文旅产品</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推动汝南天中山文化园、上蔡状元红生态园等景区提质升级，全面提升东部文化旅游产业融合发展水平。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4" w:firstLineChars="200"/>
        <w:jc w:val="both"/>
        <w:textAlignment w:val="auto"/>
        <w:outlineLvl w:val="9"/>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坚持实施文旅品牌战略。聚焦文旅资源开发利用，积极挖掘天中文化、红色文化、盘古文化、嫘祖文化、驿站文化、车舆文化、冶铁铸剑文化和梁祝文化、重阳文化、西游文化等特点，培育开发文创品牌、创新文旅精品、拉动引领消费等重点，强化措施推进改革创新，不断适应经济社会发展新形势新要求，将文旅产业真正打造成为支柱产业、民生产业、幸福产业。支持微短剧开发创作，推动我市微短剧产业高质量发展，力争打造在全省具有影响力、竞争力的微短剧产业高地。</w:t>
      </w:r>
      <w:r>
        <w:rPr>
          <w:rFonts w:hint="eastAsia" w:ascii="仿宋" w:hAnsi="仿宋" w:eastAsia="仿宋" w:cs="仿宋"/>
          <w:color w:val="000000" w:themeColor="text1"/>
          <w:spacing w:val="11"/>
          <w:sz w:val="32"/>
          <w:szCs w:val="32"/>
          <w:lang w:val="en-US" w:eastAsia="zh-CN"/>
          <w14:textFill>
            <w14:solidFill>
              <w14:schemeClr w14:val="tx1"/>
            </w14:solidFill>
          </w14:textFill>
        </w:rPr>
        <w:t>推进公共文化服务体系标准化建设，健全城乡文化基础设施</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支持社会机构、民间团体自办文化项目、自建文化设施，促进公共文化提供主体和提供方式多元化，满足群众需求。到2030年，公共文化和旅游服务体系进一步完善，健全提升市、县、乡镇、村（社区）四级综合文化场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4" w:firstLineChars="200"/>
        <w:jc w:val="both"/>
        <w:textAlignment w:val="auto"/>
        <w:outlineLvl w:val="9"/>
        <w:rPr>
          <w:rFonts w:hint="eastAsia"/>
          <w:color w:val="000000" w:themeColor="text1"/>
          <w:lang w:val="en-US"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加快推进交旅融合</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围绕我市“六山四湖”“两馆一站”“两城一寺”等热点文旅资源和乡村旅游经营点，规划建设特色旅游公路。加快完善旅游交通环线建设，实现全市3A级</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及</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以上旅游景区能够顺利畅达，打通广大群众和游客休闲消费的</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最后一公里</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4.现代金融。</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立足服务实体经济，</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做大做强银行业、证券业、保险业</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基金业，着力做好金融“五篇大文章”</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持续引导银行机构扩大信贷投放规模、合理确定信贷投放利率、优化信贷投放结构，加快多层次资本市场建设，</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促进金融、科技和产业良性循环，</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扎实推动全市经济金融高质量发展。争取到2030年末，全市人民币存、贷款余额分别达到8000亿元和4500亿元以上，企业上市挂牌工作取得新突破。</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优化金融生态环境,增强金融实力,丰富金融业态,培育壮大保险、融资租赁、资产管理等多元化金融主体,大力推动优质企业上市融资,提高金融服务实体经济能力。引导金融机构聚焦中小微企业，持续落实金融五篇大文章，优化信贷结构，持续扩大无抵押无担保信用贷款规模。</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深化金融改革创新,加快构建机构集聚、业态丰富、结构合理、功能完善、运行稳健的现代金融市场。将金融供给侧改革和减少资金外流作为金融业发展重点,推动金融业与经济社会发展相适应</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进一步拓宽融资渠道,壮大市</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县投融资平台。</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支持</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开展</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绿色基金、能效信贷、绿色债券、环境污染强制责任险、绿色资产证券化、环境权益交易</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等绿色金融业务</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防范化解地方金融风险。加强地方金融信用体系建设，搭建中小微企业信用信息服务平台</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地方类金融组织信息服务平台，实现信用信息共享应用和金融风险防控全覆盖。深化农村</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金融体系建设</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，引导商业银行延伸向乡镇布局，提升县域、农村金融服务能力。</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加快征信体系建设,不断提高金融运行质量</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严厉打击非法集资等非法金融活动，营造良好金融生态环境</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，化解防范各类金融风险,实现全市金融服务环境不断优化。</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楷体" w:hAnsi="楷体" w:eastAsia="楷体" w:cs="楷体"/>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楷体" w:hAnsi="楷体" w:eastAsia="楷体" w:cs="楷体"/>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（二）做优做精赋能型服务业。</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1.科技服务。</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建设高能级创新平台。</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聚焦</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eastAsia="zh-CN" w:bidi="ar"/>
          <w14:textFill>
            <w14:solidFill>
              <w14:schemeClr w14:val="tx1"/>
            </w14:solidFill>
          </w14:textFill>
        </w:rPr>
        <w:t>全市</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15个重点产业链，按照“优化布局、重点建设、规范运行、强化管理”原则，布局建设一批贯穿产业链上下游的重点实验室、技术创新中心、制造业创新中心、工程技术研究中心、企业技术中心等国家、省、市梯度创新平台，开展跨区域、跨领域、跨学科协同创新与开放合作，</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形成大协作、网络化的技术创新优势和能力。</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为提升区域整体发展能力和协同创新能力提供综合性、引领性支撑。</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到2030年，新建省级创新平台25家以上</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市级</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各类</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创新平台150家以上</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zh-CN" w:eastAsia="zh-CN" w:bidi="ar"/>
          <w14:textFill>
            <w14:solidFill>
              <w14:schemeClr w14:val="tx1"/>
            </w14:solidFill>
          </w14:textFill>
        </w:rPr>
        <w:t>建立产业技术创新体系。</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实施</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科技</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创新型企业培育工程，以高端装备制造、新能源、新材料、现代农业等战略新兴产业领域为重点，做大做强科技型龙头企业，促进企业成为技术创新决策、研发投入、科研组织和成果转化主体，促进创新要素向企业集聚，不断提升企业的科技创新能力。实施创新型企业树标引领计划，完善鼓励企业技术创新政策，促进各类创新要素向企业集聚，提升企业技术创新能力，重点培育30家“瞪羚”企业和10家创新龙头企业。建立统一开放的科研设施与仪器共享机制，打通与郑州、武汉等地的科研仪器设施共享通道。</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推动</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科技人才</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发展。</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强化本土</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科技</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人才培育。实施“驻马店优秀企业家”培育工程，建设高素质产业工人和“天中工匠”队伍。鼓励外国青年科技人才来我市创新创业，支持科技人才出国（境）培训。靶向引进顶尖</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科技人才</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聚焦主导产业与战略性新兴产业需求，深化“院士经济”引才策略，主动对接两院院士、中原学者等顶尖专家团队，加大柔性引才、项目引才力度，通过“院士驻马店行”“归雁”行动等载体，引进重点领域领军人才、创新团队及急需紧缺人才，扎实推进科技创新人才引进。拓展招才引智渠道。精心组织参与中国</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河南招才引智创新发展大会、跨国技术转移大会及高校招才引智等活动，集中宣介本地发展机遇与人才政策。建立健全以创新能力、质量、实效、贡献为导向的科技人才评价体系，完善柔性引才机制与高层次人才特殊支持政策。深化人才激励保障，持续推行“天中英才通”，建设人才服务站、人才社区，建好人才公寓与“双创”产业园，妥善解决来驻人才子女就学、就医、就业等问题</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全力打造一流的服务环境与人才生态，解除人才后顾之忧。</w:t>
      </w:r>
    </w:p>
    <w:tbl>
      <w:tblPr>
        <w:tblStyle w:val="20"/>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0"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ind w:right="0"/>
              <w:jc w:val="center"/>
              <w:textAlignment w:val="auto"/>
              <w:outlineLvl w:val="9"/>
              <w:rPr>
                <w:rFonts w:hint="default" w:ascii="Times New Roman" w:hAnsi="Times New Roman" w:eastAsia="黑体" w:cs="Times New Roman"/>
                <w:b w:val="0"/>
                <w:color w:val="000000" w:themeColor="text1"/>
                <w:spacing w:val="11"/>
                <w:kern w:val="21"/>
                <w:sz w:val="36"/>
                <w:szCs w:val="36"/>
                <w:u w:val="none" w:color="auto"/>
                <w:vertAlign w:val="baseline"/>
                <w14:textFill>
                  <w14:solidFill>
                    <w14:schemeClr w14:val="tx1"/>
                  </w14:solidFill>
                </w14:textFill>
              </w:rPr>
            </w:pPr>
            <w:bookmarkStart w:id="37" w:name="_Toc11536"/>
            <w:r>
              <w:rPr>
                <w:rFonts w:hint="eastAsia" w:ascii="黑体" w:hAnsi="黑体" w:eastAsia="黑体" w:cs="黑体"/>
                <w:b w:val="0"/>
                <w:color w:val="000000" w:themeColor="text1"/>
                <w:spacing w:val="11"/>
                <w:kern w:val="21"/>
                <w:sz w:val="28"/>
                <w:szCs w:val="28"/>
                <w:u w:val="none" w:color="auto"/>
                <w:vertAlign w:val="baseline"/>
                <w14:textFill>
                  <w14:solidFill>
                    <w14:schemeClr w14:val="tx1"/>
                  </w14:solidFill>
                </w14:textFill>
              </w:rPr>
              <w:t>专栏</w:t>
            </w:r>
            <w:r>
              <w:rPr>
                <w:rFonts w:hint="eastAsia" w:ascii="黑体" w:hAnsi="黑体" w:eastAsia="黑体" w:cs="黑体"/>
                <w:b w:val="0"/>
                <w:color w:val="000000" w:themeColor="text1"/>
                <w:spacing w:val="11"/>
                <w:kern w:val="21"/>
                <w:sz w:val="28"/>
                <w:szCs w:val="28"/>
                <w:u w:val="none" w:color="auto"/>
                <w:vertAlign w:val="baseline"/>
                <w:lang w:val="en-US" w:eastAsia="zh-CN"/>
                <w14:textFill>
                  <w14:solidFill>
                    <w14:schemeClr w14:val="tx1"/>
                  </w14:solidFill>
                </w14:textFill>
              </w:rPr>
              <w:t>4</w:t>
            </w:r>
            <w:r>
              <w:rPr>
                <w:rFonts w:hint="eastAsia" w:ascii="黑体" w:hAnsi="黑体" w:eastAsia="黑体" w:cs="黑体"/>
                <w:b w:val="0"/>
                <w:color w:val="000000" w:themeColor="text1"/>
                <w:spacing w:val="11"/>
                <w:kern w:val="21"/>
                <w:sz w:val="28"/>
                <w:szCs w:val="28"/>
                <w:u w:val="none" w:color="auto"/>
                <w:vertAlign w:val="baseline"/>
                <w14:textFill>
                  <w14:solidFill>
                    <w14:schemeClr w14:val="tx1"/>
                  </w14:solidFill>
                </w14:textFill>
              </w:rPr>
              <w:t xml:space="preserve"> </w:t>
            </w:r>
            <w:r>
              <w:rPr>
                <w:rFonts w:hint="eastAsia" w:ascii="黑体" w:hAnsi="黑体" w:eastAsia="黑体" w:cs="黑体"/>
                <w:b w:val="0"/>
                <w:color w:val="000000" w:themeColor="text1"/>
                <w:spacing w:val="11"/>
                <w:kern w:val="21"/>
                <w:sz w:val="28"/>
                <w:szCs w:val="28"/>
                <w:u w:val="none" w:color="auto"/>
                <w:vertAlign w:val="baseline"/>
                <w:lang w:val="en-US" w:eastAsia="zh-CN"/>
                <w14:textFill>
                  <w14:solidFill>
                    <w14:schemeClr w14:val="tx1"/>
                  </w14:solidFill>
                </w14:textFill>
              </w:rPr>
              <w:t xml:space="preserve"> </w:t>
            </w:r>
            <w:r>
              <w:rPr>
                <w:rFonts w:hint="eastAsia" w:ascii="黑体" w:hAnsi="黑体" w:eastAsia="黑体" w:cs="黑体"/>
                <w:b w:val="0"/>
                <w:color w:val="000000" w:themeColor="text1"/>
                <w:spacing w:val="11"/>
                <w:kern w:val="21"/>
                <w:sz w:val="28"/>
                <w:szCs w:val="28"/>
                <w:u w:val="none" w:color="auto"/>
                <w:vertAlign w:val="baseline"/>
                <w14:textFill>
                  <w14:solidFill>
                    <w14:schemeClr w14:val="tx1"/>
                  </w14:solidFill>
                </w14:textFill>
              </w:rPr>
              <w:t>科技</w:t>
            </w:r>
            <w:r>
              <w:rPr>
                <w:rFonts w:hint="eastAsia" w:ascii="黑体" w:hAnsi="黑体" w:eastAsia="黑体" w:cs="黑体"/>
                <w:b w:val="0"/>
                <w:color w:val="000000" w:themeColor="text1"/>
                <w:spacing w:val="11"/>
                <w:kern w:val="21"/>
                <w:sz w:val="28"/>
                <w:szCs w:val="28"/>
                <w:u w:val="none" w:color="auto"/>
                <w:vertAlign w:val="baseline"/>
                <w:lang w:eastAsia="zh-CN"/>
                <w14:textFill>
                  <w14:solidFill>
                    <w14:schemeClr w14:val="tx1"/>
                  </w14:solidFill>
                </w14:textFill>
              </w:rPr>
              <w:t>服务重点任务</w:t>
            </w:r>
            <w:bookmarkEnd w:id="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6" w:hRule="atLeast"/>
          <w:jc w:val="center"/>
        </w:trPr>
        <w:tc>
          <w:tcPr>
            <w:tcW w:w="870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firstLine="484" w:firstLineChars="200"/>
              <w:jc w:val="both"/>
              <w:textAlignment w:val="auto"/>
              <w:outlineLvl w:val="9"/>
              <w:rPr>
                <w:rFonts w:hint="eastAsia" w:ascii="宋体" w:hAnsi="宋体" w:eastAsia="宋体" w:cs="宋体"/>
                <w:color w:val="000000" w:themeColor="text1"/>
                <w:spacing w:val="6"/>
                <w:kern w:val="21"/>
                <w:sz w:val="24"/>
                <w:szCs w:val="24"/>
                <w:u w:val="none" w:color="auto"/>
                <w14:textFill>
                  <w14:solidFill>
                    <w14:schemeClr w14:val="tx1"/>
                  </w14:solidFill>
                </w14:textFill>
              </w:rPr>
            </w:pPr>
            <w:r>
              <w:rPr>
                <w:rFonts w:hint="eastAsia" w:ascii="宋体" w:hAnsi="宋体" w:eastAsia="宋体" w:cs="宋体"/>
                <w:b/>
                <w:bCs/>
                <w:color w:val="000000" w:themeColor="text1"/>
                <w:spacing w:val="11"/>
                <w:kern w:val="21"/>
                <w:sz w:val="24"/>
                <w:szCs w:val="24"/>
                <w:u w:val="none" w:color="auto"/>
                <w14:textFill>
                  <w14:solidFill>
                    <w14:schemeClr w14:val="tx1"/>
                  </w14:solidFill>
                </w14:textFill>
              </w:rPr>
              <w:t>1.基础研发平台。</w:t>
            </w:r>
            <w:r>
              <w:rPr>
                <w:rFonts w:hint="eastAsia" w:ascii="宋体" w:hAnsi="宋体" w:eastAsia="宋体" w:cs="宋体"/>
                <w:color w:val="000000" w:themeColor="text1"/>
                <w:spacing w:val="11"/>
                <w:kern w:val="21"/>
                <w:sz w:val="24"/>
                <w:szCs w:val="24"/>
                <w:u w:val="none" w:color="auto"/>
                <w14:textFill>
                  <w14:solidFill>
                    <w14:schemeClr w14:val="tx1"/>
                  </w14:solidFill>
                </w14:textFill>
              </w:rPr>
              <w:t>围绕15个重点产业链</w:t>
            </w:r>
            <w:r>
              <w:rPr>
                <w:rFonts w:hint="eastAsia" w:ascii="宋体" w:hAnsi="宋体" w:eastAsia="宋体" w:cs="宋体"/>
                <w:color w:val="000000" w:themeColor="text1"/>
                <w:spacing w:val="6"/>
                <w:kern w:val="21"/>
                <w:sz w:val="24"/>
                <w:szCs w:val="24"/>
                <w:u w:val="none" w:color="auto"/>
                <w14:textFill>
                  <w14:solidFill>
                    <w14:schemeClr w14:val="tx1"/>
                  </w14:solidFill>
                </w14:textFill>
              </w:rPr>
              <w:t>布局建设一批贯穿产业链上下游的重点实验室、工程技术研究中心、企业技术中心等创新平台</w:t>
            </w:r>
            <w:r>
              <w:rPr>
                <w:rFonts w:hint="eastAsia" w:ascii="宋体" w:hAnsi="宋体" w:eastAsia="宋体" w:cs="宋体"/>
                <w:color w:val="000000" w:themeColor="text1"/>
                <w:spacing w:val="6"/>
                <w:kern w:val="21"/>
                <w:sz w:val="24"/>
                <w:szCs w:val="24"/>
                <w:u w:val="none" w:color="auto"/>
                <w:lang w:eastAsia="zh-CN"/>
                <w14:textFill>
                  <w14:solidFill>
                    <w14:schemeClr w14:val="tx1"/>
                  </w14:solidFill>
                </w14:textFill>
              </w:rPr>
              <w:t>。</w:t>
            </w:r>
            <w:r>
              <w:rPr>
                <w:rFonts w:hint="eastAsia" w:ascii="宋体" w:hAnsi="宋体" w:eastAsia="宋体" w:cs="宋体"/>
                <w:color w:val="000000" w:themeColor="text1"/>
                <w:spacing w:val="6"/>
                <w:kern w:val="21"/>
                <w:sz w:val="24"/>
                <w:szCs w:val="24"/>
                <w:u w:val="none" w:color="auto"/>
                <w:lang w:val="en-US" w:eastAsia="zh-CN"/>
                <w14:textFill>
                  <w14:solidFill>
                    <w14:schemeClr w14:val="tx1"/>
                  </w14:solidFill>
                </w14:textFill>
              </w:rPr>
              <w:t>到2030年，新建省级创新平台25家以上，市级各类创新平台150家以上，积极</w:t>
            </w:r>
            <w:r>
              <w:rPr>
                <w:rFonts w:hint="eastAsia" w:ascii="宋体" w:hAnsi="宋体" w:eastAsia="宋体" w:cs="宋体"/>
                <w:color w:val="000000" w:themeColor="text1"/>
                <w:spacing w:val="6"/>
                <w:kern w:val="21"/>
                <w:sz w:val="24"/>
                <w:szCs w:val="24"/>
                <w:u w:val="none" w:color="auto"/>
                <w14:textFill>
                  <w14:solidFill>
                    <w14:schemeClr w14:val="tx1"/>
                  </w14:solidFill>
                </w14:textFill>
              </w:rPr>
              <w:t>开展跨区域、跨领域、跨学科协同创新与开放合作，为提升区域整体发展能力和协同创新能力提供综合性、引领性支撑。</w:t>
            </w:r>
          </w:p>
          <w:p>
            <w:pPr>
              <w:keepNext w:val="0"/>
              <w:keepLines w:val="0"/>
              <w:pageBreakBefore w:val="0"/>
              <w:widowControl w:val="0"/>
              <w:kinsoku/>
              <w:wordWrap/>
              <w:overflowPunct/>
              <w:topLinePunct w:val="0"/>
              <w:autoSpaceDE/>
              <w:autoSpaceDN/>
              <w:bidi w:val="0"/>
              <w:adjustRightInd/>
              <w:snapToGrid/>
              <w:spacing w:line="400" w:lineRule="exact"/>
              <w:ind w:left="0" w:firstLine="484" w:firstLineChars="200"/>
              <w:jc w:val="both"/>
              <w:textAlignment w:val="auto"/>
              <w:outlineLvl w:val="9"/>
              <w:rPr>
                <w:rFonts w:hint="eastAsia" w:ascii="宋体" w:hAnsi="宋体" w:eastAsia="宋体" w:cs="宋体"/>
                <w:color w:val="000000" w:themeColor="text1"/>
                <w:spacing w:val="11"/>
                <w:kern w:val="21"/>
                <w:sz w:val="24"/>
                <w:szCs w:val="24"/>
                <w:u w:val="none" w:color="auto"/>
                <w14:textFill>
                  <w14:solidFill>
                    <w14:schemeClr w14:val="tx1"/>
                  </w14:solidFill>
                </w14:textFill>
              </w:rPr>
            </w:pPr>
            <w:r>
              <w:rPr>
                <w:rFonts w:hint="eastAsia" w:ascii="宋体" w:hAnsi="宋体" w:eastAsia="宋体" w:cs="宋体"/>
                <w:b/>
                <w:bCs/>
                <w:color w:val="000000" w:themeColor="text1"/>
                <w:spacing w:val="11"/>
                <w:kern w:val="21"/>
                <w:sz w:val="24"/>
                <w:szCs w:val="24"/>
                <w:u w:val="none" w:color="auto"/>
                <w14:textFill>
                  <w14:solidFill>
                    <w14:schemeClr w14:val="tx1"/>
                  </w14:solidFill>
                </w14:textFill>
              </w:rPr>
              <w:t>2.</w:t>
            </w:r>
            <w:r>
              <w:rPr>
                <w:rFonts w:hint="eastAsia" w:ascii="宋体" w:hAnsi="宋体" w:eastAsia="宋体" w:cs="宋体"/>
                <w:b/>
                <w:bCs/>
                <w:color w:val="000000" w:themeColor="text1"/>
                <w:spacing w:val="11"/>
                <w:kern w:val="21"/>
                <w:sz w:val="24"/>
                <w:szCs w:val="24"/>
                <w:u w:val="none" w:color="auto"/>
                <w:lang w:eastAsia="zh-CN"/>
                <w14:textFill>
                  <w14:solidFill>
                    <w14:schemeClr w14:val="tx1"/>
                  </w14:solidFill>
                </w14:textFill>
              </w:rPr>
              <w:t>科学技术企业数</w:t>
            </w:r>
            <w:r>
              <w:rPr>
                <w:rFonts w:hint="eastAsia" w:ascii="宋体" w:hAnsi="宋体" w:eastAsia="宋体" w:cs="宋体"/>
                <w:b/>
                <w:bCs/>
                <w:color w:val="000000" w:themeColor="text1"/>
                <w:spacing w:val="11"/>
                <w:kern w:val="21"/>
                <w:sz w:val="24"/>
                <w:szCs w:val="24"/>
                <w:u w:val="none" w:color="auto"/>
                <w14:textFill>
                  <w14:solidFill>
                    <w14:schemeClr w14:val="tx1"/>
                  </w14:solidFill>
                </w14:textFill>
              </w:rPr>
              <w:t>。</w:t>
            </w:r>
            <w:r>
              <w:rPr>
                <w:rFonts w:hint="eastAsia" w:ascii="宋体" w:hAnsi="宋体" w:eastAsia="宋体" w:cs="宋体"/>
                <w:color w:val="000000" w:themeColor="text1"/>
                <w:spacing w:val="6"/>
                <w:kern w:val="21"/>
                <w:sz w:val="24"/>
                <w:szCs w:val="24"/>
                <w:u w:val="none" w:color="auto"/>
                <w14:textFill>
                  <w14:solidFill>
                    <w14:schemeClr w14:val="tx1"/>
                  </w14:solidFill>
                </w14:textFill>
              </w:rPr>
              <w:t>新认定国家高新技术企业100家以上</w:t>
            </w:r>
            <w:r>
              <w:rPr>
                <w:rFonts w:hint="eastAsia" w:ascii="宋体" w:hAnsi="宋体" w:eastAsia="宋体" w:cs="宋体"/>
                <w:color w:val="000000" w:themeColor="text1"/>
                <w:spacing w:val="6"/>
                <w:kern w:val="21"/>
                <w:sz w:val="24"/>
                <w:szCs w:val="24"/>
                <w:u w:val="none" w:color="auto"/>
                <w:lang w:eastAsia="zh-CN"/>
                <w14:textFill>
                  <w14:solidFill>
                    <w14:schemeClr w14:val="tx1"/>
                  </w14:solidFill>
                </w14:textFill>
              </w:rPr>
              <w:t>，</w:t>
            </w:r>
            <w:r>
              <w:rPr>
                <w:rFonts w:hint="eastAsia" w:ascii="宋体" w:hAnsi="宋体" w:eastAsia="宋体" w:cs="宋体"/>
                <w:color w:val="000000" w:themeColor="text1"/>
                <w:spacing w:val="6"/>
                <w:kern w:val="21"/>
                <w:sz w:val="24"/>
                <w:szCs w:val="24"/>
                <w:u w:val="none" w:color="auto"/>
                <w14:textFill>
                  <w14:solidFill>
                    <w14:schemeClr w14:val="tx1"/>
                  </w14:solidFill>
                </w14:textFill>
              </w:rPr>
              <w:t>新</w:t>
            </w:r>
            <w:r>
              <w:rPr>
                <w:rFonts w:hint="eastAsia" w:ascii="宋体" w:hAnsi="宋体" w:eastAsia="宋体" w:cs="宋体"/>
                <w:color w:val="000000" w:themeColor="text1"/>
                <w:spacing w:val="6"/>
                <w:kern w:val="21"/>
                <w:sz w:val="24"/>
                <w:szCs w:val="24"/>
                <w:u w:val="none" w:color="auto"/>
                <w:lang w:eastAsia="zh-CN"/>
                <w14:textFill>
                  <w14:solidFill>
                    <w14:schemeClr w14:val="tx1"/>
                  </w14:solidFill>
                </w14:textFill>
              </w:rPr>
              <w:t>评价入库</w:t>
            </w:r>
            <w:r>
              <w:rPr>
                <w:rFonts w:hint="eastAsia" w:ascii="宋体" w:hAnsi="宋体" w:eastAsia="宋体" w:cs="宋体"/>
                <w:color w:val="000000" w:themeColor="text1"/>
                <w:spacing w:val="6"/>
                <w:kern w:val="21"/>
                <w:sz w:val="24"/>
                <w:szCs w:val="24"/>
                <w:u w:val="none" w:color="auto"/>
                <w14:textFill>
                  <w14:solidFill>
                    <w14:schemeClr w14:val="tx1"/>
                  </w14:solidFill>
                </w14:textFill>
              </w:rPr>
              <w:t>国家科技型中小企业</w:t>
            </w:r>
            <w:r>
              <w:rPr>
                <w:rFonts w:hint="eastAsia" w:ascii="宋体" w:hAnsi="宋体" w:eastAsia="宋体" w:cs="宋体"/>
                <w:color w:val="000000" w:themeColor="text1"/>
                <w:spacing w:val="6"/>
                <w:kern w:val="21"/>
                <w:sz w:val="24"/>
                <w:szCs w:val="24"/>
                <w:u w:val="none" w:color="auto"/>
                <w:lang w:val="en-US" w:eastAsia="zh-CN"/>
                <w14:textFill>
                  <w14:solidFill>
                    <w14:schemeClr w14:val="tx1"/>
                  </w14:solidFill>
                </w14:textFill>
              </w:rPr>
              <w:t>1000</w:t>
            </w:r>
            <w:r>
              <w:rPr>
                <w:rFonts w:hint="eastAsia" w:ascii="宋体" w:hAnsi="宋体" w:eastAsia="宋体" w:cs="宋体"/>
                <w:color w:val="000000" w:themeColor="text1"/>
                <w:spacing w:val="6"/>
                <w:kern w:val="21"/>
                <w:sz w:val="24"/>
                <w:szCs w:val="24"/>
                <w:u w:val="none" w:color="auto"/>
                <w14:textFill>
                  <w14:solidFill>
                    <w14:schemeClr w14:val="tx1"/>
                  </w14:solidFill>
                </w14:textFill>
              </w:rPr>
              <w:t>家以上</w:t>
            </w:r>
            <w:r>
              <w:rPr>
                <w:rFonts w:hint="eastAsia" w:ascii="宋体" w:hAnsi="宋体" w:eastAsia="宋体" w:cs="宋体"/>
                <w:color w:val="000000" w:themeColor="text1"/>
                <w:spacing w:val="6"/>
                <w:kern w:val="21"/>
                <w:sz w:val="24"/>
                <w:szCs w:val="24"/>
                <w:u w:val="none" w:color="auto"/>
                <w:lang w:eastAsia="zh-CN"/>
                <w14:textFill>
                  <w14:solidFill>
                    <w14:schemeClr w14:val="tx1"/>
                  </w14:solidFill>
                </w14:textFill>
              </w:rPr>
              <w:t>，</w:t>
            </w:r>
            <w:r>
              <w:rPr>
                <w:rFonts w:hint="eastAsia" w:ascii="宋体" w:hAnsi="宋体" w:eastAsia="宋体" w:cs="宋体"/>
                <w:color w:val="000000" w:themeColor="text1"/>
                <w:spacing w:val="11"/>
                <w:kern w:val="21"/>
                <w:sz w:val="24"/>
                <w:szCs w:val="24"/>
                <w:u w:val="none" w:color="auto"/>
                <w14:textFill>
                  <w14:solidFill>
                    <w14:schemeClr w14:val="tx1"/>
                  </w14:solidFill>
                </w14:textFill>
              </w:rPr>
              <w:t>培育30家“瞪羚”企业和10家创新龙头企业。做大做强科技型龙头企业，促进企业成为技术创新决策、研发投入、科研组织和成果转化主体，促进创新要素向企业集聚，不断提升企业的科技创新能力。</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64" w:firstLineChars="200"/>
              <w:jc w:val="both"/>
              <w:textAlignment w:val="auto"/>
              <w:rPr>
                <w:rFonts w:hint="eastAsia" w:ascii="宋体" w:hAnsi="宋体" w:eastAsia="宋体" w:cs="宋体"/>
                <w:color w:val="000000" w:themeColor="text1"/>
                <w:spacing w:val="6"/>
                <w:kern w:val="21"/>
                <w:sz w:val="24"/>
                <w:szCs w:val="24"/>
                <w:u w:val="none" w:color="auto"/>
                <w:lang w:val="en-US" w:eastAsia="zh-CN" w:bidi="ar-SA"/>
                <w14:textFill>
                  <w14:solidFill>
                    <w14:schemeClr w14:val="tx1"/>
                  </w14:solidFill>
                </w14:textFill>
              </w:rPr>
            </w:pPr>
            <w:r>
              <w:rPr>
                <w:rFonts w:hint="eastAsia" w:ascii="宋体" w:hAnsi="宋体" w:eastAsia="宋体" w:cs="宋体"/>
                <w:b/>
                <w:bCs/>
                <w:color w:val="000000" w:themeColor="text1"/>
                <w:spacing w:val="6"/>
                <w:kern w:val="21"/>
                <w:sz w:val="24"/>
                <w:szCs w:val="24"/>
                <w:u w:val="none" w:color="auto"/>
                <w:lang w:val="en-US" w:eastAsia="zh-CN" w:bidi="ar-SA"/>
                <w14:textFill>
                  <w14:solidFill>
                    <w14:schemeClr w14:val="tx1"/>
                  </w14:solidFill>
                </w14:textFill>
              </w:rPr>
              <w:t>3.全社会研发经费投入强度：</w:t>
            </w:r>
            <w:r>
              <w:rPr>
                <w:rFonts w:hint="eastAsia" w:ascii="宋体" w:hAnsi="宋体" w:eastAsia="宋体" w:cs="宋体"/>
                <w:color w:val="000000" w:themeColor="text1"/>
                <w:spacing w:val="6"/>
                <w:kern w:val="21"/>
                <w:sz w:val="24"/>
                <w:szCs w:val="24"/>
                <w:u w:val="none" w:color="auto"/>
                <w:lang w:val="en-US" w:eastAsia="zh-CN" w:bidi="ar-SA"/>
                <w14:textFill>
                  <w14:solidFill>
                    <w14:schemeClr w14:val="tx1"/>
                  </w14:solidFill>
                </w14:textFill>
              </w:rPr>
              <w:t>全社会研发经费投入年均增速保持高于全省平均水平，研发投入强度达到全省中等水平。</w:t>
            </w:r>
          </w:p>
          <w:p>
            <w:pPr>
              <w:keepNext w:val="0"/>
              <w:keepLines w:val="0"/>
              <w:pageBreakBefore w:val="0"/>
              <w:widowControl w:val="0"/>
              <w:kinsoku/>
              <w:wordWrap/>
              <w:overflowPunct/>
              <w:topLinePunct w:val="0"/>
              <w:autoSpaceDE/>
              <w:autoSpaceDN/>
              <w:bidi w:val="0"/>
              <w:adjustRightInd/>
              <w:snapToGrid/>
              <w:spacing w:line="400" w:lineRule="exact"/>
              <w:ind w:left="0" w:firstLine="484" w:firstLineChars="200"/>
              <w:jc w:val="both"/>
              <w:textAlignment w:val="auto"/>
              <w:outlineLvl w:val="9"/>
              <w:rPr>
                <w:rFonts w:hint="eastAsia" w:ascii="Times New Roman" w:hAnsi="Times New Roman" w:eastAsia="仿宋_GB2312" w:cs="Times New Roman"/>
                <w:b w:val="0"/>
                <w:color w:val="000000" w:themeColor="text1"/>
                <w:spacing w:val="11"/>
                <w:kern w:val="21"/>
                <w:sz w:val="36"/>
                <w:szCs w:val="36"/>
                <w:u w:val="none" w:color="auto"/>
                <w:vertAlign w:val="baseline"/>
                <w:lang w:eastAsia="zh-CN"/>
                <w14:textFill>
                  <w14:solidFill>
                    <w14:schemeClr w14:val="tx1"/>
                  </w14:solidFill>
                </w14:textFill>
              </w:rPr>
            </w:pPr>
            <w:r>
              <w:rPr>
                <w:rFonts w:hint="eastAsia" w:ascii="宋体" w:hAnsi="宋体" w:eastAsia="宋体" w:cs="宋体"/>
                <w:b/>
                <w:bCs/>
                <w:color w:val="000000" w:themeColor="text1"/>
                <w:spacing w:val="11"/>
                <w:kern w:val="21"/>
                <w:sz w:val="24"/>
                <w:szCs w:val="24"/>
                <w:u w:val="none" w:color="auto"/>
                <w:lang w:val="en-US" w:eastAsia="zh-CN"/>
                <w14:textFill>
                  <w14:solidFill>
                    <w14:schemeClr w14:val="tx1"/>
                  </w14:solidFill>
                </w14:textFill>
              </w:rPr>
              <w:t>4</w:t>
            </w:r>
            <w:r>
              <w:rPr>
                <w:rFonts w:hint="eastAsia" w:ascii="宋体" w:hAnsi="宋体" w:eastAsia="宋体" w:cs="宋体"/>
                <w:b/>
                <w:bCs/>
                <w:color w:val="000000" w:themeColor="text1"/>
                <w:spacing w:val="11"/>
                <w:kern w:val="21"/>
                <w:sz w:val="24"/>
                <w:szCs w:val="24"/>
                <w:u w:val="none" w:color="auto"/>
                <w14:textFill>
                  <w14:solidFill>
                    <w14:schemeClr w14:val="tx1"/>
                  </w14:solidFill>
                </w14:textFill>
              </w:rPr>
              <w:t>.重大科技攻关。</w:t>
            </w:r>
            <w:r>
              <w:rPr>
                <w:rFonts w:hint="eastAsia" w:ascii="宋体" w:hAnsi="宋体" w:eastAsia="宋体" w:cs="宋体"/>
                <w:color w:val="000000" w:themeColor="text1"/>
                <w:spacing w:val="6"/>
                <w:kern w:val="21"/>
                <w:sz w:val="24"/>
                <w:szCs w:val="24"/>
                <w:u w:val="none" w:color="auto"/>
                <w14:textFill>
                  <w14:solidFill>
                    <w14:schemeClr w14:val="tx1"/>
                  </w14:solidFill>
                </w14:textFill>
              </w:rPr>
              <w:t>每年实施5项以上市级重大科技专项、重点研发专项，</w:t>
            </w:r>
            <w:r>
              <w:rPr>
                <w:rFonts w:hint="eastAsia" w:ascii="宋体" w:hAnsi="宋体" w:eastAsia="宋体" w:cs="宋体"/>
                <w:color w:val="000000" w:themeColor="text1"/>
                <w:spacing w:val="6"/>
                <w:kern w:val="21"/>
                <w:sz w:val="24"/>
                <w:szCs w:val="24"/>
                <w:u w:val="none" w:color="auto"/>
                <w:lang w:val="en-US"/>
                <w14:textFill>
                  <w14:solidFill>
                    <w14:schemeClr w14:val="tx1"/>
                  </w14:solidFill>
                </w14:textFill>
              </w:rPr>
              <w:t>重点</w:t>
            </w:r>
            <w:r>
              <w:rPr>
                <w:rFonts w:hint="eastAsia" w:ascii="宋体" w:hAnsi="宋体" w:eastAsia="宋体" w:cs="宋体"/>
                <w:color w:val="000000" w:themeColor="text1"/>
                <w:spacing w:val="6"/>
                <w:kern w:val="21"/>
                <w:sz w:val="24"/>
                <w:szCs w:val="24"/>
                <w:u w:val="none" w:color="auto"/>
                <w14:textFill>
                  <w14:solidFill>
                    <w14:schemeClr w14:val="tx1"/>
                  </w14:solidFill>
                </w14:textFill>
              </w:rPr>
              <w:t>企业牵头或参与国家级和省级重大科技攻关任务占比不低于80%</w:t>
            </w:r>
            <w:r>
              <w:rPr>
                <w:rFonts w:hint="eastAsia" w:ascii="宋体" w:hAnsi="宋体" w:eastAsia="宋体" w:cs="宋体"/>
                <w:color w:val="000000" w:themeColor="text1"/>
                <w:spacing w:val="6"/>
                <w:kern w:val="21"/>
                <w:sz w:val="24"/>
                <w:szCs w:val="24"/>
                <w:u w:val="none" w:color="auto"/>
                <w:lang w:eastAsia="zh-CN"/>
                <w14:textFill>
                  <w14:solidFill>
                    <w14:schemeClr w14:val="tx1"/>
                  </w14:solidFill>
                </w14:textFill>
              </w:rPr>
              <w:t>，</w:t>
            </w:r>
            <w:r>
              <w:rPr>
                <w:rFonts w:hint="eastAsia" w:ascii="宋体" w:hAnsi="宋体" w:eastAsia="宋体" w:cs="宋体"/>
                <w:color w:val="000000" w:themeColor="text1"/>
                <w:spacing w:val="6"/>
                <w:kern w:val="21"/>
                <w:sz w:val="24"/>
                <w:szCs w:val="24"/>
                <w:u w:val="none" w:color="auto"/>
                <w:lang w:val="en-US" w:eastAsia="zh-CN"/>
                <w14:textFill>
                  <w14:solidFill>
                    <w14:schemeClr w14:val="tx1"/>
                  </w14:solidFill>
                </w14:textFill>
              </w:rPr>
              <w:t>全市有效发明专利突破1300件</w:t>
            </w:r>
            <w:r>
              <w:rPr>
                <w:rFonts w:hint="eastAsia" w:ascii="宋体" w:hAnsi="宋体" w:eastAsia="宋体" w:cs="宋体"/>
                <w:color w:val="000000" w:themeColor="text1"/>
                <w:spacing w:val="6"/>
                <w:kern w:val="21"/>
                <w:sz w:val="24"/>
                <w:szCs w:val="24"/>
                <w:u w:val="none" w:color="auto"/>
                <w:lang w:eastAsia="zh-CN"/>
                <w14:textFill>
                  <w14:solidFill>
                    <w14:schemeClr w14:val="tx1"/>
                  </w14:solidFill>
                </w14:textFill>
              </w:rPr>
              <w:t>。</w:t>
            </w:r>
          </w:p>
        </w:tc>
      </w:tr>
    </w:tbl>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2.信息技术。</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加快信息服务基础</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能力建设</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积极</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布局重大信息网络基础设施和新型数字基础设施，加快推进10G</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PON规模部署，全面提高千兆接入能力，力争实现市中心城区10G</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PON全覆盖，实现“千兆到户、万兆到企、百米光接入”。加快大数据、云计算、物联网、人工智能、区块链等新技术、新产业、新业态、新模式发展，加快工业互联网应用，推动产业转型升级、提质增效、创新发展。推进5G独立组网（SA）网络建设，实现5G网络的全面覆盖，推动“双千兆”网络协同发展，深化移动网络与工业设施、公共设施的互联，探索6G应用验证。新建5G网络全面支持IPv6，持续完善IPv6骨干网网间互联体系，着力提升5G网络IPv6流量，实现互联网、广电网、骨干网IPv6互联互通。</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pP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构建</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信息服务</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体系。</w:t>
      </w:r>
      <w:bookmarkStart w:id="38" w:name="_Toc15955"/>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推进农业、教育、文旅、物流、医疗、交通运输等各行业大数据的互联互通、资源共享。</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提升</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“区块链+”在政务服务、民生服务等重点领域应用</w:t>
      </w:r>
      <w:r>
        <w:rPr>
          <w:rFonts w:hint="eastAsia"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能力。</w:t>
      </w:r>
      <w:r>
        <w:rPr>
          <w:rFonts w:hint="default" w:ascii="仿宋" w:hAnsi="仿宋" w:eastAsia="仿宋" w:cs="仿宋"/>
          <w:b w:val="0"/>
          <w:bCs w:val="0"/>
          <w:i w:val="0"/>
          <w:iCs w:val="0"/>
          <w:caps w:val="0"/>
          <w:color w:val="000000" w:themeColor="text1"/>
          <w:spacing w:val="6"/>
          <w:kern w:val="21"/>
          <w:sz w:val="32"/>
          <w:szCs w:val="32"/>
          <w:u w:val="none" w:color="auto"/>
          <w:shd w:val="clear" w:color="auto" w:fill="auto"/>
          <w:lang w:val="en-US" w:eastAsia="zh-CN" w:bidi="ar"/>
          <w14:textFill>
            <w14:solidFill>
              <w14:schemeClr w14:val="tx1"/>
            </w14:solidFill>
          </w14:textFill>
        </w:rPr>
        <w:t>加快建设高速率、宽连接、低时延的新一代网络通信基础平台，服务我市产业升级和城乡治理，推动传统基础设施数字化、网络化、智能化改造升级。</w:t>
      </w:r>
    </w:p>
    <w:p>
      <w:pPr>
        <w:keepNext w:val="0"/>
        <w:keepLines w:val="0"/>
        <w:pageBreakBefore w:val="0"/>
        <w:widowControl w:val="0"/>
        <w:numPr>
          <w:ilvl w:val="0"/>
          <w:numId w:val="0"/>
        </w:numPr>
        <w:kinsoku/>
        <w:wordWrap/>
        <w:overflowPunct/>
        <w:topLinePunct w:val="0"/>
        <w:autoSpaceDE/>
        <w:autoSpaceDN/>
        <w:bidi w:val="0"/>
        <w:adjustRightInd/>
        <w:snapToGrid/>
        <w:spacing w:line="610" w:lineRule="exact"/>
        <w:ind w:left="0" w:leftChars="0" w:right="0" w:rightChars="0" w:firstLine="644" w:firstLineChars="200"/>
        <w:jc w:val="both"/>
        <w:textAlignment w:val="auto"/>
        <w:outlineLvl w:val="9"/>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pP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着力提高软件开发和应用能力。</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引进培育软件信息服务企业，引导有条件县区建设软件信息服务业产业园区</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eastAsia="zh-CN" w:bidi="ar"/>
          <w14:textFill>
            <w14:solidFill>
              <w14:schemeClr w14:val="tx1"/>
            </w14:solidFill>
          </w14:textFill>
        </w:rPr>
        <w:t>；</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积极开发工业应用程序，推进“5G+工业互联网”应用，在</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食品医药</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精细化工</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、装备制造等领域</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培育</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重点行业互联网平台，打造一批</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智能工厂、智能型企业样板</w:t>
      </w:r>
      <w:r>
        <w:rPr>
          <w:rFonts w:hint="default"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。面向医疗卫生、教育、文化旅游、物流、金融服务、供应链管理等行业需求，开发优秀软件产品，提供应用解决方案</w:t>
      </w:r>
      <w:r>
        <w:rPr>
          <w:rFonts w:hint="eastAsia" w:ascii="仿宋" w:hAnsi="仿宋" w:eastAsia="仿宋" w:cs="仿宋"/>
          <w:b w:val="0"/>
          <w:bCs w:val="0"/>
          <w:i w:val="0"/>
          <w:iCs w:val="0"/>
          <w:caps w:val="0"/>
          <w:color w:val="000000" w:themeColor="text1"/>
          <w:spacing w:val="11"/>
          <w:kern w:val="21"/>
          <w:sz w:val="32"/>
          <w:szCs w:val="32"/>
          <w:u w:val="none" w:color="auto"/>
          <w:shd w:val="clear" w:color="auto" w:fill="auto"/>
          <w:lang w:val="en-US" w:eastAsia="zh-CN" w:bidi="ar"/>
          <w14:textFill>
            <w14:solidFill>
              <w14:schemeClr w14:val="tx1"/>
            </w14:solidFill>
          </w14:textFill>
        </w:rPr>
        <w:t>，为工业行业应用提供系统解决方案,促进工业生产业务流程再造和优化。</w:t>
      </w:r>
      <w:bookmarkEnd w:id="38"/>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886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color w:val="000000" w:themeColor="text1"/>
                <w:spacing w:val="11"/>
                <w:kern w:val="21"/>
                <w:sz w:val="24"/>
                <w:szCs w:val="24"/>
                <w:u w:val="none" w:color="auto"/>
                <w:vertAlign w:val="baseline"/>
                <w:lang w:val="en-US" w:eastAsia="zh-CN" w:bidi="ar"/>
                <w14:textFill>
                  <w14:solidFill>
                    <w14:schemeClr w14:val="tx1"/>
                  </w14:solidFill>
                </w14:textFill>
              </w:rPr>
            </w:pPr>
            <w:r>
              <w:rPr>
                <w:rFonts w:hint="eastAsia" w:ascii="黑体" w:hAnsi="黑体" w:eastAsia="黑体" w:cs="黑体"/>
                <w:color w:val="000000" w:themeColor="text1"/>
                <w:spacing w:val="11"/>
                <w:kern w:val="21"/>
                <w:sz w:val="28"/>
                <w:szCs w:val="28"/>
                <w:u w:val="none" w:color="auto"/>
                <w:lang w:val="en-US" w:eastAsia="zh-CN" w:bidi="ar"/>
                <w14:textFill>
                  <w14:solidFill>
                    <w14:schemeClr w14:val="tx1"/>
                  </w14:solidFill>
                </w14:textFill>
              </w:rPr>
              <w:t>专栏5  信息服务业重点任务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2" w:hRule="atLeast"/>
          <w:jc w:val="center"/>
        </w:trPr>
        <w:tc>
          <w:tcPr>
            <w:tcW w:w="8860" w:type="dxa"/>
            <w:noWrap w:val="0"/>
            <w:vAlign w:val="center"/>
          </w:tcPr>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left"/>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1.</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信息服务基础</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建设。</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加快推进10G</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PON规模部署，全面提高千兆接入能力，力争实现市中心城区10G</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PON全覆盖，实现“千兆到户、万兆到企、百米光接入”。新建5G网络全面支持IPv6，持续完善IPv6骨干网网间互联体系，着力提升5G网络IPv6流量，实现互联网、广电网、骨干网IPv6互联互通。</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left"/>
              <w:textAlignment w:val="auto"/>
              <w:rPr>
                <w:rFonts w:hint="default" w:ascii="Times New Roman" w:hAnsi="Times New Roman" w:eastAsia="宋体" w:cs="Times New Roman"/>
                <w:color w:val="000000" w:themeColor="text1"/>
                <w:spacing w:val="11"/>
                <w:kern w:val="21"/>
                <w:sz w:val="24"/>
                <w:szCs w:val="24"/>
                <w:u w:val="none" w:color="auto"/>
                <w:vertAlign w:val="baseli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2</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大数据和5G产业。稳步推进5G基站建设，培育1个区域支柱型、特色型数字产业集群。探索建设1个以上具有影响力的数据产业集聚区，引育40家以上数据骨干企业，建设1个以上综合性数智赋能平台。探索建设1个省级数据标注基地，打造10个以上示范性场景。</w:t>
            </w:r>
          </w:p>
        </w:tc>
      </w:tr>
    </w:tbl>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b/>
          <w:bCs/>
          <w:color w:val="000000" w:themeColor="text1"/>
          <w:spacing w:val="11"/>
          <w:sz w:val="32"/>
          <w:szCs w:val="32"/>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3.</w:t>
      </w:r>
      <w:r>
        <w:rPr>
          <w:rFonts w:hint="eastAsia" w:ascii="仿宋" w:hAnsi="仿宋" w:eastAsia="仿宋" w:cs="仿宋"/>
          <w:b/>
          <w:bCs/>
          <w:color w:val="000000" w:themeColor="text1"/>
          <w:spacing w:val="11"/>
          <w:sz w:val="32"/>
          <w:szCs w:val="32"/>
          <w14:textFill>
            <w14:solidFill>
              <w14:schemeClr w14:val="tx1"/>
            </w14:solidFill>
          </w14:textFill>
        </w:rPr>
        <w:t>特色餐饮。</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color w:val="000000" w:themeColor="text1"/>
          <w:spacing w:val="11"/>
          <w:sz w:val="32"/>
          <w:szCs w:val="32"/>
          <w14:textFill>
            <w14:solidFill>
              <w14:schemeClr w14:val="tx1"/>
            </w14:solidFill>
          </w14:textFill>
        </w:rPr>
        <w:t>打造天中餐饮名片</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14:textFill>
            <w14:solidFill>
              <w14:schemeClr w14:val="tx1"/>
            </w14:solidFill>
          </w14:textFill>
        </w:rPr>
        <w:t>整合塔桥猪蹄、汝南涮牛肚、</w:t>
      </w:r>
      <w:r>
        <w:rPr>
          <w:rFonts w:hint="default" w:ascii="仿宋" w:hAnsi="仿宋" w:eastAsia="仿宋" w:cs="仿宋"/>
          <w:color w:val="000000" w:themeColor="text1"/>
          <w:spacing w:val="11"/>
          <w:sz w:val="32"/>
          <w:szCs w:val="32"/>
          <w14:textFill>
            <w14:solidFill>
              <w14:schemeClr w14:val="tx1"/>
            </w14:solidFill>
          </w14:textFill>
        </w:rPr>
        <w:t>曹运洪</w:t>
      </w:r>
      <w:r>
        <w:rPr>
          <w:rFonts w:hint="eastAsia" w:ascii="仿宋" w:hAnsi="仿宋" w:eastAsia="仿宋" w:cs="仿宋"/>
          <w:color w:val="000000" w:themeColor="text1"/>
          <w:spacing w:val="11"/>
          <w:sz w:val="32"/>
          <w:szCs w:val="32"/>
          <w14:textFill>
            <w14:solidFill>
              <w14:schemeClr w14:val="tx1"/>
            </w14:solidFill>
          </w14:textFill>
        </w:rPr>
        <w:t>胡辣汤、顿岗油馍等特色品类</w:t>
      </w:r>
      <w:r>
        <w:rPr>
          <w:rFonts w:hint="default" w:ascii="仿宋" w:hAnsi="仿宋" w:eastAsia="仿宋" w:cs="仿宋"/>
          <w:color w:val="000000" w:themeColor="text1"/>
          <w:spacing w:val="11"/>
          <w:sz w:val="32"/>
          <w:szCs w:val="32"/>
          <w14:textFill>
            <w14:solidFill>
              <w14:schemeClr w14:val="tx1"/>
            </w14:solidFill>
          </w14:textFill>
        </w:rPr>
        <w:t>；</w:t>
      </w:r>
      <w:r>
        <w:rPr>
          <w:rFonts w:hint="eastAsia" w:ascii="仿宋" w:hAnsi="仿宋" w:eastAsia="仿宋" w:cs="仿宋"/>
          <w:color w:val="000000" w:themeColor="text1"/>
          <w:spacing w:val="11"/>
          <w:sz w:val="32"/>
          <w:szCs w:val="32"/>
          <w14:textFill>
            <w14:solidFill>
              <w14:schemeClr w14:val="tx1"/>
            </w14:solidFill>
          </w14:textFill>
        </w:rPr>
        <w:t>加大老字号与非遗技艺保护传承，规范工艺标准与品质管控，打造区域公共品牌。支持本土餐饮企业连锁化发展，提升品牌辨识度与市场竞争力，让特色餐饮成为城市形象窗口。</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color w:val="000000" w:themeColor="text1"/>
          <w:spacing w:val="11"/>
          <w:sz w:val="32"/>
          <w:szCs w:val="32"/>
          <w14:textFill>
            <w14:solidFill>
              <w14:schemeClr w14:val="tx1"/>
            </w14:solidFill>
          </w14:textFill>
        </w:rPr>
        <w:t>拓展消费新场景</w:t>
      </w:r>
      <w:r>
        <w:rPr>
          <w:rFonts w:hint="eastAsia" w:ascii="仿宋" w:hAnsi="仿宋" w:eastAsia="仿宋" w:cs="仿宋"/>
          <w:color w:val="000000" w:themeColor="text1"/>
          <w:spacing w:val="11"/>
          <w:sz w:val="32"/>
          <w:szCs w:val="32"/>
          <w:lang w:eastAsia="zh-CN"/>
          <w14:textFill>
            <w14:solidFill>
              <w14:schemeClr w14:val="tx1"/>
            </w14:solidFill>
          </w14:textFill>
        </w:rPr>
        <w:t>。支持</w:t>
      </w:r>
      <w:r>
        <w:rPr>
          <w:rFonts w:hint="eastAsia" w:ascii="仿宋" w:hAnsi="仿宋" w:eastAsia="仿宋" w:cs="仿宋"/>
          <w:color w:val="000000" w:themeColor="text1"/>
          <w:spacing w:val="11"/>
          <w:sz w:val="32"/>
          <w:szCs w:val="32"/>
          <w14:textFill>
            <w14:solidFill>
              <w14:schemeClr w14:val="tx1"/>
            </w14:solidFill>
          </w14:textFill>
        </w:rPr>
        <w:t>建设特色美食街区、夜市集群与县域美食小镇，推动小吃集聚化、场景化发展。促进餐饮与文旅、会展、乡村旅游深度融合，打造美食体验线路与节庆活动，实现以食引客、以文兴商。发展社区便民餐饮、中央厨房、团餐配送，完善城市餐饮服务网络；鼓励发展休闲餐饮、主题餐饮、轻食健康餐饮，适配多元化消费需求，提升服务业供给品质。</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14:textFill>
            <w14:solidFill>
              <w14:schemeClr w14:val="tx1"/>
            </w14:solidFill>
          </w14:textFill>
        </w:rPr>
      </w:pPr>
      <w:r>
        <w:rPr>
          <w:rFonts w:hint="eastAsia" w:ascii="仿宋" w:hAnsi="仿宋" w:eastAsia="仿宋" w:cs="仿宋"/>
          <w:color w:val="000000" w:themeColor="text1"/>
          <w:spacing w:val="11"/>
          <w:sz w:val="32"/>
          <w:szCs w:val="32"/>
          <w:lang w:eastAsia="zh-CN"/>
          <w14:textFill>
            <w14:solidFill>
              <w14:schemeClr w14:val="tx1"/>
            </w14:solidFill>
          </w14:textFill>
        </w:rPr>
        <w:t>构建</w:t>
      </w:r>
      <w:r>
        <w:rPr>
          <w:rFonts w:hint="eastAsia" w:ascii="仿宋" w:hAnsi="仿宋" w:eastAsia="仿宋" w:cs="仿宋"/>
          <w:color w:val="000000" w:themeColor="text1"/>
          <w:spacing w:val="11"/>
          <w:sz w:val="32"/>
          <w:szCs w:val="32"/>
          <w14:textFill>
            <w14:solidFill>
              <w14:schemeClr w14:val="tx1"/>
            </w14:solidFill>
          </w14:textFill>
        </w:rPr>
        <w:t>全产业链</w:t>
      </w:r>
      <w:r>
        <w:rPr>
          <w:rFonts w:hint="eastAsia" w:ascii="仿宋" w:hAnsi="仿宋" w:eastAsia="仿宋" w:cs="仿宋"/>
          <w:color w:val="000000" w:themeColor="text1"/>
          <w:spacing w:val="11"/>
          <w:sz w:val="32"/>
          <w:szCs w:val="32"/>
          <w:lang w:eastAsia="zh-CN"/>
          <w14:textFill>
            <w14:solidFill>
              <w14:schemeClr w14:val="tx1"/>
            </w14:solidFill>
          </w14:textFill>
        </w:rPr>
        <w:t>发展</w:t>
      </w:r>
      <w:r>
        <w:rPr>
          <w:rFonts w:hint="eastAsia" w:ascii="仿宋" w:hAnsi="仿宋" w:eastAsia="仿宋" w:cs="仿宋"/>
          <w:color w:val="000000" w:themeColor="text1"/>
          <w:spacing w:val="11"/>
          <w:sz w:val="32"/>
          <w:szCs w:val="32"/>
          <w14:textFill>
            <w14:solidFill>
              <w14:schemeClr w14:val="tx1"/>
            </w14:solidFill>
          </w14:textFill>
        </w:rPr>
        <w:t>体系</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14:textFill>
            <w14:solidFill>
              <w14:schemeClr w14:val="tx1"/>
            </w14:solidFill>
          </w14:textFill>
        </w:rPr>
        <w:t>立足农业大市优势，</w:t>
      </w:r>
      <w:r>
        <w:rPr>
          <w:rFonts w:hint="eastAsia" w:ascii="仿宋" w:hAnsi="仿宋" w:eastAsia="仿宋" w:cs="仿宋"/>
          <w:color w:val="000000" w:themeColor="text1"/>
          <w:spacing w:val="11"/>
          <w:sz w:val="32"/>
          <w:szCs w:val="32"/>
          <w:lang w:eastAsia="zh-CN"/>
          <w14:textFill>
            <w14:solidFill>
              <w14:schemeClr w14:val="tx1"/>
            </w14:solidFill>
          </w14:textFill>
        </w:rPr>
        <w:t>引导企业</w:t>
      </w:r>
      <w:r>
        <w:rPr>
          <w:rFonts w:hint="eastAsia" w:ascii="仿宋" w:hAnsi="仿宋" w:eastAsia="仿宋" w:cs="仿宋"/>
          <w:color w:val="000000" w:themeColor="text1"/>
          <w:spacing w:val="11"/>
          <w:sz w:val="32"/>
          <w:szCs w:val="32"/>
          <w14:textFill>
            <w14:solidFill>
              <w14:schemeClr w14:val="tx1"/>
            </w14:solidFill>
          </w14:textFill>
        </w:rPr>
        <w:t>建设标准化食材供应基地，构建从种养到餐桌的绿色供应链，带动农产品增值与农户增收。支持特色菜品预制化、便携化开发，拓展线上电商、直播带货、礼品礼盒市场，推动餐饮向食品加工延伸。完善冷链物流、食材分拣、中央厨房配套，提升产业集约化水平，增强服务业产业链韧性。强化</w:t>
      </w:r>
      <w:r>
        <w:rPr>
          <w:rFonts w:hint="eastAsia" w:ascii="仿宋" w:hAnsi="仿宋" w:eastAsia="仿宋" w:cs="仿宋"/>
          <w:color w:val="000000" w:themeColor="text1"/>
          <w:spacing w:val="11"/>
          <w:sz w:val="32"/>
          <w:szCs w:val="32"/>
          <w:lang w:eastAsia="zh-CN"/>
          <w14:textFill>
            <w14:solidFill>
              <w14:schemeClr w14:val="tx1"/>
            </w14:solidFill>
          </w14:textFill>
        </w:rPr>
        <w:t>餐饮</w:t>
      </w:r>
      <w:r>
        <w:rPr>
          <w:rFonts w:hint="eastAsia" w:ascii="仿宋" w:hAnsi="仿宋" w:eastAsia="仿宋" w:cs="仿宋"/>
          <w:color w:val="000000" w:themeColor="text1"/>
          <w:spacing w:val="11"/>
          <w:sz w:val="32"/>
          <w:szCs w:val="32"/>
          <w14:textFill>
            <w14:solidFill>
              <w14:schemeClr w14:val="tx1"/>
            </w14:solidFill>
          </w14:textFill>
        </w:rPr>
        <w:t>人才培育</w:t>
      </w:r>
      <w:r>
        <w:rPr>
          <w:rFonts w:hint="eastAsia" w:ascii="仿宋" w:hAnsi="仿宋" w:eastAsia="仿宋" w:cs="仿宋"/>
          <w:color w:val="000000" w:themeColor="text1"/>
          <w:spacing w:val="11"/>
          <w:sz w:val="32"/>
          <w:szCs w:val="32"/>
          <w:lang w:eastAsia="zh-CN"/>
          <w14:textFill>
            <w14:solidFill>
              <w14:schemeClr w14:val="tx1"/>
            </w14:solidFill>
          </w14:textFill>
        </w:rPr>
        <w:t>，鼓励餐饮协会与政府院校合作，加强</w:t>
      </w:r>
      <w:r>
        <w:rPr>
          <w:rFonts w:hint="eastAsia" w:ascii="仿宋" w:hAnsi="仿宋" w:eastAsia="仿宋" w:cs="仿宋"/>
          <w:color w:val="000000" w:themeColor="text1"/>
          <w:spacing w:val="11"/>
          <w:sz w:val="32"/>
          <w:szCs w:val="32"/>
          <w14:textFill>
            <w14:solidFill>
              <w14:schemeClr w14:val="tx1"/>
            </w14:solidFill>
          </w14:textFill>
        </w:rPr>
        <w:t>技能培训，培育烹饪技艺、运营管理、品牌营销复合型人才，举办厨艺赛事与技艺交流，推动餐饮行业规范化、智能化转型</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14:textFill>
            <w14:solidFill>
              <w14:schemeClr w14:val="tx1"/>
            </w14:solidFill>
          </w14:textFill>
        </w:rPr>
        <w:t>提升运营效率</w:t>
      </w:r>
      <w:r>
        <w:rPr>
          <w:rFonts w:hint="eastAsia" w:ascii="仿宋" w:hAnsi="仿宋" w:eastAsia="仿宋" w:cs="仿宋"/>
          <w:color w:val="000000" w:themeColor="text1"/>
          <w:spacing w:val="11"/>
          <w:sz w:val="32"/>
          <w:szCs w:val="32"/>
          <w:lang w:eastAsia="zh-CN"/>
          <w14:textFill>
            <w14:solidFill>
              <w14:schemeClr w14:val="tx1"/>
            </w14:solidFill>
          </w14:textFill>
        </w:rPr>
        <w:t>。</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4.</w:t>
      </w:r>
      <w:r>
        <w:rPr>
          <w:rFonts w:hint="eastAsia" w:ascii="仿宋" w:hAnsi="仿宋" w:eastAsia="仿宋" w:cs="仿宋"/>
          <w:b/>
          <w:bCs/>
          <w:color w:val="000000" w:themeColor="text1"/>
          <w:spacing w:val="11"/>
          <w:sz w:val="32"/>
          <w:szCs w:val="32"/>
          <w:lang w:eastAsia="zh-CN"/>
          <w14:textFill>
            <w14:solidFill>
              <w14:schemeClr w14:val="tx1"/>
            </w14:solidFill>
          </w14:textFill>
        </w:rPr>
        <w:t>商贸服务。</w:t>
      </w:r>
      <w:r>
        <w:rPr>
          <w:rFonts w:hint="eastAsia" w:ascii="仿宋" w:hAnsi="仿宋" w:eastAsia="仿宋" w:cs="仿宋"/>
          <w:color w:val="000000" w:themeColor="text1"/>
          <w:spacing w:val="11"/>
          <w:sz w:val="32"/>
          <w:szCs w:val="32"/>
          <w:lang w:eastAsia="zh-CN"/>
          <w14:textFill>
            <w14:solidFill>
              <w14:schemeClr w14:val="tx1"/>
            </w14:solidFill>
          </w14:textFill>
        </w:rPr>
        <w:t>以建设区域消费中心城市为目标，加快传统商贸服务改造提升，推进线上线下融合发展，到2030年，全市社会消费品零售总额突破1700亿元，年均增长</w:t>
      </w:r>
      <w:r>
        <w:rPr>
          <w:rFonts w:hint="eastAsia" w:ascii="仿宋" w:hAnsi="仿宋" w:eastAsia="仿宋" w:cs="仿宋"/>
          <w:color w:val="000000" w:themeColor="text1"/>
          <w:spacing w:val="11"/>
          <w:sz w:val="32"/>
          <w:szCs w:val="32"/>
          <w:lang w:val="en-US" w:eastAsia="zh-CN"/>
          <w14:textFill>
            <w14:solidFill>
              <w14:schemeClr w14:val="tx1"/>
            </w14:solidFill>
          </w14:textFill>
        </w:rPr>
        <w:t>5.5</w:t>
      </w:r>
      <w:r>
        <w:rPr>
          <w:rFonts w:hint="eastAsia" w:ascii="仿宋" w:hAnsi="仿宋" w:eastAsia="仿宋" w:cs="仿宋"/>
          <w:color w:val="000000" w:themeColor="text1"/>
          <w:spacing w:val="11"/>
          <w:sz w:val="32"/>
          <w:szCs w:val="32"/>
          <w:lang w:eastAsia="zh-CN"/>
          <w14:textFill>
            <w14:solidFill>
              <w14:schemeClr w14:val="tx1"/>
            </w14:solidFill>
          </w14:textFill>
        </w:rPr>
        <w:t>%左右。</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color w:val="000000" w:themeColor="text1"/>
          <w:spacing w:val="11"/>
          <w:sz w:val="32"/>
          <w:szCs w:val="32"/>
          <w:lang w:eastAsia="zh-CN"/>
          <w14:textFill>
            <w14:solidFill>
              <w14:schemeClr w14:val="tx1"/>
            </w14:solidFill>
          </w14:textFill>
        </w:rPr>
        <w:t>推进传统商贸改造升级。以引导街区优化环境、提高品质、挖掘文化、智慧赋能为主攻方向，加快推进步行街改造提升</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eastAsia="zh-CN"/>
          <w14:textFill>
            <w14:solidFill>
              <w14:schemeClr w14:val="tx1"/>
            </w14:solidFill>
          </w14:textFill>
        </w:rPr>
        <w:t>支持</w:t>
      </w:r>
      <w:r>
        <w:rPr>
          <w:rFonts w:hint="eastAsia" w:ascii="仿宋" w:hAnsi="仿宋" w:eastAsia="仿宋" w:cs="仿宋"/>
          <w:color w:val="000000" w:themeColor="text1"/>
          <w:spacing w:val="11"/>
          <w:sz w:val="32"/>
          <w:szCs w:val="32"/>
          <w:lang w:val="en-US" w:eastAsia="zh-CN"/>
          <w14:textFill>
            <w14:solidFill>
              <w14:schemeClr w14:val="tx1"/>
            </w14:solidFill>
          </w14:textFill>
        </w:rPr>
        <w:t>驿城区抓好皇家驿站省级高品质步行街升级改造，</w:t>
      </w:r>
      <w:r>
        <w:rPr>
          <w:rFonts w:hint="eastAsia" w:ascii="仿宋" w:hAnsi="仿宋" w:eastAsia="仿宋" w:cs="仿宋"/>
          <w:color w:val="000000" w:themeColor="text1"/>
          <w:spacing w:val="11"/>
          <w:sz w:val="32"/>
          <w:szCs w:val="32"/>
          <w:lang w:eastAsia="zh-CN"/>
          <w14:textFill>
            <w14:solidFill>
              <w14:schemeClr w14:val="tx1"/>
            </w14:solidFill>
          </w14:textFill>
        </w:rPr>
        <w:t>提升街区品牌形象；积极盘活市场闲置空间资源，推动传统市场改造提升，加快建设新型市场，引导市场空间合理调整，支持各县（区）依托产品资源优势建设产地型专业市场，形成中心城区内市场以生活类零售服务为主、城区外市场以生产服务为主、各县（区）专业市场错位发展的市场功能体系。加快推动乡村商业设施升级改造，发展购物、餐饮、亲子、娱乐等综合服务功能，培育一批乡村商贸龙头企业，以优质服务供给激发农村消费潜力。</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color w:val="000000" w:themeColor="text1"/>
          <w:spacing w:val="11"/>
          <w:sz w:val="32"/>
          <w:szCs w:val="32"/>
          <w:lang w:eastAsia="zh-CN"/>
          <w14:textFill>
            <w14:solidFill>
              <w14:schemeClr w14:val="tx1"/>
            </w14:solidFill>
          </w14:textFill>
        </w:rPr>
        <w:t>继续推进电子商务发展。推进电子商务创新应用</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eastAsia="zh-CN"/>
          <w14:textFill>
            <w14:solidFill>
              <w14:schemeClr w14:val="tx1"/>
            </w14:solidFill>
          </w14:textFill>
        </w:rPr>
        <w:t>重点支持天中生态农业、荣放商贸等一批本土电子商务应用企业做大做强</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eastAsia="zh-CN"/>
          <w14:textFill>
            <w14:solidFill>
              <w14:schemeClr w14:val="tx1"/>
            </w14:solidFill>
          </w14:textFill>
        </w:rPr>
        <w:t>立足我市花生、白芝麻、小黄姜等特色农产品资源和装备制造、户外用品等工业产品资源，引导企业开展网络营销，培育具有驻马店地域特色的高附加值电商品牌</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eastAsia="zh-CN"/>
          <w14:textFill>
            <w14:solidFill>
              <w14:schemeClr w14:val="tx1"/>
            </w14:solidFill>
          </w14:textFill>
        </w:rPr>
        <w:t>围绕九大产业集群，推进直播电商平台和本地制造企业加强合作，打造“直播+”定制化示范工厂，促进供需精准匹配对接和产业转型。力争到2030年，全市电子商务应用进一步深入，培育8家企业入选《河南省跨境电商产业带“源头工厂”名录》，支持鼓励各县区依托当地直播电商基地孵化培育本地网络品牌。</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6"/>
          <w:sz w:val="32"/>
          <w:szCs w:val="32"/>
          <w:lang w:eastAsia="zh-CN"/>
          <w14:textFill>
            <w14:solidFill>
              <w14:schemeClr w14:val="tx1"/>
            </w14:solidFill>
          </w14:textFill>
        </w:rPr>
      </w:pPr>
      <w:r>
        <w:rPr>
          <w:rFonts w:hint="eastAsia" w:ascii="仿宋" w:hAnsi="仿宋" w:eastAsia="仿宋" w:cs="仿宋"/>
          <w:color w:val="000000" w:themeColor="text1"/>
          <w:spacing w:val="11"/>
          <w:sz w:val="32"/>
          <w:szCs w:val="32"/>
          <w:lang w:eastAsia="zh-CN"/>
          <w14:textFill>
            <w14:solidFill>
              <w14:schemeClr w14:val="tx1"/>
            </w14:solidFill>
          </w14:textFill>
        </w:rPr>
        <w:t>培</w:t>
      </w:r>
      <w:r>
        <w:rPr>
          <w:rFonts w:hint="eastAsia" w:ascii="仿宋" w:hAnsi="仿宋" w:eastAsia="仿宋" w:cs="仿宋"/>
          <w:color w:val="000000" w:themeColor="text1"/>
          <w:spacing w:val="6"/>
          <w:sz w:val="32"/>
          <w:szCs w:val="32"/>
          <w:lang w:eastAsia="zh-CN"/>
          <w14:textFill>
            <w14:solidFill>
              <w14:schemeClr w14:val="tx1"/>
            </w14:solidFill>
          </w14:textFill>
        </w:rPr>
        <w:t>育发展现代专业市场。以粮食、钢材、农资、纺织服装、新能源电动车、果蔬批发、农副产品等为重点，建设一批市场基础设施、功能配套完善的专业市场，鼓励专业市场搭建采购平台，建设仓储基地，以赋能商户为核心，以数据驱动为手段，向高端服务型、总部型、展贸型、电商化、创业创新型等现代市场转型发展。</w:t>
      </w:r>
    </w:p>
    <w:p>
      <w:pPr>
        <w:pStyle w:val="2"/>
        <w:rPr>
          <w:rFonts w:hint="default"/>
          <w:lang w:eastAsia="zh-CN"/>
        </w:rPr>
      </w:pPr>
    </w:p>
    <w:tbl>
      <w:tblPr>
        <w:tblStyle w:val="20"/>
        <w:tblW w:w="9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40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仿宋_GB2312" w:cs="Times New Roman"/>
                <w:b w:val="0"/>
                <w:bCs w:val="0"/>
                <w:color w:val="000000" w:themeColor="text1"/>
                <w:spacing w:val="0"/>
                <w:sz w:val="28"/>
                <w:szCs w:val="28"/>
                <w:highlight w:val="none"/>
                <w:lang w:eastAsia="zh-CN"/>
                <w14:textFill>
                  <w14:solidFill>
                    <w14:schemeClr w14:val="tx1"/>
                  </w14:solidFill>
                </w14:textFill>
              </w:rPr>
            </w:pPr>
            <w:r>
              <w:rPr>
                <w:rFonts w:hint="eastAsia" w:ascii="黑体" w:hAnsi="黑体" w:eastAsia="黑体" w:cs="黑体"/>
                <w:color w:val="000000" w:themeColor="text1"/>
                <w:spacing w:val="11"/>
                <w:kern w:val="21"/>
                <w:sz w:val="28"/>
                <w:szCs w:val="28"/>
                <w:u w:val="none" w:color="auto"/>
                <w:lang w:val="en-US" w:eastAsia="zh-CN" w:bidi="ar"/>
                <w14:textFill>
                  <w14:solidFill>
                    <w14:schemeClr w14:val="tx1"/>
                  </w14:solidFill>
                </w14:textFill>
              </w:rPr>
              <w:t>专栏6  新型商贸重点任务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1" w:hRule="atLeast"/>
          <w:jc w:val="center"/>
        </w:trPr>
        <w:tc>
          <w:tcPr>
            <w:tcW w:w="9403" w:type="dxa"/>
            <w:noWrap w:val="0"/>
            <w:vAlign w:val="top"/>
          </w:tcPr>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left"/>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1.电子商务（跨境电商）。</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全市电子商务应用进一步深入，培育8家企业入选《河南省跨境电商产业带“源头工厂”名录》</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支持鼓励各县区依托当地直播电商基地孵化培育本地网络品牌。</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left"/>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2.现代化商业设施布局。</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抓好皇家驿站省级高品质步行街的改造提升，</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推动中多·中环国际、银座广场、遂平金博大商业广场</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、新蔡乐源商业综合体、正阳</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鑫合·农商智慧城等项目建设。</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left"/>
              <w:textAlignment w:val="auto"/>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3.现代化专业市场。</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建设平舆县舆西农产品批发市场、</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泌阳</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豫南特色农产品批发市场、上蔡县嘉信农贸市场、新蔡通源汽车贸易城、西平三产融合渔具产业园、</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正阳</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全国花生第一大县粮油仓储物流交易应急保障中心</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、驿城区</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东方新能源汽车贸易中心等专业市场，培育一批规范化、智慧化现代专业市场。</w:t>
            </w:r>
          </w:p>
        </w:tc>
      </w:tr>
    </w:tbl>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r>
        <w:rPr>
          <w:rFonts w:hint="eastAsia" w:ascii="楷体" w:hAnsi="楷体" w:eastAsia="楷体" w:cs="楷体"/>
          <w:color w:val="000000" w:themeColor="text1"/>
          <w:spacing w:val="11"/>
          <w:sz w:val="32"/>
          <w:szCs w:val="32"/>
          <w:lang w:val="en-US" w:eastAsia="zh-CN"/>
          <w14:textFill>
            <w14:solidFill>
              <w14:schemeClr w14:val="tx1"/>
            </w14:solidFill>
          </w14:textFill>
        </w:rPr>
        <w:t>（三）做活做快</w:t>
      </w:r>
      <w:r>
        <w:rPr>
          <w:rFonts w:hint="eastAsia" w:ascii="楷体" w:hAnsi="楷体" w:eastAsia="楷体" w:cs="楷体"/>
          <w:color w:val="000000" w:themeColor="text1"/>
          <w:spacing w:val="11"/>
          <w:sz w:val="32"/>
          <w:szCs w:val="32"/>
          <w:lang w:eastAsia="zh-CN"/>
          <w14:textFill>
            <w14:solidFill>
              <w14:schemeClr w14:val="tx1"/>
            </w14:solidFill>
          </w14:textFill>
        </w:rPr>
        <w:t>成长型服务业</w:t>
      </w:r>
      <w:r>
        <w:rPr>
          <w:rFonts w:hint="eastAsia" w:ascii="楷体" w:hAnsi="楷体" w:eastAsia="楷体" w:cs="楷体"/>
          <w:color w:val="000000" w:themeColor="text1"/>
          <w:spacing w:val="11"/>
          <w:sz w:val="32"/>
          <w:szCs w:val="32"/>
          <w:lang w:val="en-US" w:eastAsia="zh-CN"/>
          <w14:textFill>
            <w14:solidFill>
              <w14:schemeClr w14:val="tx1"/>
            </w14:solidFill>
          </w14:textFill>
        </w:rPr>
        <w:t>。</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b/>
          <w:bCs/>
          <w:color w:val="000000" w:themeColor="text1"/>
          <w:spacing w:val="11"/>
          <w:sz w:val="32"/>
          <w:szCs w:val="32"/>
          <w:lang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1.</w:t>
      </w:r>
      <w:r>
        <w:rPr>
          <w:rFonts w:hint="eastAsia" w:ascii="仿宋" w:hAnsi="仿宋" w:eastAsia="仿宋" w:cs="仿宋"/>
          <w:b/>
          <w:bCs/>
          <w:color w:val="000000" w:themeColor="text1"/>
          <w:spacing w:val="11"/>
          <w:sz w:val="32"/>
          <w:szCs w:val="32"/>
          <w:lang w:eastAsia="zh-CN"/>
          <w14:textFill>
            <w14:solidFill>
              <w14:schemeClr w14:val="tx1"/>
            </w14:solidFill>
          </w14:textFill>
        </w:rPr>
        <w:t>养老育幼。</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深入</w:t>
      </w:r>
      <w:r>
        <w:rPr>
          <w:rFonts w:hint="default" w:ascii="仿宋" w:hAnsi="仿宋" w:eastAsia="仿宋" w:cs="仿宋"/>
          <w:color w:val="000000" w:themeColor="text1"/>
          <w:spacing w:val="11"/>
          <w:sz w:val="32"/>
          <w:szCs w:val="32"/>
          <w:lang w:val="en-US" w:eastAsia="zh-CN"/>
          <w14:textFill>
            <w14:solidFill>
              <w14:schemeClr w14:val="tx1"/>
            </w14:solidFill>
          </w14:textFill>
        </w:rPr>
        <w:t>发展养老服务。</w:t>
      </w:r>
      <w:r>
        <w:rPr>
          <w:rFonts w:hint="eastAsia" w:ascii="仿宋" w:hAnsi="仿宋" w:eastAsia="仿宋" w:cs="仿宋"/>
          <w:color w:val="000000" w:themeColor="text1"/>
          <w:spacing w:val="11"/>
          <w:sz w:val="32"/>
          <w:szCs w:val="32"/>
          <w:lang w:eastAsia="zh-CN"/>
          <w14:textFill>
            <w14:solidFill>
              <w14:schemeClr w14:val="tx1"/>
            </w14:solidFill>
          </w14:textFill>
        </w:rPr>
        <w:t>按照“政府主导、统筹规划、保障重点、适度普惠”原则,着力构建居家</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eastAsia="zh-CN"/>
          <w14:textFill>
            <w14:solidFill>
              <w14:schemeClr w14:val="tx1"/>
            </w14:solidFill>
          </w14:textFill>
        </w:rPr>
        <w:t>社区</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eastAsia="zh-CN"/>
          <w14:textFill>
            <w14:solidFill>
              <w14:schemeClr w14:val="tx1"/>
            </w14:solidFill>
          </w14:textFill>
        </w:rPr>
        <w:t>机构相协调、医养康养相结合的养老服务体系。</w:t>
      </w:r>
      <w:r>
        <w:rPr>
          <w:rFonts w:hint="eastAsia" w:ascii="仿宋" w:hAnsi="仿宋" w:eastAsia="仿宋" w:cs="仿宋"/>
          <w:color w:val="000000" w:themeColor="text1"/>
          <w:spacing w:val="11"/>
          <w:sz w:val="32"/>
          <w:szCs w:val="32"/>
          <w:lang w:val="en-US" w:eastAsia="zh-CN"/>
          <w14:textFill>
            <w14:solidFill>
              <w14:schemeClr w14:val="tx1"/>
            </w14:solidFill>
          </w14:textFill>
        </w:rPr>
        <w:t>每个县区建设1所或多所提供兜底保障的养老设施，具备为区域内特困人员及部分经济困难失能老年人提供集中供养的条件，同时运用灵活公建民营、购买服务等方式，在多个养老设施分散提供兜底保障床位，更好满足特困人员及经济困难失能老年人就近供养需求。规划建设提供普惠服务的养老设施，为有需求的老年人提供集中照护，保障条件不足的县区要加大投入补齐短板，已经达到要求的地方要推动提高服务质量。以服务价格为主要依据确定普惠认定标准，制定支持性政策，强化要素投入和财力保障，降低建设和运行成本，采取差异化补助等政策，引导更多养老机构加强护理型床位建设。力争到2027年，全市养老机构护理型床位占比不低于70%。创造有利条件，鼓励社会力量和民间资本参与建设提供市场化服务的养老设施，支持提升辐射带动能力，加强资源链接整合，更好满足老年人多样化、多层次服务需求，培育壮大银发经济。</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积极发展育幼服务。</w:t>
      </w:r>
      <w:r>
        <w:rPr>
          <w:rFonts w:hint="eastAsia" w:ascii="仿宋" w:hAnsi="仿宋" w:eastAsia="仿宋" w:cs="仿宋"/>
          <w:color w:val="000000" w:themeColor="text1"/>
          <w:spacing w:val="11"/>
          <w:sz w:val="32"/>
          <w:szCs w:val="32"/>
          <w:lang w:val="en-US" w:eastAsia="zh-CN"/>
          <w14:textFill>
            <w14:solidFill>
              <w14:schemeClr w14:val="tx1"/>
            </w14:solidFill>
          </w14:textFill>
        </w:rPr>
        <w:t>构建</w:t>
      </w:r>
      <w:r>
        <w:rPr>
          <w:rFonts w:hint="default" w:ascii="仿宋" w:hAnsi="仿宋" w:eastAsia="仿宋" w:cs="仿宋"/>
          <w:color w:val="000000" w:themeColor="text1"/>
          <w:spacing w:val="11"/>
          <w:sz w:val="32"/>
          <w:szCs w:val="32"/>
          <w:lang w:val="en-US" w:eastAsia="zh-CN"/>
          <w14:textFill>
            <w14:solidFill>
              <w14:schemeClr w14:val="tx1"/>
            </w14:solidFill>
          </w14:textFill>
        </w:rPr>
        <w:t>普惠托育服务体系，推进城乡社区婴幼儿照护服务设施建设，加强婴幼儿照护服务主体培育和规范管理，基本形成多元化、多样性、多层次覆盖城乡的婴幼儿照护服务体系。持续抓牢育</w:t>
      </w:r>
      <w:r>
        <w:rPr>
          <w:rFonts w:hint="eastAsia" w:ascii="仿宋" w:hAnsi="仿宋" w:eastAsia="仿宋" w:cs="仿宋"/>
          <w:color w:val="000000" w:themeColor="text1"/>
          <w:spacing w:val="11"/>
          <w:sz w:val="32"/>
          <w:szCs w:val="32"/>
          <w:lang w:val="en-US" w:eastAsia="zh-CN"/>
          <w14:textFill>
            <w14:solidFill>
              <w14:schemeClr w14:val="tx1"/>
            </w14:solidFill>
          </w14:textFill>
        </w:rPr>
        <w:t>幼</w:t>
      </w:r>
      <w:r>
        <w:rPr>
          <w:rFonts w:hint="default" w:ascii="仿宋" w:hAnsi="仿宋" w:eastAsia="仿宋" w:cs="仿宋"/>
          <w:color w:val="000000" w:themeColor="text1"/>
          <w:spacing w:val="11"/>
          <w:sz w:val="32"/>
          <w:szCs w:val="32"/>
          <w:lang w:val="en-US" w:eastAsia="zh-CN"/>
          <w14:textFill>
            <w14:solidFill>
              <w14:schemeClr w14:val="tx1"/>
            </w14:solidFill>
          </w14:textFill>
        </w:rPr>
        <w:t>保障基础，建立健全生育补贴相关政策措施，全面落实育儿补贴制度，持续落实3岁以下婴幼儿照护、子女教育个人所得税专项附加扣除政策</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优化普惠托育服务供给，推动用人单位灵活落实弹性工作、育儿假等支持政策</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eastAsia="zh-CN"/>
          <w14:textFill>
            <w14:solidFill>
              <w14:schemeClr w14:val="tx1"/>
            </w14:solidFill>
          </w14:textFill>
        </w:rPr>
        <w:t>加强家庭科学育儿指导，为不同年龄段幼儿家庭提供差异化服务。</w:t>
      </w:r>
      <w:r>
        <w:rPr>
          <w:rFonts w:hint="default" w:ascii="仿宋" w:hAnsi="仿宋" w:eastAsia="仿宋" w:cs="仿宋"/>
          <w:color w:val="000000" w:themeColor="text1"/>
          <w:spacing w:val="11"/>
          <w:sz w:val="32"/>
          <w:szCs w:val="32"/>
          <w:lang w:val="en-US" w:eastAsia="zh-CN"/>
          <w14:textFill>
            <w14:solidFill>
              <w14:schemeClr w14:val="tx1"/>
            </w14:solidFill>
          </w14:textFill>
        </w:rPr>
        <w:t>鼓励建设</w:t>
      </w:r>
      <w:r>
        <w:rPr>
          <w:rFonts w:hint="default" w:ascii="仿宋" w:hAnsi="仿宋" w:eastAsia="仿宋" w:cs="仿宋"/>
          <w:color w:val="000000" w:themeColor="text1"/>
          <w:spacing w:val="11"/>
          <w:sz w:val="32"/>
          <w:szCs w:val="32"/>
          <w:lang w:eastAsia="zh-CN"/>
          <w14:textFill>
            <w14:solidFill>
              <w14:schemeClr w14:val="tx1"/>
            </w14:solidFill>
          </w14:textFill>
        </w:rPr>
        <w:t>婴幼儿照护服务机构、托幼一体的托育机构，吸引更多社会资本进入育幼产业。</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加强服务规范和行业监管。以从业机构质量安全、从业人员、运营秩序等方面为重点</w:t>
      </w:r>
      <w:r>
        <w:rPr>
          <w:rFonts w:hint="eastAsia" w:ascii="仿宋" w:hAnsi="仿宋" w:eastAsia="仿宋" w:cs="仿宋"/>
          <w:color w:val="000000" w:themeColor="text1"/>
          <w:spacing w:val="11"/>
          <w:sz w:val="32"/>
          <w:szCs w:val="32"/>
          <w:lang w:val="en-US" w:eastAsia="zh-CN"/>
          <w14:textFill>
            <w14:solidFill>
              <w14:schemeClr w14:val="tx1"/>
            </w14:solidFill>
          </w14:textFill>
        </w:rPr>
        <w:t>加强</w:t>
      </w:r>
      <w:r>
        <w:rPr>
          <w:rFonts w:hint="default" w:ascii="仿宋" w:hAnsi="仿宋" w:eastAsia="仿宋" w:cs="仿宋"/>
          <w:color w:val="000000" w:themeColor="text1"/>
          <w:spacing w:val="11"/>
          <w:sz w:val="32"/>
          <w:szCs w:val="32"/>
          <w:lang w:val="en-US" w:eastAsia="zh-CN"/>
          <w14:textFill>
            <w14:solidFill>
              <w14:schemeClr w14:val="tx1"/>
            </w14:solidFill>
          </w14:textFill>
        </w:rPr>
        <w:t>养老育幼服务综合监管</w:t>
      </w:r>
      <w:r>
        <w:rPr>
          <w:rFonts w:hint="eastAsia" w:ascii="仿宋" w:hAnsi="仿宋" w:eastAsia="仿宋" w:cs="仿宋"/>
          <w:color w:val="000000" w:themeColor="text1"/>
          <w:spacing w:val="11"/>
          <w:sz w:val="32"/>
          <w:szCs w:val="32"/>
          <w:lang w:val="en-US" w:eastAsia="zh-CN"/>
          <w14:textFill>
            <w14:solidFill>
              <w14:schemeClr w14:val="tx1"/>
            </w14:solidFill>
          </w14:textFill>
        </w:rPr>
        <w:t>力度</w:t>
      </w:r>
      <w:r>
        <w:rPr>
          <w:rFonts w:hint="default" w:ascii="仿宋" w:hAnsi="仿宋" w:eastAsia="仿宋" w:cs="仿宋"/>
          <w:color w:val="000000" w:themeColor="text1"/>
          <w:spacing w:val="11"/>
          <w:sz w:val="32"/>
          <w:szCs w:val="32"/>
          <w:lang w:val="en-US" w:eastAsia="zh-CN"/>
          <w14:textFill>
            <w14:solidFill>
              <w14:schemeClr w14:val="tx1"/>
            </w14:solidFill>
          </w14:textFill>
        </w:rPr>
        <w:t>，切实防范各类风险。</w:t>
      </w:r>
      <w:r>
        <w:rPr>
          <w:rFonts w:hint="eastAsia" w:ascii="仿宋" w:hAnsi="仿宋" w:eastAsia="仿宋" w:cs="仿宋"/>
          <w:color w:val="000000" w:themeColor="text1"/>
          <w:spacing w:val="11"/>
          <w:sz w:val="32"/>
          <w:szCs w:val="32"/>
          <w:lang w:val="en-US" w:eastAsia="zh-CN"/>
          <w14:textFill>
            <w14:solidFill>
              <w14:schemeClr w14:val="tx1"/>
            </w14:solidFill>
          </w14:textFill>
        </w:rPr>
        <w:t>实施新服务新供给品牌培育，</w:t>
      </w:r>
      <w:r>
        <w:rPr>
          <w:rFonts w:hint="default" w:ascii="仿宋" w:hAnsi="仿宋" w:eastAsia="仿宋" w:cs="仿宋"/>
          <w:color w:val="000000" w:themeColor="text1"/>
          <w:spacing w:val="11"/>
          <w:sz w:val="32"/>
          <w:szCs w:val="32"/>
          <w:lang w:val="en-US" w:eastAsia="zh-CN"/>
          <w14:textFill>
            <w14:solidFill>
              <w14:schemeClr w14:val="tx1"/>
            </w14:solidFill>
          </w14:textFill>
        </w:rPr>
        <w:t>开展示范性</w:t>
      </w:r>
      <w:r>
        <w:rPr>
          <w:rFonts w:hint="eastAsia" w:ascii="仿宋" w:hAnsi="仿宋" w:eastAsia="仿宋" w:cs="仿宋"/>
          <w:color w:val="000000" w:themeColor="text1"/>
          <w:spacing w:val="11"/>
          <w:sz w:val="32"/>
          <w:szCs w:val="32"/>
          <w:lang w:val="en-US" w:eastAsia="zh-CN"/>
          <w14:textFill>
            <w14:solidFill>
              <w14:schemeClr w14:val="tx1"/>
            </w14:solidFill>
          </w14:textFill>
        </w:rPr>
        <w:t>养老</w:t>
      </w:r>
      <w:r>
        <w:rPr>
          <w:rFonts w:hint="default" w:ascii="仿宋" w:hAnsi="仿宋" w:eastAsia="仿宋" w:cs="仿宋"/>
          <w:color w:val="000000" w:themeColor="text1"/>
          <w:spacing w:val="11"/>
          <w:sz w:val="32"/>
          <w:szCs w:val="32"/>
          <w:lang w:val="en-US" w:eastAsia="zh-CN"/>
          <w14:textFill>
            <w14:solidFill>
              <w14:schemeClr w14:val="tx1"/>
            </w14:solidFill>
          </w14:textFill>
        </w:rPr>
        <w:t>育</w:t>
      </w:r>
      <w:r>
        <w:rPr>
          <w:rFonts w:hint="eastAsia" w:ascii="仿宋" w:hAnsi="仿宋" w:eastAsia="仿宋" w:cs="仿宋"/>
          <w:color w:val="000000" w:themeColor="text1"/>
          <w:spacing w:val="11"/>
          <w:sz w:val="32"/>
          <w:szCs w:val="32"/>
          <w:lang w:val="en-US" w:eastAsia="zh-CN"/>
          <w14:textFill>
            <w14:solidFill>
              <w14:schemeClr w14:val="tx1"/>
            </w14:solidFill>
          </w14:textFill>
        </w:rPr>
        <w:t>幼</w:t>
      </w:r>
      <w:r>
        <w:rPr>
          <w:rFonts w:hint="default" w:ascii="仿宋" w:hAnsi="仿宋" w:eastAsia="仿宋" w:cs="仿宋"/>
          <w:color w:val="000000" w:themeColor="text1"/>
          <w:spacing w:val="11"/>
          <w:sz w:val="32"/>
          <w:szCs w:val="32"/>
          <w:lang w:val="en-US" w:eastAsia="zh-CN"/>
          <w14:textFill>
            <w14:solidFill>
              <w14:schemeClr w14:val="tx1"/>
            </w14:solidFill>
          </w14:textFill>
        </w:rPr>
        <w:t>机构建设，推进养老育幼服务规范化发展。加大养老托育从业人员的培训力度，开展岗前培训，有针对性的开展订单式培训。</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2.</w:t>
      </w:r>
      <w:r>
        <w:rPr>
          <w:rFonts w:hint="eastAsia" w:ascii="仿宋" w:hAnsi="仿宋" w:eastAsia="仿宋" w:cs="仿宋"/>
          <w:b/>
          <w:bCs/>
          <w:color w:val="000000" w:themeColor="text1"/>
          <w:spacing w:val="11"/>
          <w:sz w:val="32"/>
          <w:szCs w:val="32"/>
          <w:lang w:eastAsia="zh-CN"/>
          <w14:textFill>
            <w14:solidFill>
              <w14:schemeClr w14:val="tx1"/>
            </w14:solidFill>
          </w14:textFill>
        </w:rPr>
        <w:t>体育服务。</w:t>
      </w:r>
      <w:r>
        <w:rPr>
          <w:rFonts w:hint="default" w:ascii="仿宋" w:hAnsi="仿宋" w:eastAsia="仿宋" w:cs="仿宋"/>
          <w:color w:val="000000" w:themeColor="text1"/>
          <w:spacing w:val="11"/>
          <w:sz w:val="32"/>
          <w:szCs w:val="32"/>
          <w:lang w:val="en-US" w:eastAsia="zh-CN"/>
          <w14:textFill>
            <w14:solidFill>
              <w14:schemeClr w14:val="tx1"/>
            </w14:solidFill>
          </w14:textFill>
        </w:rPr>
        <w:t>大力推动竞技体育和群众体育均衡发展，全力推进“三大球”振兴发展，促进体育市场繁荣。</w:t>
      </w:r>
      <w:r>
        <w:rPr>
          <w:rFonts w:hint="eastAsia" w:ascii="仿宋" w:hAnsi="仿宋" w:eastAsia="仿宋" w:cs="仿宋"/>
          <w:color w:val="000000" w:themeColor="text1"/>
          <w:spacing w:val="11"/>
          <w:sz w:val="32"/>
          <w:szCs w:val="32"/>
          <w:lang w:eastAsia="zh-CN"/>
          <w14:textFill>
            <w14:solidFill>
              <w14:schemeClr w14:val="tx1"/>
            </w14:solidFill>
          </w14:textFill>
        </w:rPr>
        <w:t>加快发展普及性广、关注度高、市场空间大的运动项目</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常态化开展具有广泛群众基础的健身跑、健步走、羽毛球、自行车、游泳等运动项目，支持滑板、轮滑、匹克球等消费引领性强的新兴时尚运动项目发展，高水平举办河南省体育模特锦标赛，着力打造“中原村BA”等群众体育赛事品牌，带动群众体育蓬勃发展。充分发挥嵖岈山省级体育旅游基地、老乐山中国骑行地图精品线路、金顶山中国体育旅游精品景区等带动效应，大力发展浆板、皮划艇、越野跑、徒步、登山、骑行等户外运动项目，加快全市高质量户外运动目的地建设。</w:t>
      </w:r>
      <w:r>
        <w:rPr>
          <w:rFonts w:hint="eastAsia" w:ascii="仿宋" w:hAnsi="仿宋" w:eastAsia="仿宋" w:cs="仿宋"/>
          <w:color w:val="000000" w:themeColor="text1"/>
          <w:spacing w:val="11"/>
          <w:sz w:val="32"/>
          <w:szCs w:val="32"/>
          <w:lang w:eastAsia="zh-CN"/>
          <w14:textFill>
            <w14:solidFill>
              <w14:schemeClr w14:val="tx1"/>
            </w14:solidFill>
          </w14:textFill>
        </w:rPr>
        <w:t>重点培育健身休闲、竞赛表演、场馆服务、中介培训等体育服务业,</w:t>
      </w:r>
      <w:r>
        <w:rPr>
          <w:rFonts w:hint="default" w:ascii="仿宋" w:hAnsi="仿宋" w:eastAsia="仿宋" w:cs="仿宋"/>
          <w:color w:val="000000" w:themeColor="text1"/>
          <w:spacing w:val="11"/>
          <w:sz w:val="32"/>
          <w:szCs w:val="32"/>
          <w:lang w:eastAsia="zh-CN"/>
          <w14:textFill>
            <w14:solidFill>
              <w14:schemeClr w14:val="tx1"/>
            </w14:solidFill>
          </w14:textFill>
        </w:rPr>
        <w:t>鼓励社会力量开办体质测试、健康咨询和康复理疗等机构，</w:t>
      </w:r>
      <w:r>
        <w:rPr>
          <w:rFonts w:hint="eastAsia" w:ascii="仿宋" w:hAnsi="仿宋" w:eastAsia="仿宋" w:cs="仿宋"/>
          <w:color w:val="000000" w:themeColor="text1"/>
          <w:spacing w:val="11"/>
          <w:sz w:val="32"/>
          <w:szCs w:val="32"/>
          <w:lang w:eastAsia="zh-CN"/>
          <w14:textFill>
            <w14:solidFill>
              <w14:schemeClr w14:val="tx1"/>
            </w14:solidFill>
          </w14:textFill>
        </w:rPr>
        <w:t>促进康体结合。</w:t>
      </w:r>
      <w:r>
        <w:rPr>
          <w:rFonts w:hint="default" w:ascii="仿宋" w:hAnsi="仿宋" w:eastAsia="仿宋" w:cs="仿宋"/>
          <w:color w:val="000000" w:themeColor="text1"/>
          <w:spacing w:val="11"/>
          <w:sz w:val="32"/>
          <w:szCs w:val="32"/>
          <w:lang w:eastAsia="zh-CN"/>
          <w14:textFill>
            <w14:solidFill>
              <w14:schemeClr w14:val="tx1"/>
            </w14:solidFill>
          </w14:textFill>
        </w:rPr>
        <w:t>加快开放体育资源，鼓励发展多种形式的体育场馆、体育健身俱乐部，打造多功能城市体育服务综合体。</w:t>
      </w:r>
      <w:r>
        <w:rPr>
          <w:rFonts w:hint="eastAsia" w:ascii="仿宋" w:hAnsi="仿宋" w:eastAsia="仿宋" w:cs="仿宋"/>
          <w:color w:val="000000" w:themeColor="text1"/>
          <w:spacing w:val="11"/>
          <w:sz w:val="32"/>
          <w:szCs w:val="32"/>
          <w:lang w:eastAsia="zh-CN"/>
          <w14:textFill>
            <w14:solidFill>
              <w14:schemeClr w14:val="tx1"/>
            </w14:solidFill>
          </w14:textFill>
        </w:rPr>
        <w:t>力争</w:t>
      </w:r>
      <w:r>
        <w:rPr>
          <w:rFonts w:hint="eastAsia" w:ascii="仿宋" w:hAnsi="仿宋" w:eastAsia="仿宋" w:cs="仿宋"/>
          <w:color w:val="000000" w:themeColor="text1"/>
          <w:spacing w:val="11"/>
          <w:sz w:val="32"/>
          <w:szCs w:val="32"/>
          <w:lang w:val="en-US" w:eastAsia="zh-CN"/>
          <w14:textFill>
            <w14:solidFill>
              <w14:schemeClr w14:val="tx1"/>
            </w14:solidFill>
          </w14:textFill>
        </w:rPr>
        <w:t>到2030年，</w:t>
      </w:r>
      <w:r>
        <w:rPr>
          <w:rFonts w:hint="default" w:ascii="仿宋" w:hAnsi="仿宋" w:eastAsia="仿宋" w:cs="仿宋"/>
          <w:color w:val="000000" w:themeColor="text1"/>
          <w:spacing w:val="11"/>
          <w:sz w:val="32"/>
          <w:szCs w:val="32"/>
          <w:lang w:val="en-US" w:eastAsia="zh-CN"/>
          <w14:textFill>
            <w14:solidFill>
              <w14:schemeClr w14:val="tx1"/>
            </w14:solidFill>
          </w14:textFill>
        </w:rPr>
        <w:t>完成50个以上老旧小区小型健身设施配套建设</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推动2个左右公共体育场馆免费</w:t>
      </w:r>
      <w:r>
        <w:rPr>
          <w:rFonts w:hint="default" w:ascii="仿宋" w:hAnsi="仿宋" w:eastAsia="仿宋" w:cs="仿宋"/>
          <w:color w:val="000000" w:themeColor="text1"/>
          <w:spacing w:val="11"/>
          <w:sz w:val="32"/>
          <w:szCs w:val="32"/>
          <w:lang w:eastAsia="zh-CN"/>
          <w14:textFill>
            <w14:solidFill>
              <w14:schemeClr w14:val="tx1"/>
            </w14:solidFill>
          </w14:textFill>
        </w:rPr>
        <w:t>或</w:t>
      </w:r>
      <w:r>
        <w:rPr>
          <w:rFonts w:hint="default" w:ascii="仿宋" w:hAnsi="仿宋" w:eastAsia="仿宋" w:cs="仿宋"/>
          <w:color w:val="000000" w:themeColor="text1"/>
          <w:spacing w:val="11"/>
          <w:sz w:val="32"/>
          <w:szCs w:val="32"/>
          <w:lang w:val="en-US" w:eastAsia="zh-CN"/>
          <w14:textFill>
            <w14:solidFill>
              <w14:schemeClr w14:val="tx1"/>
            </w14:solidFill>
          </w14:textFill>
        </w:rPr>
        <w:t>低收费向社会开放。</w:t>
      </w:r>
      <w:r>
        <w:rPr>
          <w:rFonts w:hint="eastAsia" w:ascii="仿宋" w:hAnsi="仿宋" w:eastAsia="仿宋" w:cs="仿宋"/>
          <w:color w:val="000000" w:themeColor="text1"/>
          <w:spacing w:val="11"/>
          <w:sz w:val="32"/>
          <w:szCs w:val="32"/>
          <w:lang w:val="en-US" w:eastAsia="zh-CN"/>
          <w14:textFill>
            <w14:solidFill>
              <w14:schemeClr w14:val="tx1"/>
            </w14:solidFill>
          </w14:textFill>
        </w:rPr>
        <w:t xml:space="preserve"> </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3.</w:t>
      </w:r>
      <w:r>
        <w:rPr>
          <w:rFonts w:hint="eastAsia" w:ascii="仿宋" w:hAnsi="仿宋" w:eastAsia="仿宋" w:cs="仿宋"/>
          <w:b/>
          <w:bCs/>
          <w:color w:val="000000" w:themeColor="text1"/>
          <w:spacing w:val="11"/>
          <w:sz w:val="32"/>
          <w:szCs w:val="32"/>
          <w:lang w:eastAsia="zh-CN"/>
          <w14:textFill>
            <w14:solidFill>
              <w14:schemeClr w14:val="tx1"/>
            </w14:solidFill>
          </w14:textFill>
        </w:rPr>
        <w:t>法律服务。</w:t>
      </w:r>
      <w:r>
        <w:rPr>
          <w:rFonts w:hint="eastAsia" w:ascii="仿宋" w:hAnsi="仿宋" w:eastAsia="仿宋" w:cs="仿宋"/>
          <w:color w:val="000000" w:themeColor="text1"/>
          <w:spacing w:val="11"/>
          <w:sz w:val="32"/>
          <w:szCs w:val="32"/>
          <w:lang w:eastAsia="zh-CN"/>
          <w14:textFill>
            <w14:solidFill>
              <w14:schemeClr w14:val="tx1"/>
            </w14:solidFill>
          </w14:textFill>
        </w:rPr>
        <w:t>以“加强民生领域法律服务，推进覆盖城乡居民的公共法律服务体系建设”的目标，加强民生领域法律服务,推进覆盖城乡居民的公共法律服务体系建设。大力</w:t>
      </w:r>
      <w:r>
        <w:rPr>
          <w:rFonts w:hint="eastAsia" w:ascii="仿宋" w:hAnsi="仿宋" w:eastAsia="仿宋" w:cs="仿宋"/>
          <w:color w:val="000000" w:themeColor="text1"/>
          <w:spacing w:val="11"/>
          <w:sz w:val="32"/>
          <w:szCs w:val="32"/>
          <w:lang w:val="en-US" w:eastAsia="zh-CN"/>
          <w14:textFill>
            <w14:solidFill>
              <w14:schemeClr w14:val="tx1"/>
            </w14:solidFill>
          </w14:textFill>
        </w:rPr>
        <w:t>推进司法鉴定服务水平</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围绕关爱民生、服务社会的理念，健全服务机制，努力提供便捷高效的司法鉴定服务。组织司法鉴定机构、司法鉴定人积极履行爱民实践服务承诺，对涉及残疾人、农民工、下岗职工等特殊困难群体的司法鉴定事项，减收不低于法定标准20%的费用。对涉及农民工诉讼的司法鉴定，要求司法鉴定机构依法受理、优先鉴定、及时办结，切实为农民工维权提供专业技术支持。着力推动公证服务便民化、规范化发展。紧扣“减证便民、提速增效、规范优质”核心目标，持续优化服务流程，深化科技赋能，着力破解“证明难、流程繁、耗时长”等痛点，努力提升群众的法治获得感。公证机构积极落实司法部关于公证减证便民服务措施的部署要求，全面实行“证明材料负面清单”“清单之外无证明”管理，削减重复证明、循环证明事项;对核心材料齐全、次要材料欠缺的事项推行“容缺受理”，允许当事人在领取公证书时补正，有效消除“来回跑”的痛点。按业务复杂程度实行“分类限时办结”，委托书、声明书等简单事项部分实现“当日申请、当日办结”，继承、赠与等复杂事项办结时限大幅压缩，紧急事项提供加急服务，切实提升公证服务效率。提升面向基层和普通百姓的法律服务质量,加强对弱势群体的法律服务，加大对老年人、妇女儿童、残疾人等法律援助和服务的支持力度。培育一批在专业领域具备核心竞争力的“专精特新”中小律师事务所，持续提升村(居)法律顾问工作覆盖质效，促进律师队伍参与公益法律服务。对行动不便的老年人、残疾人等特殊群体，积极开辟绿色通道，提供优先办理、上门服务等暖心举措，不断提升面向普通百姓的法律服务能力。有条件的法律服务机构推行全年无休便民服务模式，打破时间限制满足群众即时需求。</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eastAsia="zh-CN"/>
          <w14:textFill>
            <w14:solidFill>
              <w14:schemeClr w14:val="tx1"/>
            </w14:solidFill>
          </w14:textFill>
        </w:rPr>
      </w:pPr>
      <w:r>
        <w:rPr>
          <w:rFonts w:hint="eastAsia" w:ascii="仿宋" w:hAnsi="仿宋" w:eastAsia="仿宋" w:cs="仿宋"/>
          <w:b/>
          <w:bCs/>
          <w:color w:val="000000" w:themeColor="text1"/>
          <w:spacing w:val="11"/>
          <w:sz w:val="32"/>
          <w:szCs w:val="32"/>
          <w:lang w:val="en-US" w:eastAsia="zh-CN"/>
          <w14:textFill>
            <w14:solidFill>
              <w14:schemeClr w14:val="tx1"/>
            </w14:solidFill>
          </w14:textFill>
        </w:rPr>
        <w:t>4.</w:t>
      </w:r>
      <w:r>
        <w:rPr>
          <w:rFonts w:hint="eastAsia" w:ascii="仿宋" w:hAnsi="仿宋" w:eastAsia="仿宋" w:cs="仿宋"/>
          <w:b/>
          <w:bCs/>
          <w:color w:val="000000" w:themeColor="text1"/>
          <w:spacing w:val="11"/>
          <w:sz w:val="32"/>
          <w:szCs w:val="32"/>
          <w:lang w:eastAsia="zh-CN"/>
          <w14:textFill>
            <w14:solidFill>
              <w14:schemeClr w14:val="tx1"/>
            </w14:solidFill>
          </w14:textFill>
        </w:rPr>
        <w:t>家政服务。</w:t>
      </w:r>
      <w:r>
        <w:rPr>
          <w:rFonts w:hint="default" w:ascii="仿宋" w:hAnsi="仿宋" w:eastAsia="仿宋" w:cs="仿宋"/>
          <w:color w:val="000000" w:themeColor="text1"/>
          <w:spacing w:val="11"/>
          <w:sz w:val="32"/>
          <w:szCs w:val="32"/>
          <w:lang w:eastAsia="zh-CN"/>
          <w14:textFill>
            <w14:solidFill>
              <w14:schemeClr w14:val="tx1"/>
            </w14:solidFill>
          </w14:textFill>
        </w:rPr>
        <w:t>推进家政服务提档升级。</w:t>
      </w:r>
      <w:r>
        <w:rPr>
          <w:rFonts w:hint="eastAsia" w:ascii="仿宋" w:hAnsi="仿宋" w:eastAsia="仿宋" w:cs="仿宋"/>
          <w:color w:val="000000" w:themeColor="text1"/>
          <w:spacing w:val="11"/>
          <w:sz w:val="32"/>
          <w:szCs w:val="32"/>
          <w:lang w:val="en-US" w:eastAsia="zh-CN"/>
          <w14:textFill>
            <w14:solidFill>
              <w14:schemeClr w14:val="tx1"/>
            </w14:solidFill>
          </w14:textFill>
        </w:rPr>
        <w:t>积极推动家政服务优质资源下沉，引导复合型技能人才进广场社区、进群众家庭、进养老机构开展规范化服务</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大力拓展智慧家政、智慧云端、家庭管家等新业态，不断满足人民群众高品质生活需求。</w:t>
      </w:r>
      <w:r>
        <w:rPr>
          <w:rFonts w:hint="default" w:ascii="仿宋" w:hAnsi="仿宋" w:eastAsia="仿宋" w:cs="仿宋"/>
          <w:color w:val="000000" w:themeColor="text1"/>
          <w:spacing w:val="11"/>
          <w:sz w:val="32"/>
          <w:szCs w:val="32"/>
          <w:lang w:eastAsia="zh-CN"/>
          <w14:textFill>
            <w14:solidFill>
              <w14:schemeClr w14:val="tx1"/>
            </w14:solidFill>
          </w14:textFill>
        </w:rPr>
        <w:t>支持家政服务与物业服务企业联动整合，发展物业管理、家庭保洁、电器维修、日常用品配送、废品回收等业态</w:t>
      </w:r>
      <w:r>
        <w:rPr>
          <w:rFonts w:hint="eastAsia" w:ascii="仿宋" w:hAnsi="仿宋" w:eastAsia="仿宋" w:cs="仿宋"/>
          <w:color w:val="000000" w:themeColor="text1"/>
          <w:spacing w:val="11"/>
          <w:sz w:val="32"/>
          <w:szCs w:val="32"/>
          <w:lang w:eastAsia="zh-CN"/>
          <w14:textFill>
            <w14:solidFill>
              <w14:schemeClr w14:val="tx1"/>
            </w14:solidFill>
          </w14:textFill>
        </w:rPr>
        <w:t>，在社区设立连锁便民服务网点,为更多家庭提供普惠便捷可及的优质服务。上门代厨、高端保洁、居家养护、代办跑腿等新兴需求，积极发展家庭私厨、整理收纳、陪诊助医、即时配送等新兴服务，推动家庭服务业个性化、标准化、专业化、平台化发展。</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提升家政服务专业</w:t>
      </w:r>
      <w:r>
        <w:rPr>
          <w:rFonts w:hint="eastAsia" w:ascii="仿宋" w:hAnsi="仿宋" w:eastAsia="仿宋" w:cs="仿宋"/>
          <w:color w:val="000000" w:themeColor="text1"/>
          <w:spacing w:val="11"/>
          <w:sz w:val="32"/>
          <w:szCs w:val="32"/>
          <w:lang w:val="en-US" w:eastAsia="zh-CN"/>
          <w14:textFill>
            <w14:solidFill>
              <w14:schemeClr w14:val="tx1"/>
            </w14:solidFill>
          </w14:textFill>
        </w:rPr>
        <w:t>水平。</w:t>
      </w:r>
      <w:r>
        <w:rPr>
          <w:rFonts w:hint="default" w:ascii="仿宋" w:hAnsi="仿宋" w:eastAsia="仿宋" w:cs="仿宋"/>
          <w:color w:val="000000" w:themeColor="text1"/>
          <w:spacing w:val="11"/>
          <w:sz w:val="32"/>
          <w:szCs w:val="32"/>
          <w:lang w:val="en-US" w:eastAsia="zh-CN"/>
          <w14:textFill>
            <w14:solidFill>
              <w14:schemeClr w14:val="tx1"/>
            </w14:solidFill>
          </w14:textFill>
        </w:rPr>
        <w:t>以家政服务龙头企业、专业培训机构等为依托，大力开展职业技能培训，</w:t>
      </w:r>
      <w:r>
        <w:rPr>
          <w:rFonts w:hint="eastAsia" w:ascii="仿宋" w:hAnsi="仿宋" w:eastAsia="仿宋" w:cs="仿宋"/>
          <w:color w:val="000000" w:themeColor="text1"/>
          <w:spacing w:val="11"/>
          <w:sz w:val="32"/>
          <w:szCs w:val="32"/>
          <w:lang w:val="en-US" w:eastAsia="zh-CN"/>
          <w14:textFill>
            <w14:solidFill>
              <w14:schemeClr w14:val="tx1"/>
            </w14:solidFill>
          </w14:textFill>
        </w:rPr>
        <w:t>全面提升劳动力素质和就业能力,培养一批技术专业性强、综合素质高的家政服务从业人员，</w:t>
      </w:r>
      <w:r>
        <w:rPr>
          <w:rFonts w:hint="default" w:ascii="仿宋" w:hAnsi="仿宋" w:eastAsia="仿宋" w:cs="仿宋"/>
          <w:color w:val="000000" w:themeColor="text1"/>
          <w:spacing w:val="11"/>
          <w:sz w:val="32"/>
          <w:szCs w:val="32"/>
          <w:lang w:val="en-US" w:eastAsia="zh-CN"/>
          <w14:textFill>
            <w14:solidFill>
              <w14:schemeClr w14:val="tx1"/>
            </w14:solidFill>
          </w14:textFill>
        </w:rPr>
        <w:t>整体提升家政服务专业化水平。</w:t>
      </w:r>
      <w:r>
        <w:rPr>
          <w:rFonts w:hint="eastAsia" w:ascii="仿宋" w:hAnsi="仿宋" w:eastAsia="仿宋" w:cs="仿宋"/>
          <w:color w:val="000000" w:themeColor="text1"/>
          <w:spacing w:val="11"/>
          <w:sz w:val="32"/>
          <w:szCs w:val="32"/>
          <w:lang w:val="en-US" w:eastAsia="zh-CN"/>
          <w14:textFill>
            <w14:solidFill>
              <w14:schemeClr w14:val="tx1"/>
            </w14:solidFill>
          </w14:textFill>
        </w:rPr>
        <w:t>深入实施就业优先战略,促进各类群体高质量充分就业,搭建供需对接平台,为更多市民提供家门口的就业机会,化解家政服务有效供给不足、行业发展不规范、群众满意度不高等问题。</w:t>
      </w:r>
      <w:r>
        <w:rPr>
          <w:rFonts w:hint="default" w:ascii="仿宋" w:hAnsi="仿宋" w:eastAsia="仿宋" w:cs="仿宋"/>
          <w:color w:val="000000" w:themeColor="text1"/>
          <w:spacing w:val="11"/>
          <w:sz w:val="32"/>
          <w:szCs w:val="32"/>
          <w:lang w:val="en-US" w:eastAsia="zh-CN"/>
          <w14:textFill>
            <w14:solidFill>
              <w14:schemeClr w14:val="tx1"/>
            </w14:solidFill>
          </w14:textFill>
        </w:rPr>
        <w:t>推动家政服务从业人员职业化发展，</w:t>
      </w:r>
      <w:r>
        <w:rPr>
          <w:rFonts w:hint="eastAsia" w:ascii="仿宋" w:hAnsi="仿宋" w:eastAsia="仿宋" w:cs="仿宋"/>
          <w:color w:val="000000" w:themeColor="text1"/>
          <w:spacing w:val="11"/>
          <w:sz w:val="32"/>
          <w:szCs w:val="32"/>
          <w:lang w:val="en-US" w:eastAsia="zh-CN"/>
          <w14:textFill>
            <w14:solidFill>
              <w14:schemeClr w14:val="tx1"/>
            </w14:solidFill>
          </w14:textFill>
        </w:rPr>
        <w:t>严格</w:t>
      </w:r>
      <w:r>
        <w:rPr>
          <w:rFonts w:hint="default" w:ascii="仿宋" w:hAnsi="仿宋" w:eastAsia="仿宋" w:cs="仿宋"/>
          <w:color w:val="000000" w:themeColor="text1"/>
          <w:spacing w:val="11"/>
          <w:sz w:val="32"/>
          <w:szCs w:val="32"/>
          <w:lang w:val="en-US" w:eastAsia="zh-CN"/>
          <w14:textFill>
            <w14:solidFill>
              <w14:schemeClr w14:val="tx1"/>
            </w14:solidFill>
          </w14:textFill>
        </w:rPr>
        <w:t>家政服务人员持证上门制度，</w:t>
      </w:r>
      <w:r>
        <w:rPr>
          <w:rFonts w:hint="eastAsia" w:ascii="仿宋" w:hAnsi="仿宋" w:eastAsia="仿宋" w:cs="仿宋"/>
          <w:color w:val="000000" w:themeColor="text1"/>
          <w:spacing w:val="11"/>
          <w:sz w:val="32"/>
          <w:szCs w:val="32"/>
          <w:lang w:val="en-US" w:eastAsia="zh-CN"/>
          <w14:textFill>
            <w14:solidFill>
              <w14:schemeClr w14:val="tx1"/>
            </w14:solidFill>
          </w14:textFill>
        </w:rPr>
        <w:t>探索</w:t>
      </w:r>
      <w:r>
        <w:rPr>
          <w:rFonts w:hint="default" w:ascii="仿宋" w:hAnsi="仿宋" w:eastAsia="仿宋" w:cs="仿宋"/>
          <w:color w:val="000000" w:themeColor="text1"/>
          <w:spacing w:val="11"/>
          <w:sz w:val="32"/>
          <w:szCs w:val="32"/>
          <w:lang w:val="en-US" w:eastAsia="zh-CN"/>
          <w14:textFill>
            <w14:solidFill>
              <w14:schemeClr w14:val="tx1"/>
            </w14:solidFill>
          </w14:textFill>
        </w:rPr>
        <w:t>推广使用家政服务合同示范文本。发展“智慧家政”，打造线上线下相结合的社区家政服务。</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黑体" w:hAnsi="黑体" w:eastAsia="黑体" w:cs="黑体"/>
          <w:color w:val="000000" w:themeColor="text1"/>
          <w:spacing w:val="11"/>
          <w:sz w:val="32"/>
          <w:szCs w:val="32"/>
          <w:lang w:val="en-US" w:eastAsia="zh-CN"/>
          <w14:textFill>
            <w14:solidFill>
              <w14:schemeClr w14:val="tx1"/>
            </w14:solidFill>
          </w14:textFill>
        </w:rPr>
      </w:pPr>
      <w:r>
        <w:rPr>
          <w:rFonts w:hint="eastAsia" w:ascii="黑体" w:hAnsi="黑体" w:eastAsia="黑体" w:cs="黑体"/>
          <w:color w:val="000000" w:themeColor="text1"/>
          <w:spacing w:val="11"/>
          <w:sz w:val="32"/>
          <w:szCs w:val="32"/>
          <w:lang w:val="en-US" w:eastAsia="zh-CN"/>
          <w14:textFill>
            <w14:solidFill>
              <w14:schemeClr w14:val="tx1"/>
            </w14:solidFill>
          </w14:textFill>
        </w:rPr>
        <w:t>四、重点工作任务</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围绕</w:t>
      </w:r>
      <w:r>
        <w:rPr>
          <w:rFonts w:hint="default" w:ascii="仿宋" w:hAnsi="仿宋" w:eastAsia="仿宋" w:cs="仿宋"/>
          <w:color w:val="000000" w:themeColor="text1"/>
          <w:spacing w:val="11"/>
          <w:sz w:val="32"/>
          <w:szCs w:val="32"/>
          <w:lang w:val="en-US" w:eastAsia="zh-CN"/>
          <w14:textFill>
            <w14:solidFill>
              <w14:schemeClr w14:val="tx1"/>
            </w14:solidFill>
          </w14:textFill>
        </w:rPr>
        <w:t>适应现代服务业发展新趋势</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新要求，聚焦现代服务业</w:t>
      </w:r>
      <w:r>
        <w:rPr>
          <w:rFonts w:hint="eastAsia" w:ascii="仿宋" w:hAnsi="仿宋" w:eastAsia="仿宋" w:cs="仿宋"/>
          <w:color w:val="000000" w:themeColor="text1"/>
          <w:spacing w:val="11"/>
          <w:sz w:val="32"/>
          <w:szCs w:val="32"/>
          <w:lang w:val="en-US" w:eastAsia="zh-CN"/>
          <w14:textFill>
            <w14:solidFill>
              <w14:schemeClr w14:val="tx1"/>
            </w14:solidFill>
          </w14:textFill>
        </w:rPr>
        <w:t>扩能提质</w:t>
      </w:r>
      <w:r>
        <w:rPr>
          <w:rFonts w:hint="default"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实施数字赋能提升、产业融合促进、消费扩容提质、企业梯队培育、产业载体提效和开放协同发展</w:t>
      </w:r>
      <w:r>
        <w:rPr>
          <w:rFonts w:hint="default" w:ascii="仿宋" w:hAnsi="仿宋" w:eastAsia="仿宋" w:cs="仿宋"/>
          <w:color w:val="000000" w:themeColor="text1"/>
          <w:spacing w:val="11"/>
          <w:sz w:val="32"/>
          <w:szCs w:val="32"/>
          <w:lang w:eastAsia="zh-CN"/>
          <w14:textFill>
            <w14:solidFill>
              <w14:schemeClr w14:val="tx1"/>
            </w14:solidFill>
          </w14:textFill>
        </w:rPr>
        <w:t>六大</w:t>
      </w:r>
      <w:r>
        <w:rPr>
          <w:rFonts w:hint="eastAsia" w:ascii="仿宋" w:hAnsi="仿宋" w:eastAsia="仿宋" w:cs="仿宋"/>
          <w:color w:val="000000" w:themeColor="text1"/>
          <w:spacing w:val="11"/>
          <w:sz w:val="32"/>
          <w:szCs w:val="32"/>
          <w:lang w:val="en-US" w:eastAsia="zh-CN"/>
          <w14:textFill>
            <w14:solidFill>
              <w14:schemeClr w14:val="tx1"/>
            </w14:solidFill>
          </w14:textFill>
        </w:rPr>
        <w:t>工程</w:t>
      </w:r>
      <w:r>
        <w:rPr>
          <w:rFonts w:hint="default" w:ascii="仿宋" w:hAnsi="仿宋" w:eastAsia="仿宋" w:cs="仿宋"/>
          <w:color w:val="000000" w:themeColor="text1"/>
          <w:spacing w:val="11"/>
          <w:sz w:val="32"/>
          <w:szCs w:val="32"/>
          <w:lang w:val="en-US" w:eastAsia="zh-CN"/>
          <w14:textFill>
            <w14:solidFill>
              <w14:schemeClr w14:val="tx1"/>
            </w14:solidFill>
          </w14:textFill>
        </w:rPr>
        <w:t>，激发服务业发展活力和内生动力。</w:t>
      </w:r>
      <w:bookmarkStart w:id="39" w:name="_Toc7202"/>
      <w:bookmarkStart w:id="40" w:name="_Toc10400"/>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r>
        <w:rPr>
          <w:rFonts w:hint="eastAsia" w:ascii="楷体" w:hAnsi="楷体" w:eastAsia="楷体" w:cs="楷体"/>
          <w:color w:val="000000" w:themeColor="text1"/>
          <w:spacing w:val="11"/>
          <w:sz w:val="32"/>
          <w:szCs w:val="32"/>
          <w:lang w:val="en-US" w:eastAsia="zh-CN"/>
          <w14:textFill>
            <w14:solidFill>
              <w14:schemeClr w14:val="tx1"/>
            </w14:solidFill>
          </w14:textFill>
        </w:rPr>
        <w:t>（一）数字赋能提升</w:t>
      </w:r>
      <w:bookmarkEnd w:id="39"/>
      <w:r>
        <w:rPr>
          <w:rFonts w:hint="eastAsia" w:ascii="楷体" w:hAnsi="楷体" w:eastAsia="楷体" w:cs="楷体"/>
          <w:color w:val="000000" w:themeColor="text1"/>
          <w:spacing w:val="11"/>
          <w:sz w:val="32"/>
          <w:szCs w:val="32"/>
          <w:lang w:val="en-US" w:eastAsia="zh-CN"/>
          <w14:textFill>
            <w14:solidFill>
              <w14:schemeClr w14:val="tx1"/>
            </w14:solidFill>
          </w14:textFill>
        </w:rPr>
        <w:t>行动。</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7"/>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推进</w:t>
      </w:r>
      <w:r>
        <w:rPr>
          <w:rFonts w:hint="eastAsia" w:ascii="仿宋" w:hAnsi="仿宋" w:eastAsia="仿宋" w:cs="仿宋"/>
          <w:color w:val="000000" w:themeColor="text1"/>
          <w:spacing w:val="11"/>
          <w:sz w:val="32"/>
          <w:szCs w:val="32"/>
          <w:lang w:val="en-US" w:eastAsia="zh-CN"/>
          <w14:textFill>
            <w14:solidFill>
              <w14:schemeClr w14:val="tx1"/>
            </w14:solidFill>
          </w14:textFill>
        </w:rPr>
        <w:t>生产性服务业</w:t>
      </w:r>
      <w:r>
        <w:rPr>
          <w:rFonts w:hint="default" w:ascii="仿宋" w:hAnsi="仿宋" w:eastAsia="仿宋" w:cs="仿宋"/>
          <w:color w:val="000000" w:themeColor="text1"/>
          <w:spacing w:val="11"/>
          <w:sz w:val="32"/>
          <w:szCs w:val="32"/>
          <w:lang w:val="en-US" w:eastAsia="zh-CN"/>
          <w14:textFill>
            <w14:solidFill>
              <w14:schemeClr w14:val="tx1"/>
            </w14:solidFill>
          </w14:textFill>
        </w:rPr>
        <w:t>数字技术应用</w:t>
      </w:r>
      <w:r>
        <w:rPr>
          <w:rFonts w:hint="eastAsia" w:ascii="仿宋" w:hAnsi="仿宋" w:eastAsia="仿宋" w:cs="仿宋"/>
          <w:color w:val="000000" w:themeColor="text1"/>
          <w:spacing w:val="11"/>
          <w:sz w:val="32"/>
          <w:szCs w:val="32"/>
          <w:lang w:val="en-US" w:eastAsia="zh-CN"/>
          <w14:textFill>
            <w14:solidFill>
              <w14:schemeClr w14:val="tx1"/>
            </w14:solidFill>
          </w14:textFill>
        </w:rPr>
        <w:t>。</w:t>
      </w:r>
      <w:bookmarkEnd w:id="40"/>
      <w:r>
        <w:rPr>
          <w:rFonts w:hint="eastAsia" w:ascii="仿宋" w:hAnsi="仿宋" w:eastAsia="仿宋" w:cs="仿宋"/>
          <w:color w:val="000000" w:themeColor="text1"/>
          <w:spacing w:val="17"/>
          <w:sz w:val="32"/>
          <w:szCs w:val="32"/>
          <w:lang w:val="en-US" w:eastAsia="zh-CN"/>
          <w14:textFill>
            <w14:solidFill>
              <w14:schemeClr w14:val="tx1"/>
            </w14:solidFill>
          </w14:textFill>
        </w:rPr>
        <w:t>着力推进</w:t>
      </w:r>
      <w:r>
        <w:rPr>
          <w:rFonts w:hint="default" w:ascii="仿宋" w:hAnsi="仿宋" w:eastAsia="仿宋" w:cs="仿宋"/>
          <w:color w:val="000000" w:themeColor="text1"/>
          <w:spacing w:val="17"/>
          <w:sz w:val="32"/>
          <w:szCs w:val="32"/>
          <w:lang w:val="en-US" w:eastAsia="zh-CN"/>
          <w14:textFill>
            <w14:solidFill>
              <w14:schemeClr w14:val="tx1"/>
            </w14:solidFill>
          </w14:textFill>
        </w:rPr>
        <w:t>制造服务业发展</w:t>
      </w:r>
      <w:r>
        <w:rPr>
          <w:rFonts w:hint="eastAsia" w:ascii="仿宋" w:hAnsi="仿宋" w:eastAsia="仿宋" w:cs="仿宋"/>
          <w:color w:val="000000" w:themeColor="text1"/>
          <w:spacing w:val="17"/>
          <w:sz w:val="32"/>
          <w:szCs w:val="32"/>
          <w:lang w:val="en-US" w:eastAsia="zh-CN"/>
          <w14:textFill>
            <w14:solidFill>
              <w14:schemeClr w14:val="tx1"/>
            </w14:solidFill>
          </w14:textFill>
        </w:rPr>
        <w:t>，大力发展大数据、云计算，人工智能和区块链等</w:t>
      </w:r>
      <w:r>
        <w:rPr>
          <w:rFonts w:hint="default" w:ascii="仿宋" w:hAnsi="仿宋" w:eastAsia="仿宋" w:cs="仿宋"/>
          <w:color w:val="000000" w:themeColor="text1"/>
          <w:spacing w:val="17"/>
          <w:sz w:val="32"/>
          <w:szCs w:val="32"/>
          <w:lang w:eastAsia="zh-CN"/>
          <w14:textFill>
            <w14:solidFill>
              <w14:schemeClr w14:val="tx1"/>
            </w14:solidFill>
          </w14:textFill>
        </w:rPr>
        <w:t>数字</w:t>
      </w:r>
      <w:r>
        <w:rPr>
          <w:rFonts w:hint="eastAsia" w:ascii="仿宋" w:hAnsi="仿宋" w:eastAsia="仿宋" w:cs="仿宋"/>
          <w:color w:val="000000" w:themeColor="text1"/>
          <w:spacing w:val="17"/>
          <w:sz w:val="32"/>
          <w:szCs w:val="32"/>
          <w:lang w:val="en-US" w:eastAsia="zh-CN"/>
          <w14:textFill>
            <w14:solidFill>
              <w14:schemeClr w14:val="tx1"/>
            </w14:solidFill>
          </w14:textFill>
        </w:rPr>
        <w:t>产业，推进电子信息产业园项目建设，引进培育数字经济龙头企业。着力</w:t>
      </w:r>
      <w:r>
        <w:rPr>
          <w:rFonts w:hint="default" w:ascii="仿宋" w:hAnsi="仿宋" w:eastAsia="仿宋" w:cs="仿宋"/>
          <w:color w:val="000000" w:themeColor="text1"/>
          <w:spacing w:val="17"/>
          <w:sz w:val="32"/>
          <w:szCs w:val="32"/>
          <w:lang w:val="en-US" w:eastAsia="zh-CN"/>
          <w14:textFill>
            <w14:solidFill>
              <w14:schemeClr w14:val="tx1"/>
            </w14:solidFill>
          </w14:textFill>
        </w:rPr>
        <w:t>推动生产性服务业数字化、专业化、规模化、高端化发展，推进现代物流、金融服务、创意设计、检验检测、商务服务、人力资源服务等数字化转型</w:t>
      </w:r>
      <w:r>
        <w:rPr>
          <w:rFonts w:hint="default" w:ascii="仿宋" w:hAnsi="仿宋" w:eastAsia="仿宋" w:cs="仿宋"/>
          <w:color w:val="000000" w:themeColor="text1"/>
          <w:spacing w:val="17"/>
          <w:sz w:val="32"/>
          <w:szCs w:val="32"/>
          <w:lang w:eastAsia="zh-CN"/>
          <w14:textFill>
            <w14:solidFill>
              <w14:schemeClr w14:val="tx1"/>
            </w14:solidFill>
          </w14:textFill>
        </w:rPr>
        <w:t>；</w:t>
      </w:r>
      <w:r>
        <w:rPr>
          <w:rFonts w:hint="default" w:ascii="仿宋" w:hAnsi="仿宋" w:eastAsia="仿宋" w:cs="仿宋"/>
          <w:color w:val="000000" w:themeColor="text1"/>
          <w:spacing w:val="17"/>
          <w:sz w:val="32"/>
          <w:szCs w:val="32"/>
          <w:lang w:val="en-US" w:eastAsia="zh-CN"/>
          <w14:textFill>
            <w14:solidFill>
              <w14:schemeClr w14:val="tx1"/>
            </w14:solidFill>
          </w14:textFill>
        </w:rPr>
        <w:t>加快数字技术、智能制造技术在生产性服务领域的全面应用，提高制造业产业链整体质量和水平。培育壮大制造服务业主体，加快建设一批集战略咨询、管理优化、解决方案创新、数字能力建设于一体的生产性服务业公共服务平台。</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深化生活服务业数字化转型。</w:t>
      </w:r>
      <w:r>
        <w:rPr>
          <w:rFonts w:hint="default" w:ascii="仿宋" w:hAnsi="仿宋" w:eastAsia="仿宋" w:cs="仿宋"/>
          <w:color w:val="000000" w:themeColor="text1"/>
          <w:spacing w:val="17"/>
          <w:sz w:val="32"/>
          <w:szCs w:val="32"/>
          <w:lang w:val="en-US" w:eastAsia="zh-CN"/>
          <w14:textFill>
            <w14:solidFill>
              <w14:schemeClr w14:val="tx1"/>
            </w14:solidFill>
          </w14:textFill>
        </w:rPr>
        <w:t>创新发展数字商贸、数字学习（教育）、数字文旅、数字健康、数字出行、数字养老、数字政务等新业态新模式，促进生活服务领域数字化。推进商业数字化转型，支持企业上云，推动线上线下双向融合</w:t>
      </w:r>
      <w:r>
        <w:rPr>
          <w:rFonts w:hint="default" w:ascii="仿宋" w:hAnsi="仿宋" w:eastAsia="仿宋" w:cs="仿宋"/>
          <w:color w:val="000000" w:themeColor="text1"/>
          <w:spacing w:val="17"/>
          <w:sz w:val="32"/>
          <w:szCs w:val="32"/>
          <w:lang w:eastAsia="zh-CN"/>
          <w14:textFill>
            <w14:solidFill>
              <w14:schemeClr w14:val="tx1"/>
            </w14:solidFill>
          </w14:textFill>
        </w:rPr>
        <w:t>；</w:t>
      </w:r>
      <w:r>
        <w:rPr>
          <w:rFonts w:hint="default" w:ascii="仿宋" w:hAnsi="仿宋" w:eastAsia="仿宋" w:cs="仿宋"/>
          <w:color w:val="000000" w:themeColor="text1"/>
          <w:spacing w:val="17"/>
          <w:sz w:val="32"/>
          <w:szCs w:val="32"/>
          <w:lang w:val="en-US" w:eastAsia="zh-CN"/>
          <w14:textFill>
            <w14:solidFill>
              <w14:schemeClr w14:val="tx1"/>
            </w14:solidFill>
          </w14:textFill>
        </w:rPr>
        <w:t>鼓励各类店铺借助数字终端产品推进数字化。</w:t>
      </w:r>
      <w:r>
        <w:rPr>
          <w:rFonts w:hint="default" w:ascii="仿宋" w:hAnsi="仿宋" w:eastAsia="仿宋" w:cs="仿宋"/>
          <w:color w:val="000000" w:themeColor="text1"/>
          <w:spacing w:val="17"/>
          <w:sz w:val="32"/>
          <w:szCs w:val="32"/>
          <w:lang w:eastAsia="zh-CN"/>
          <w14:textFill>
            <w14:solidFill>
              <w14:schemeClr w14:val="tx1"/>
            </w14:solidFill>
          </w14:textFill>
        </w:rPr>
        <w:t>丰富</w:t>
      </w:r>
      <w:r>
        <w:rPr>
          <w:rFonts w:hint="default" w:ascii="仿宋" w:hAnsi="仿宋" w:eastAsia="仿宋" w:cs="仿宋"/>
          <w:color w:val="000000" w:themeColor="text1"/>
          <w:spacing w:val="17"/>
          <w:sz w:val="32"/>
          <w:szCs w:val="32"/>
          <w:lang w:val="en-US" w:eastAsia="zh-CN"/>
          <w14:textFill>
            <w14:solidFill>
              <w14:schemeClr w14:val="tx1"/>
            </w14:solidFill>
          </w14:textFill>
        </w:rPr>
        <w:t>智能化、交互式在线教育模式，大力推广网上学校、网上教研、网上家长等各类教学应用，构建</w:t>
      </w:r>
      <w:r>
        <w:rPr>
          <w:rFonts w:hint="eastAsia" w:ascii="仿宋" w:hAnsi="仿宋" w:eastAsia="仿宋" w:cs="仿宋"/>
          <w:color w:val="000000" w:themeColor="text1"/>
          <w:spacing w:val="17"/>
          <w:sz w:val="32"/>
          <w:szCs w:val="32"/>
          <w:lang w:val="en-US" w:eastAsia="zh-CN"/>
          <w14:textFill>
            <w14:solidFill>
              <w14:schemeClr w14:val="tx1"/>
            </w14:solidFill>
          </w14:textFill>
        </w:rPr>
        <w:t>“</w:t>
      </w:r>
      <w:r>
        <w:rPr>
          <w:rFonts w:hint="default" w:ascii="仿宋" w:hAnsi="仿宋" w:eastAsia="仿宋" w:cs="仿宋"/>
          <w:color w:val="000000" w:themeColor="text1"/>
          <w:spacing w:val="17"/>
          <w:sz w:val="32"/>
          <w:szCs w:val="32"/>
          <w:lang w:val="en-US" w:eastAsia="zh-CN"/>
          <w14:textFill>
            <w14:solidFill>
              <w14:schemeClr w14:val="tx1"/>
            </w14:solidFill>
          </w14:textFill>
        </w:rPr>
        <w:t>互联网+教育</w:t>
      </w:r>
      <w:r>
        <w:rPr>
          <w:rFonts w:hint="eastAsia" w:ascii="仿宋" w:hAnsi="仿宋" w:eastAsia="仿宋" w:cs="仿宋"/>
          <w:color w:val="000000" w:themeColor="text1"/>
          <w:spacing w:val="17"/>
          <w:sz w:val="32"/>
          <w:szCs w:val="32"/>
          <w:lang w:val="en-US" w:eastAsia="zh-CN"/>
          <w14:textFill>
            <w14:solidFill>
              <w14:schemeClr w14:val="tx1"/>
            </w14:solidFill>
          </w14:textFill>
        </w:rPr>
        <w:t>”</w:t>
      </w:r>
      <w:r>
        <w:rPr>
          <w:rFonts w:hint="default" w:ascii="仿宋" w:hAnsi="仿宋" w:eastAsia="仿宋" w:cs="仿宋"/>
          <w:color w:val="000000" w:themeColor="text1"/>
          <w:spacing w:val="17"/>
          <w:sz w:val="32"/>
          <w:szCs w:val="32"/>
          <w:lang w:val="en-US" w:eastAsia="zh-CN"/>
          <w14:textFill>
            <w14:solidFill>
              <w14:schemeClr w14:val="tx1"/>
            </w14:solidFill>
          </w14:textFill>
        </w:rPr>
        <w:t>一站式服务平台。发展在线服务消费、无接触配送、无人零售等消费新业态新模式，支持餐饮、家政等生活性服务业数字化转型。</w:t>
      </w:r>
      <w:r>
        <w:rPr>
          <w:rFonts w:hint="default" w:ascii="仿宋" w:hAnsi="仿宋" w:eastAsia="仿宋" w:cs="仿宋"/>
          <w:color w:val="000000" w:themeColor="text1"/>
          <w:spacing w:val="17"/>
          <w:sz w:val="32"/>
          <w:szCs w:val="32"/>
          <w:lang w:eastAsia="zh-CN"/>
          <w14:textFill>
            <w14:solidFill>
              <w14:schemeClr w14:val="tx1"/>
            </w14:solidFill>
          </w14:textFill>
        </w:rPr>
        <w:t>依托</w:t>
      </w:r>
      <w:r>
        <w:rPr>
          <w:rFonts w:hint="default" w:ascii="仿宋" w:hAnsi="仿宋" w:eastAsia="仿宋" w:cs="仿宋"/>
          <w:color w:val="000000" w:themeColor="text1"/>
          <w:spacing w:val="17"/>
          <w:sz w:val="32"/>
          <w:szCs w:val="32"/>
          <w:lang w:val="en-US" w:eastAsia="zh-CN"/>
          <w14:textFill>
            <w14:solidFill>
              <w14:schemeClr w14:val="tx1"/>
            </w14:solidFill>
          </w14:textFill>
        </w:rPr>
        <w:t>互联网技术搭建跨境电商平台，支持开设跨境电商线下体验店，扩大以跨境电商为</w:t>
      </w:r>
      <w:r>
        <w:rPr>
          <w:rFonts w:hint="default" w:ascii="仿宋" w:hAnsi="仿宋" w:eastAsia="仿宋" w:cs="仿宋"/>
          <w:color w:val="000000" w:themeColor="text1"/>
          <w:spacing w:val="17"/>
          <w:sz w:val="32"/>
          <w:szCs w:val="32"/>
          <w:lang w:eastAsia="zh-CN"/>
          <w14:textFill>
            <w14:solidFill>
              <w14:schemeClr w14:val="tx1"/>
            </w14:solidFill>
          </w14:textFill>
        </w:rPr>
        <w:t>渠道</w:t>
      </w:r>
      <w:r>
        <w:rPr>
          <w:rFonts w:hint="default" w:ascii="仿宋" w:hAnsi="仿宋" w:eastAsia="仿宋" w:cs="仿宋"/>
          <w:color w:val="000000" w:themeColor="text1"/>
          <w:spacing w:val="17"/>
          <w:sz w:val="32"/>
          <w:szCs w:val="32"/>
          <w:lang w:val="en-US" w:eastAsia="zh-CN"/>
          <w14:textFill>
            <w14:solidFill>
              <w14:schemeClr w14:val="tx1"/>
            </w14:solidFill>
          </w14:textFill>
        </w:rPr>
        <w:t>的优质消费品进口。</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eastAsia" w:ascii="仿宋" w:hAnsi="仿宋" w:eastAsia="仿宋" w:cs="仿宋"/>
          <w:color w:val="000000" w:themeColor="text1"/>
          <w:spacing w:val="11"/>
          <w:sz w:val="32"/>
          <w:szCs w:val="32"/>
          <w:lang w:val="en-US" w:eastAsia="zh-CN"/>
          <w14:textFill>
            <w14:solidFill>
              <w14:schemeClr w14:val="tx1"/>
            </w14:solidFill>
          </w14:textFill>
        </w:rPr>
        <w:t>深入建设数字平台优化服务供给。</w:t>
      </w:r>
      <w:r>
        <w:rPr>
          <w:rFonts w:hint="default" w:ascii="仿宋" w:hAnsi="仿宋" w:eastAsia="仿宋" w:cs="仿宋"/>
          <w:color w:val="000000" w:themeColor="text1"/>
          <w:spacing w:val="11"/>
          <w:sz w:val="32"/>
          <w:szCs w:val="32"/>
          <w:lang w:eastAsia="zh-CN"/>
          <w14:textFill>
            <w14:solidFill>
              <w14:schemeClr w14:val="tx1"/>
            </w14:solidFill>
          </w14:textFill>
        </w:rPr>
        <w:t>顺应</w:t>
      </w:r>
      <w:r>
        <w:rPr>
          <w:rFonts w:hint="eastAsia" w:ascii="仿宋" w:hAnsi="仿宋" w:eastAsia="仿宋" w:cs="仿宋"/>
          <w:color w:val="000000" w:themeColor="text1"/>
          <w:spacing w:val="11"/>
          <w:sz w:val="32"/>
          <w:szCs w:val="32"/>
          <w:lang w:val="en-US" w:eastAsia="zh-CN"/>
          <w14:textFill>
            <w14:solidFill>
              <w14:schemeClr w14:val="tx1"/>
            </w14:solidFill>
          </w14:textFill>
        </w:rPr>
        <w:t>消费数字化、品质化、个性化、多元化趋势，完善“互联网+”消费生态体系，推动传统零售、传统服务和电商资源融合，加快建设智慧商超、智慧街区、智慧商圈和智慧体验馆，大力发展无接触配送、无人零售、直播电商等消费新方式，促进线上线下互动、商旅文体协同。鼓励数字化社会资本进入服务消费领域，促进家政、康养、托育、文旅、培训、体育等服务提质扩容。</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9118" w:type="dxa"/>
            <w:vAlign w:val="center"/>
          </w:tcPr>
          <w:p>
            <w:pPr>
              <w:keepNext w:val="0"/>
              <w:keepLines w:val="0"/>
              <w:pageBreakBefore w:val="0"/>
              <w:widowControl w:val="0"/>
              <w:numPr>
                <w:ilvl w:val="0"/>
                <w:numId w:val="0"/>
              </w:numPr>
              <w:tabs>
                <w:tab w:val="left" w:pos="1440"/>
              </w:tabs>
              <w:kinsoku/>
              <w:wordWrap/>
              <w:overflowPunct/>
              <w:topLinePunct/>
              <w:autoSpaceDN/>
              <w:bidi w:val="0"/>
              <w:adjustRightInd/>
              <w:snapToGrid/>
              <w:spacing w:line="560" w:lineRule="exact"/>
              <w:jc w:val="center"/>
              <w:textAlignment w:val="auto"/>
              <w:rPr>
                <w:rFonts w:hint="default" w:ascii="Times New Roman" w:hAnsi="Times New Roman" w:eastAsia="仿宋_GB2312" w:cs="Times New Roman"/>
                <w:b w:val="0"/>
                <w:bCs w:val="0"/>
                <w:color w:val="000000" w:themeColor="text1"/>
                <w:kern w:val="2"/>
                <w:sz w:val="32"/>
                <w:szCs w:val="22"/>
                <w:vertAlign w:val="baseline"/>
                <w:lang w:val="en-US" w:eastAsia="zh-CN" w:bidi="ar-SA"/>
                <w14:textFill>
                  <w14:solidFill>
                    <w14:schemeClr w14:val="tx1"/>
                  </w14:solidFill>
                </w14:textFill>
              </w:rPr>
            </w:pPr>
            <w:r>
              <w:rPr>
                <w:rFonts w:hint="eastAsia" w:ascii="黑体" w:hAnsi="黑体" w:eastAsia="黑体" w:cs="黑体"/>
                <w:b w:val="0"/>
                <w:bCs w:val="0"/>
                <w:color w:val="000000" w:themeColor="text1"/>
                <w:sz w:val="28"/>
                <w:szCs w:val="28"/>
                <w:highlight w:val="none"/>
                <w14:textFill>
                  <w14:solidFill>
                    <w14:schemeClr w14:val="tx1"/>
                  </w14:solidFill>
                </w14:textFill>
              </w:rPr>
              <w:t>专栏</w:t>
            </w: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7  数字赋能提升行动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6" w:hRule="atLeast"/>
        </w:trPr>
        <w:tc>
          <w:tcPr>
            <w:tcW w:w="9118" w:type="dxa"/>
            <w:vAlign w:val="center"/>
          </w:tcPr>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1.加快生产性服务数字化。推动公路、铁路、邮政、城市道路等基础设施智能化升级</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提升物流行业智慧化水平，推广应用物流机器人，搭建深度感知智能仓储管理系统，发展智能仓储、智能安检、智能调度、智能配送、智能冷链。积极发展大数据金融、人工智能金融、区块链金融和量化金融，创新金融产品和服务。</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Times New Roman" w:hAnsi="Times New Roman" w:eastAsia="仿宋_GB2312" w:cs="Times New Roman"/>
                <w:b w:val="0"/>
                <w:bCs w:val="0"/>
                <w:color w:val="000000" w:themeColor="text1"/>
                <w:kern w:val="2"/>
                <w:sz w:val="32"/>
                <w:szCs w:val="22"/>
                <w:vertAlign w:val="baseline"/>
                <w:lang w:val="en-US" w:eastAsia="zh-CN" w:bidi="ar-SA"/>
                <w14:textFill>
                  <w14:solidFill>
                    <w14:schemeClr w14:val="tx1"/>
                  </w14:solidFill>
                </w14:textFill>
              </w:rPr>
            </w:pP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2.推动生活性服务业场景应用。加快传统服务业态智慧化改造，支持文化旅游资源和景区数字化、智能化升级，建设全域旅游数字服务平台。发展开放式教育培训云服务，建设</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互联网+教育</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一站式服务平台和智慧教育学校。建立面向县、乡、村的远程医疗和教育平台</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实现</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跨区域提供远程医疗、</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线上</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医学教育等。鼓励发展</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云体验消费</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、无接触消费、循环消费、直播带货等，支持实体商业提供</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线上+线下</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到店+到家</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服务，培育发展</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网上菜场</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网上餐厅</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网上超市</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网上商场</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等，打造新零售智慧商圈（街区）。</w:t>
            </w:r>
          </w:p>
        </w:tc>
      </w:tr>
    </w:tbl>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楷体" w:hAnsi="楷体" w:eastAsia="楷体" w:cs="楷体"/>
          <w:color w:val="000000" w:themeColor="text1"/>
          <w:spacing w:val="11"/>
          <w:sz w:val="32"/>
          <w:szCs w:val="32"/>
          <w:lang w:val="en-US" w:eastAsia="zh-CN"/>
          <w14:textFill>
            <w14:solidFill>
              <w14:schemeClr w14:val="tx1"/>
            </w14:solidFill>
          </w14:textFill>
        </w:rPr>
      </w:pPr>
      <w:bookmarkStart w:id="41" w:name="_Toc15263"/>
      <w:bookmarkStart w:id="42" w:name="_Toc19728"/>
      <w:bookmarkStart w:id="43" w:name="_Toc18952"/>
      <w:r>
        <w:rPr>
          <w:rFonts w:hint="eastAsia" w:ascii="楷体" w:hAnsi="楷体" w:eastAsia="楷体" w:cs="楷体"/>
          <w:color w:val="000000" w:themeColor="text1"/>
          <w:spacing w:val="11"/>
          <w:sz w:val="32"/>
          <w:szCs w:val="32"/>
          <w:lang w:val="en-US" w:eastAsia="zh-CN"/>
          <w14:textFill>
            <w14:solidFill>
              <w14:schemeClr w14:val="tx1"/>
            </w14:solidFill>
          </w14:textFill>
        </w:rPr>
        <w:t>（二）产业融合促进</w:t>
      </w:r>
      <w:bookmarkEnd w:id="41"/>
      <w:bookmarkEnd w:id="42"/>
      <w:r>
        <w:rPr>
          <w:rFonts w:hint="eastAsia" w:ascii="楷体" w:hAnsi="楷体" w:eastAsia="楷体" w:cs="楷体"/>
          <w:color w:val="000000" w:themeColor="text1"/>
          <w:spacing w:val="11"/>
          <w:sz w:val="32"/>
          <w:szCs w:val="32"/>
          <w:lang w:val="en-US" w:eastAsia="zh-CN"/>
          <w14:textFill>
            <w14:solidFill>
              <w14:schemeClr w14:val="tx1"/>
            </w14:solidFill>
          </w14:textFill>
        </w:rPr>
        <w:t>行动。</w:t>
      </w:r>
      <w:bookmarkEnd w:id="43"/>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eastAsia"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推动先进制造业和现代服务业双向深度融合。</w:t>
      </w:r>
      <w:r>
        <w:rPr>
          <w:rFonts w:hint="eastAsia" w:ascii="仿宋" w:hAnsi="仿宋" w:eastAsia="仿宋" w:cs="仿宋"/>
          <w:color w:val="000000" w:themeColor="text1"/>
          <w:spacing w:val="11"/>
          <w:sz w:val="32"/>
          <w:szCs w:val="32"/>
          <w:lang w:val="en-US" w:eastAsia="zh-CN"/>
          <w14:textFill>
            <w14:solidFill>
              <w14:schemeClr w14:val="tx1"/>
            </w14:solidFill>
          </w14:textFill>
        </w:rPr>
        <w:t>以高端制造业发展和制造业数字化改造需求为引导，推进制造业企业</w:t>
      </w:r>
      <w:r>
        <w:rPr>
          <w:rFonts w:hint="default" w:ascii="仿宋" w:hAnsi="仿宋" w:eastAsia="仿宋" w:cs="仿宋"/>
          <w:color w:val="000000" w:themeColor="text1"/>
          <w:spacing w:val="11"/>
          <w:sz w:val="32"/>
          <w:szCs w:val="32"/>
          <w:lang w:val="en-US" w:eastAsia="zh-CN"/>
          <w14:textFill>
            <w14:solidFill>
              <w14:schemeClr w14:val="tx1"/>
            </w14:solidFill>
          </w14:textFill>
        </w:rPr>
        <w:t>向</w:t>
      </w:r>
      <w:r>
        <w:rPr>
          <w:rFonts w:hint="eastAsia" w:ascii="仿宋" w:hAnsi="仿宋" w:eastAsia="仿宋" w:cs="仿宋"/>
          <w:color w:val="000000" w:themeColor="text1"/>
          <w:spacing w:val="11"/>
          <w:sz w:val="32"/>
          <w:szCs w:val="32"/>
          <w:lang w:val="en-US" w:eastAsia="zh-CN"/>
          <w14:textFill>
            <w14:solidFill>
              <w14:schemeClr w14:val="tx1"/>
            </w14:solidFill>
          </w14:textFill>
        </w:rPr>
        <w:t>产业智慧化和制造业服务化</w:t>
      </w:r>
      <w:r>
        <w:rPr>
          <w:rFonts w:hint="default" w:ascii="仿宋" w:hAnsi="仿宋" w:eastAsia="仿宋" w:cs="仿宋"/>
          <w:color w:val="000000" w:themeColor="text1"/>
          <w:spacing w:val="11"/>
          <w:sz w:val="32"/>
          <w:szCs w:val="32"/>
          <w:lang w:val="en-US" w:eastAsia="zh-CN"/>
          <w14:textFill>
            <w14:solidFill>
              <w14:schemeClr w14:val="tx1"/>
            </w14:solidFill>
          </w14:textFill>
        </w:rPr>
        <w:t>转型</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大力发展全产业链工业设计、现代供应链管理、个性化定制服务、产品全生命周期管理、绿色低碳服务等，</w:t>
      </w:r>
      <w:r>
        <w:rPr>
          <w:rFonts w:hint="eastAsia" w:ascii="仿宋" w:hAnsi="仿宋" w:eastAsia="仿宋" w:cs="仿宋"/>
          <w:color w:val="000000" w:themeColor="text1"/>
          <w:spacing w:val="11"/>
          <w:sz w:val="32"/>
          <w:szCs w:val="32"/>
          <w:lang w:val="en-US" w:eastAsia="zh-CN"/>
          <w14:textFill>
            <w14:solidFill>
              <w14:schemeClr w14:val="tx1"/>
            </w14:solidFill>
          </w14:textFill>
        </w:rPr>
        <w:t>全力补齐专业化生产服务短板，拓展衍生价值链</w:t>
      </w:r>
      <w:r>
        <w:rPr>
          <w:rFonts w:hint="default" w:ascii="仿宋" w:hAnsi="仿宋" w:eastAsia="仿宋" w:cs="仿宋"/>
          <w:color w:val="000000" w:themeColor="text1"/>
          <w:spacing w:val="11"/>
          <w:sz w:val="32"/>
          <w:szCs w:val="32"/>
          <w:lang w:val="en-US" w:eastAsia="zh-CN"/>
          <w14:textFill>
            <w14:solidFill>
              <w14:schemeClr w14:val="tx1"/>
            </w14:solidFill>
          </w14:textFill>
        </w:rPr>
        <w:t>。以先进制造业开发区为依托，打造一批服务共性需求的生产性服务业公共平台，支持服务业企业向制造领域拓展，推动资源高效利用和价值共享。</w:t>
      </w:r>
      <w:r>
        <w:rPr>
          <w:rFonts w:hint="eastAsia" w:ascii="仿宋" w:hAnsi="仿宋" w:eastAsia="仿宋" w:cs="仿宋"/>
          <w:color w:val="000000" w:themeColor="text1"/>
          <w:spacing w:val="11"/>
          <w:sz w:val="32"/>
          <w:szCs w:val="32"/>
          <w:lang w:val="en-US" w:eastAsia="zh-CN"/>
          <w14:textFill>
            <w14:solidFill>
              <w14:schemeClr w14:val="tx1"/>
            </w14:solidFill>
          </w14:textFill>
        </w:rPr>
        <w:t>高标准推进先进制造业和现代服务业融合发展试点，力争到2030年</w:t>
      </w:r>
      <w:r>
        <w:rPr>
          <w:rFonts w:hint="default" w:ascii="仿宋" w:hAnsi="仿宋" w:eastAsia="仿宋" w:cs="仿宋"/>
          <w:color w:val="000000" w:themeColor="text1"/>
          <w:spacing w:val="11"/>
          <w:sz w:val="32"/>
          <w:szCs w:val="32"/>
          <w:lang w:val="en-US" w:eastAsia="zh-CN"/>
          <w14:textFill>
            <w14:solidFill>
              <w14:schemeClr w14:val="tx1"/>
            </w14:solidFill>
          </w14:textFill>
        </w:rPr>
        <w:t>培育</w:t>
      </w:r>
      <w:r>
        <w:rPr>
          <w:rFonts w:hint="eastAsia" w:ascii="仿宋" w:hAnsi="仿宋" w:eastAsia="仿宋" w:cs="仿宋"/>
          <w:color w:val="000000" w:themeColor="text1"/>
          <w:spacing w:val="11"/>
          <w:sz w:val="32"/>
          <w:szCs w:val="32"/>
          <w:lang w:val="en-US" w:eastAsia="zh-CN"/>
          <w14:textFill>
            <w14:solidFill>
              <w14:schemeClr w14:val="tx1"/>
            </w14:solidFill>
          </w14:textFill>
        </w:rPr>
        <w:t>2</w:t>
      </w:r>
      <w:r>
        <w:rPr>
          <w:rFonts w:hint="default" w:ascii="仿宋" w:hAnsi="仿宋" w:eastAsia="仿宋" w:cs="仿宋"/>
          <w:color w:val="000000" w:themeColor="text1"/>
          <w:spacing w:val="11"/>
          <w:sz w:val="32"/>
          <w:szCs w:val="32"/>
          <w:lang w:val="en-US" w:eastAsia="zh-CN"/>
          <w14:textFill>
            <w14:solidFill>
              <w14:schemeClr w14:val="tx1"/>
            </w14:solidFill>
          </w14:textFill>
        </w:rPr>
        <w:t>-</w:t>
      </w:r>
      <w:r>
        <w:rPr>
          <w:rFonts w:hint="eastAsia" w:ascii="仿宋" w:hAnsi="仿宋" w:eastAsia="仿宋" w:cs="仿宋"/>
          <w:color w:val="000000" w:themeColor="text1"/>
          <w:spacing w:val="11"/>
          <w:sz w:val="32"/>
          <w:szCs w:val="32"/>
          <w:lang w:val="en-US" w:eastAsia="zh-CN"/>
          <w14:textFill>
            <w14:solidFill>
              <w14:schemeClr w14:val="tx1"/>
            </w14:solidFill>
          </w14:textFill>
        </w:rPr>
        <w:t>3</w:t>
      </w:r>
      <w:r>
        <w:rPr>
          <w:rFonts w:hint="default" w:ascii="仿宋" w:hAnsi="仿宋" w:eastAsia="仿宋" w:cs="仿宋"/>
          <w:color w:val="000000" w:themeColor="text1"/>
          <w:spacing w:val="11"/>
          <w:sz w:val="32"/>
          <w:szCs w:val="32"/>
          <w:lang w:val="en-US" w:eastAsia="zh-CN"/>
          <w14:textFill>
            <w14:solidFill>
              <w14:schemeClr w14:val="tx1"/>
            </w14:solidFill>
          </w14:textFill>
        </w:rPr>
        <w:t>个省级以上先进制造业和现代服务业融合发展试点。</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推动现代农业和现代服务业深度融合。</w:t>
      </w:r>
      <w:r>
        <w:rPr>
          <w:rFonts w:hint="eastAsia" w:ascii="仿宋" w:hAnsi="仿宋" w:eastAsia="仿宋" w:cs="仿宋"/>
          <w:color w:val="000000" w:themeColor="text1"/>
          <w:spacing w:val="11"/>
          <w:sz w:val="32"/>
          <w:szCs w:val="32"/>
          <w:lang w:val="en-US" w:eastAsia="zh-CN"/>
          <w14:textFill>
            <w14:solidFill>
              <w14:schemeClr w14:val="tx1"/>
            </w14:solidFill>
          </w14:textFill>
        </w:rPr>
        <w:t>突出农业、林业等资源与</w:t>
      </w:r>
      <w:r>
        <w:rPr>
          <w:rFonts w:hint="default" w:ascii="仿宋" w:hAnsi="仿宋" w:eastAsia="仿宋" w:cs="仿宋"/>
          <w:color w:val="000000" w:themeColor="text1"/>
          <w:spacing w:val="11"/>
          <w:sz w:val="32"/>
          <w:szCs w:val="32"/>
          <w:lang w:val="en-US" w:eastAsia="zh-CN"/>
          <w14:textFill>
            <w14:solidFill>
              <w14:schemeClr w14:val="tx1"/>
            </w14:solidFill>
          </w14:textFill>
        </w:rPr>
        <w:t>文化</w:t>
      </w:r>
      <w:r>
        <w:rPr>
          <w:rFonts w:hint="eastAsia" w:ascii="仿宋" w:hAnsi="仿宋" w:eastAsia="仿宋" w:cs="仿宋"/>
          <w:color w:val="000000" w:themeColor="text1"/>
          <w:spacing w:val="11"/>
          <w:sz w:val="32"/>
          <w:szCs w:val="32"/>
          <w:lang w:val="en-US" w:eastAsia="zh-CN"/>
          <w14:textFill>
            <w14:solidFill>
              <w14:schemeClr w14:val="tx1"/>
            </w14:solidFill>
          </w14:textFill>
        </w:rPr>
        <w:t>旅游的叠加效应，完善</w:t>
      </w:r>
      <w:r>
        <w:rPr>
          <w:rFonts w:hint="default" w:ascii="仿宋" w:hAnsi="仿宋" w:eastAsia="仿宋" w:cs="仿宋"/>
          <w:color w:val="000000" w:themeColor="text1"/>
          <w:spacing w:val="11"/>
          <w:sz w:val="32"/>
          <w:szCs w:val="32"/>
          <w:lang w:val="en-US" w:eastAsia="zh-CN"/>
          <w14:textFill>
            <w14:solidFill>
              <w14:schemeClr w14:val="tx1"/>
            </w14:solidFill>
          </w14:textFill>
        </w:rPr>
        <w:t>乡村旅游基础设施，</w:t>
      </w:r>
      <w:r>
        <w:rPr>
          <w:rFonts w:hint="eastAsia" w:ascii="仿宋" w:hAnsi="仿宋" w:eastAsia="仿宋" w:cs="仿宋"/>
          <w:color w:val="000000" w:themeColor="text1"/>
          <w:spacing w:val="11"/>
          <w:sz w:val="32"/>
          <w:szCs w:val="32"/>
          <w:lang w:val="en-US" w:eastAsia="zh-CN"/>
          <w14:textFill>
            <w14:solidFill>
              <w14:schemeClr w14:val="tx1"/>
            </w14:solidFill>
          </w14:textFill>
        </w:rPr>
        <w:t>大力发展农业生态游、民俗文化游、休闲度假游、中医药康养游和食品工业游，</w:t>
      </w:r>
      <w:r>
        <w:rPr>
          <w:rFonts w:hint="default" w:ascii="仿宋" w:hAnsi="仿宋" w:eastAsia="仿宋" w:cs="仿宋"/>
          <w:color w:val="000000" w:themeColor="text1"/>
          <w:spacing w:val="11"/>
          <w:sz w:val="32"/>
          <w:szCs w:val="32"/>
          <w:lang w:val="en-US" w:eastAsia="zh-CN"/>
          <w14:textFill>
            <w14:solidFill>
              <w14:schemeClr w14:val="tx1"/>
            </w14:solidFill>
          </w14:textFill>
        </w:rPr>
        <w:t>提升乡村旅游品质</w:t>
      </w:r>
      <w:r>
        <w:rPr>
          <w:rFonts w:hint="eastAsia" w:ascii="仿宋" w:hAnsi="仿宋" w:eastAsia="仿宋" w:cs="仿宋"/>
          <w:color w:val="000000" w:themeColor="text1"/>
          <w:spacing w:val="11"/>
          <w:sz w:val="32"/>
          <w:szCs w:val="32"/>
          <w:lang w:val="en-US" w:eastAsia="zh-CN"/>
          <w14:textFill>
            <w14:solidFill>
              <w14:schemeClr w14:val="tx1"/>
            </w14:solidFill>
          </w14:textFill>
        </w:rPr>
        <w:t>。依托农业资源优势，支持建设养老民宿和养老社区，积极发展康养农业、医养结合。</w:t>
      </w:r>
      <w:r>
        <w:rPr>
          <w:rFonts w:hint="default" w:ascii="仿宋" w:hAnsi="仿宋" w:eastAsia="仿宋" w:cs="仿宋"/>
          <w:color w:val="000000" w:themeColor="text1"/>
          <w:spacing w:val="11"/>
          <w:sz w:val="32"/>
          <w:szCs w:val="32"/>
          <w:lang w:val="en-US" w:eastAsia="zh-CN"/>
          <w14:textFill>
            <w14:solidFill>
              <w14:schemeClr w14:val="tx1"/>
            </w14:solidFill>
          </w14:textFill>
        </w:rPr>
        <w:t>加强农村物流节点建设，</w:t>
      </w:r>
      <w:r>
        <w:rPr>
          <w:rFonts w:hint="eastAsia" w:ascii="仿宋" w:hAnsi="仿宋" w:eastAsia="仿宋" w:cs="仿宋"/>
          <w:color w:val="000000" w:themeColor="text1"/>
          <w:spacing w:val="11"/>
          <w:sz w:val="32"/>
          <w:szCs w:val="32"/>
          <w:lang w:val="en-US" w:eastAsia="zh-CN"/>
          <w14:textFill>
            <w14:solidFill>
              <w14:schemeClr w14:val="tx1"/>
            </w14:solidFill>
          </w14:textFill>
        </w:rPr>
        <w:t>推</w:t>
      </w:r>
      <w:r>
        <w:rPr>
          <w:rFonts w:hint="default" w:ascii="仿宋" w:hAnsi="仿宋" w:eastAsia="仿宋" w:cs="仿宋"/>
          <w:color w:val="000000" w:themeColor="text1"/>
          <w:spacing w:val="11"/>
          <w:sz w:val="32"/>
          <w:szCs w:val="32"/>
          <w:lang w:val="en-US" w:eastAsia="zh-CN"/>
          <w14:textFill>
            <w14:solidFill>
              <w14:schemeClr w14:val="tx1"/>
            </w14:solidFill>
          </w14:textFill>
        </w:rPr>
        <w:t>动</w:t>
      </w:r>
      <w:r>
        <w:rPr>
          <w:rFonts w:hint="eastAsia" w:ascii="仿宋" w:hAnsi="仿宋" w:eastAsia="仿宋" w:cs="仿宋"/>
          <w:color w:val="000000" w:themeColor="text1"/>
          <w:spacing w:val="11"/>
          <w:sz w:val="32"/>
          <w:szCs w:val="32"/>
          <w:lang w:val="en-US" w:eastAsia="zh-CN"/>
          <w14:textFill>
            <w14:solidFill>
              <w14:schemeClr w14:val="tx1"/>
            </w14:solidFill>
          </w14:textFill>
        </w:rPr>
        <w:t>农批、农超、农企等产销对接</w:t>
      </w:r>
      <w:r>
        <w:rPr>
          <w:rFonts w:hint="default" w:ascii="仿宋" w:hAnsi="仿宋" w:eastAsia="仿宋" w:cs="仿宋"/>
          <w:color w:val="000000" w:themeColor="text1"/>
          <w:spacing w:val="11"/>
          <w:sz w:val="32"/>
          <w:szCs w:val="32"/>
          <w:lang w:val="en-US" w:eastAsia="zh-CN"/>
          <w14:textFill>
            <w14:solidFill>
              <w14:schemeClr w14:val="tx1"/>
            </w14:solidFill>
          </w14:textFill>
        </w:rPr>
        <w:t>，完善农村电商服务网点和农业信息服务网络，打通城市和农村双向贸易通道。推动农业大数据与金融科技相融合，创新金融支农产品和服务，积极发展农业保险。</w:t>
      </w:r>
    </w:p>
    <w:p>
      <w:pPr>
        <w:keepNext w:val="0"/>
        <w:keepLines w:val="0"/>
        <w:pageBreakBefore w:val="0"/>
        <w:widowControl w:val="0"/>
        <w:shd w:val="clear" w:fill="FFFFFF" w:themeFill="background1"/>
        <w:kinsoku/>
        <w:wordWrap/>
        <w:overflowPunct/>
        <w:topLinePunct w:val="0"/>
        <w:autoSpaceDE/>
        <w:autoSpaceDN/>
        <w:bidi w:val="0"/>
        <w:adjustRightInd/>
        <w:snapToGrid/>
        <w:spacing w:line="580" w:lineRule="exact"/>
        <w:ind w:firstLine="644" w:firstLineChars="200"/>
        <w:textAlignment w:val="auto"/>
        <w:rPr>
          <w:rFonts w:hint="default" w:ascii="仿宋" w:hAnsi="仿宋" w:eastAsia="仿宋" w:cs="仿宋"/>
          <w:color w:val="000000" w:themeColor="text1"/>
          <w:spacing w:val="11"/>
          <w:sz w:val="32"/>
          <w:szCs w:val="32"/>
          <w:lang w:val="en-US" w:eastAsia="zh-CN"/>
          <w14:textFill>
            <w14:solidFill>
              <w14:schemeClr w14:val="tx1"/>
            </w14:solidFill>
          </w14:textFill>
        </w:rPr>
      </w:pPr>
      <w:r>
        <w:rPr>
          <w:rFonts w:hint="default" w:ascii="仿宋" w:hAnsi="仿宋" w:eastAsia="仿宋" w:cs="仿宋"/>
          <w:color w:val="000000" w:themeColor="text1"/>
          <w:spacing w:val="11"/>
          <w:sz w:val="32"/>
          <w:szCs w:val="32"/>
          <w:lang w:val="en-US" w:eastAsia="zh-CN"/>
          <w14:textFill>
            <w14:solidFill>
              <w14:schemeClr w14:val="tx1"/>
            </w14:solidFill>
          </w14:textFill>
        </w:rPr>
        <w:t>加强服务业内部融合发展。顺应消费升级和产业升级趋势，加快促进</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物流+</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旅游+</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设计+</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养老+</w:t>
      </w:r>
      <w:r>
        <w:rPr>
          <w:rFonts w:hint="eastAsia" w:ascii="仿宋" w:hAnsi="仿宋" w:eastAsia="仿宋" w:cs="仿宋"/>
          <w:color w:val="000000" w:themeColor="text1"/>
          <w:spacing w:val="11"/>
          <w:sz w:val="32"/>
          <w:szCs w:val="32"/>
          <w:lang w:val="en-US"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等跨界融合发展</w:t>
      </w:r>
      <w:r>
        <w:rPr>
          <w:rFonts w:hint="default" w:ascii="仿宋" w:hAnsi="仿宋" w:eastAsia="仿宋" w:cs="仿宋"/>
          <w:color w:val="000000" w:themeColor="text1"/>
          <w:spacing w:val="11"/>
          <w:sz w:val="32"/>
          <w:szCs w:val="32"/>
          <w:lang w:eastAsia="zh-CN"/>
          <w14:textFill>
            <w14:solidFill>
              <w14:schemeClr w14:val="tx1"/>
            </w14:solidFill>
          </w14:textFill>
        </w:rPr>
        <w:t>；</w:t>
      </w:r>
      <w:r>
        <w:rPr>
          <w:rFonts w:hint="default" w:ascii="仿宋" w:hAnsi="仿宋" w:eastAsia="仿宋" w:cs="仿宋"/>
          <w:color w:val="000000" w:themeColor="text1"/>
          <w:spacing w:val="11"/>
          <w:sz w:val="32"/>
          <w:szCs w:val="32"/>
          <w:lang w:val="en-US" w:eastAsia="zh-CN"/>
          <w14:textFill>
            <w14:solidFill>
              <w14:schemeClr w14:val="tx1"/>
            </w14:solidFill>
          </w14:textFill>
        </w:rPr>
        <w:t>推动科技服务与金融服务、健康养老与医疗卫生、文化与旅游、物流运输与快递服务等领域互通融合。大力发展普惠金融，鼓励发展科技金融、绿色金融，规范发展互联网金融，提高金融服务实体经济效能。提升技术研发、品牌设计、商务咨询、市场营销等文化内涵，将更多的传统特色文化、民俗风情注入旅游休闲、健康养老、体育健身等产业，提升服务业附加值。</w:t>
      </w:r>
    </w:p>
    <w:p>
      <w:pPr>
        <w:pStyle w:val="2"/>
        <w:rPr>
          <w:rFonts w:hint="default"/>
          <w:lang w:val="en-US" w:eastAsia="zh-CN"/>
        </w:rPr>
      </w:pPr>
    </w:p>
    <w:tbl>
      <w:tblPr>
        <w:tblStyle w:val="20"/>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8945" w:type="dxa"/>
            <w:vAlign w:val="center"/>
          </w:tcPr>
          <w:p>
            <w:pPr>
              <w:keepNext w:val="0"/>
              <w:keepLines w:val="0"/>
              <w:pageBreakBefore w:val="0"/>
              <w:widowControl w:val="0"/>
              <w:numPr>
                <w:ilvl w:val="0"/>
                <w:numId w:val="0"/>
              </w:numPr>
              <w:tabs>
                <w:tab w:val="left" w:pos="1440"/>
              </w:tabs>
              <w:kinsoku/>
              <w:wordWrap/>
              <w:overflowPunct/>
              <w:topLinePunct/>
              <w:autoSpaceDN/>
              <w:bidi w:val="0"/>
              <w:adjustRightInd/>
              <w:snapToGrid/>
              <w:spacing w:line="560" w:lineRule="exact"/>
              <w:jc w:val="center"/>
              <w:textAlignment w:val="auto"/>
              <w:rPr>
                <w:rFonts w:hint="default" w:eastAsia="宋体"/>
                <w:b/>
                <w:color w:val="000000" w:themeColor="text1"/>
                <w:kern w:val="0"/>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专栏8  产业</w:t>
            </w:r>
            <w:r>
              <w:rPr>
                <w:rFonts w:hint="default" w:ascii="黑体" w:hAnsi="黑体" w:eastAsia="黑体" w:cs="黑体"/>
                <w:b w:val="0"/>
                <w:bCs w:val="0"/>
                <w:color w:val="000000" w:themeColor="text1"/>
                <w:sz w:val="28"/>
                <w:szCs w:val="28"/>
                <w:highlight w:val="none"/>
                <w:lang w:val="en-US" w:eastAsia="zh-CN"/>
                <w14:textFill>
                  <w14:solidFill>
                    <w14:schemeClr w14:val="tx1"/>
                  </w14:solidFill>
                </w14:textFill>
              </w:rPr>
              <w:t>融合发展重点工程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9" w:hRule="atLeast"/>
          <w:jc w:val="center"/>
        </w:trPr>
        <w:tc>
          <w:tcPr>
            <w:tcW w:w="8945" w:type="dxa"/>
            <w:vAlign w:val="center"/>
          </w:tcPr>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1.</w:t>
            </w:r>
            <w:r>
              <w:rPr>
                <w:rFonts w:hint="default" w:ascii="宋体" w:hAnsi="宋体" w:eastAsia="宋体" w:cs="宋体"/>
                <w:b/>
                <w:bCs/>
                <w:color w:val="000000" w:themeColor="text1"/>
                <w:kern w:val="0"/>
                <w:sz w:val="24"/>
                <w:szCs w:val="24"/>
                <w:lang w:val="en-US" w:eastAsia="zh-CN" w:bidi="ar-SA"/>
                <w14:textFill>
                  <w14:solidFill>
                    <w14:schemeClr w14:val="tx1"/>
                  </w14:solidFill>
                </w14:textFill>
              </w:rPr>
              <w:t>智能工厂建设工程</w:t>
            </w: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大力发展智能化解决方案服务，深化新一代信息技术、人工智能等应用，每年培育建设</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一批</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智能</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应用场景、智能车间、智能工厂。</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2.</w:t>
            </w:r>
            <w:r>
              <w:rPr>
                <w:rFonts w:hint="default" w:ascii="宋体" w:hAnsi="宋体" w:eastAsia="宋体" w:cs="宋体"/>
                <w:b/>
                <w:bCs/>
                <w:color w:val="000000" w:themeColor="text1"/>
                <w:kern w:val="0"/>
                <w:sz w:val="24"/>
                <w:szCs w:val="24"/>
                <w:lang w:val="en-US" w:eastAsia="zh-CN" w:bidi="ar-SA"/>
                <w14:textFill>
                  <w14:solidFill>
                    <w14:schemeClr w14:val="tx1"/>
                  </w14:solidFill>
                </w14:textFill>
              </w:rPr>
              <w:t>供应链管理优化工程</w:t>
            </w: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提升信息、物料、资金、产品等配置流通效率，推动设计、采购、制造、销售、消费信息交互和流程再造，深化企业供应链创新与应用试点，持续加强省级试点建设</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3.</w:t>
            </w:r>
            <w:r>
              <w:rPr>
                <w:rFonts w:hint="default" w:ascii="宋体" w:hAnsi="宋体" w:eastAsia="宋体" w:cs="宋体"/>
                <w:b/>
                <w:bCs/>
                <w:color w:val="000000" w:themeColor="text1"/>
                <w:kern w:val="0"/>
                <w:sz w:val="24"/>
                <w:szCs w:val="24"/>
                <w:lang w:val="en-US" w:eastAsia="zh-CN" w:bidi="ar-SA"/>
                <w14:textFill>
                  <w14:solidFill>
                    <w14:schemeClr w14:val="tx1"/>
                  </w14:solidFill>
                </w14:textFill>
              </w:rPr>
              <w:t>总集成总承包模式培育工程</w:t>
            </w: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引导先进制造、工程设计、建设施工等领域骨干企业发展个性化定制、运维管理、总集成承包等服务，开展全过程咨询服务试点，培育一批工程总承包强企</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4.</w:t>
            </w:r>
            <w:r>
              <w:rPr>
                <w:rFonts w:hint="default" w:ascii="宋体" w:hAnsi="宋体" w:eastAsia="宋体" w:cs="宋体"/>
                <w:b/>
                <w:bCs/>
                <w:color w:val="000000" w:themeColor="text1"/>
                <w:kern w:val="0"/>
                <w:sz w:val="24"/>
                <w:szCs w:val="24"/>
                <w:lang w:val="en-US" w:eastAsia="zh-CN" w:bidi="ar-SA"/>
                <w14:textFill>
                  <w14:solidFill>
                    <w14:schemeClr w14:val="tx1"/>
                  </w14:solidFill>
                </w14:textFill>
              </w:rPr>
              <w:t>服务衍生制造发展工程</w:t>
            </w: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引导电商、研发设计、文化创意“链主”型企业通过委托制造、品牌授权等方式向制造环节拓展</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5.</w:t>
            </w:r>
            <w:r>
              <w:rPr>
                <w:rFonts w:hint="default" w:ascii="宋体" w:hAnsi="宋体" w:eastAsia="宋体" w:cs="宋体"/>
                <w:b/>
                <w:bCs/>
                <w:color w:val="000000" w:themeColor="text1"/>
                <w:kern w:val="0"/>
                <w:sz w:val="24"/>
                <w:szCs w:val="24"/>
                <w:lang w:val="en-US" w:eastAsia="zh-CN" w:bidi="ar-SA"/>
                <w14:textFill>
                  <w14:solidFill>
                    <w14:schemeClr w14:val="tx1"/>
                  </w14:solidFill>
                </w14:textFill>
              </w:rPr>
              <w:t>工业文化旅游开发工程</w:t>
            </w: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支持有条件的工业遗产和企业、园区、基地加强工业遗产保护利用，利用老旧厂区、废弃矿山、工业设施开发文化创意基地、主题文化园区等工业旅游产品，加快</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一批重点文化旅游创意产业园</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建设。</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cs="楷体"/>
                <w:color w:val="000000" w:themeColor="text1"/>
                <w:kern w:val="0"/>
                <w:sz w:val="28"/>
                <w:szCs w:val="28"/>
                <w:lang w:val="en-US" w:eastAsia="zh-CN"/>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SA"/>
                <w14:textFill>
                  <w14:solidFill>
                    <w14:schemeClr w14:val="tx1"/>
                  </w14:solidFill>
                </w14:textFill>
              </w:rPr>
              <w:t>6.</w:t>
            </w:r>
            <w:r>
              <w:rPr>
                <w:rFonts w:hint="default" w:ascii="宋体" w:hAnsi="宋体" w:eastAsia="宋体" w:cs="宋体"/>
                <w:b/>
                <w:bCs/>
                <w:color w:val="000000" w:themeColor="text1"/>
                <w:kern w:val="0"/>
                <w:sz w:val="24"/>
                <w:szCs w:val="24"/>
                <w:lang w:val="en-US" w:eastAsia="zh-CN" w:bidi="ar-SA"/>
                <w14:textFill>
                  <w14:solidFill>
                    <w14:schemeClr w14:val="tx1"/>
                  </w14:solidFill>
                </w14:textFill>
              </w:rPr>
              <w:t>现代农业与服务业融合。</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依托乡村景观、历史文化等资源，大力发展乡村旅游等，做大农家乐和民宿经济，强化非物质文化遗产工艺与产品创意开发。支持</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各</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县积极发展农产品物流和农村电子商务。</w:t>
            </w:r>
          </w:p>
        </w:tc>
      </w:tr>
    </w:tbl>
    <w:p>
      <w:pPr>
        <w:keepNext w:val="0"/>
        <w:keepLines w:val="0"/>
        <w:pageBreakBefore w:val="0"/>
        <w:widowControl w:val="0"/>
        <w:kinsoku/>
        <w:wordWrap/>
        <w:overflowPunct/>
        <w:topLinePunct w:val="0"/>
        <w:autoSpaceDE/>
        <w:autoSpaceDN/>
        <w:bidi w:val="0"/>
        <w:adjustRightInd/>
        <w:snapToGrid/>
        <w:spacing w:line="610" w:lineRule="exact"/>
        <w:ind w:firstLine="644" w:firstLineChars="200"/>
        <w:jc w:val="both"/>
        <w:textAlignment w:val="auto"/>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pPr>
      <w:bookmarkStart w:id="44" w:name="_Toc17"/>
      <w:bookmarkStart w:id="45" w:name="_Toc31163"/>
      <w:bookmarkStart w:id="46" w:name="_Toc2061"/>
      <w:r>
        <w:rPr>
          <w:rFonts w:hint="eastAsia"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（三）消费扩容提质行动。</w:t>
      </w:r>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加快培育消费新热点。</w:t>
      </w:r>
      <w:r>
        <w:rPr>
          <w:rFonts w:hint="eastAsia" w:ascii="仿宋" w:hAnsi="仿宋" w:eastAsia="仿宋" w:cs="仿宋"/>
          <w:color w:val="000000" w:themeColor="text1"/>
          <w:spacing w:val="11"/>
          <w:sz w:val="32"/>
          <w:szCs w:val="32"/>
          <w14:textFill>
            <w14:solidFill>
              <w14:schemeClr w14:val="tx1"/>
            </w14:solidFill>
          </w14:textFill>
        </w:rPr>
        <w:t>积极挖掘文旅消费，推动“文旅+消费”融合，创新和丰富消费场景，提速推进嵖岈山生态旅游度假区、皇家驿站文旅综合体等文旅项目建设，因地制宜发展乡村旅游、精品民宿、休闲康养等新业态。</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加快构建“智能+”消费生态体系，深化大数据、人工智能等技术应用，丰富5G技术在教育、医疗、交通、零售、文化旅游等领域的应用场景</w:t>
      </w:r>
      <w:r>
        <w:rPr>
          <w:rFonts w:hint="default" w:ascii="仿宋" w:hAnsi="仿宋" w:eastAsia="仿宋" w:cs="仿宋"/>
          <w:b w:val="0"/>
          <w:bCs w:val="0"/>
          <w:color w:val="000000" w:themeColor="text1"/>
          <w:spacing w:val="11"/>
          <w:kern w:val="2"/>
          <w:sz w:val="32"/>
          <w:szCs w:val="22"/>
          <w:highlight w:val="none"/>
          <w:lang w:eastAsia="zh-CN" w:bidi="ar-SA"/>
          <w14:textFill>
            <w14:solidFill>
              <w14:schemeClr w14:val="tx1"/>
            </w14:solidFill>
          </w14:textFill>
        </w:rPr>
        <w:t>；</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带动5G手机、VR产品等终端消费，培育定制消费、智能消费、信息消费、时尚消费等消费新模式。加快夜市街区建设，提升皇家驿站省级夜间文化旅游消费集聚区功能，大力发展“网红经济”“夜间经济”，推进文旅休闲消费提质升级，</w:t>
      </w:r>
      <w:r>
        <w:rPr>
          <w:rFonts w:hint="eastAsia" w:ascii="仿宋" w:hAnsi="仿宋" w:eastAsia="仿宋" w:cs="仿宋"/>
          <w:color w:val="000000" w:themeColor="text1"/>
          <w:spacing w:val="11"/>
          <w:sz w:val="32"/>
          <w:szCs w:val="32"/>
          <w14:textFill>
            <w14:solidFill>
              <w14:schemeClr w14:val="tx1"/>
            </w14:solidFill>
          </w14:textFill>
        </w:rPr>
        <w:t>引导夜间文化和旅游消费集聚区丰富文旅业态，举办民俗演艺、灯会庙会、光影秀等活动</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巩固提升传统消费。</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以汽车换代升级、智慧家电产品供给</w:t>
      </w:r>
      <w:r>
        <w:rPr>
          <w:rFonts w:hint="default" w:ascii="仿宋" w:hAnsi="仿宋" w:eastAsia="仿宋" w:cs="仿宋"/>
          <w:b w:val="0"/>
          <w:bCs w:val="0"/>
          <w:color w:val="000000" w:themeColor="text1"/>
          <w:spacing w:val="11"/>
          <w:kern w:val="2"/>
          <w:sz w:val="32"/>
          <w:szCs w:val="22"/>
          <w:highlight w:val="none"/>
          <w:lang w:eastAsia="zh-CN" w:bidi="ar-SA"/>
          <w14:textFill>
            <w14:solidFill>
              <w14:schemeClr w14:val="tx1"/>
            </w14:solidFill>
          </w14:textFill>
        </w:rPr>
        <w:t>为</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重点</w:t>
      </w:r>
      <w:r>
        <w:rPr>
          <w:rFonts w:hint="eastAsia" w:ascii="仿宋" w:hAnsi="仿宋" w:eastAsia="仿宋" w:cs="仿宋"/>
          <w:b w:val="0"/>
          <w:bCs w:val="0"/>
          <w:color w:val="000000" w:themeColor="text1"/>
          <w:spacing w:val="11"/>
          <w:sz w:val="32"/>
          <w:szCs w:val="22"/>
          <w:lang w:val="en-US" w:eastAsia="zh-CN"/>
          <w14:textFill>
            <w14:solidFill>
              <w14:schemeClr w14:val="tx1"/>
            </w14:solidFill>
          </w14:textFill>
        </w:rPr>
        <w:t>，</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持续推出</w:t>
      </w:r>
      <w:r>
        <w:rPr>
          <w:rFonts w:hint="eastAsia" w:ascii="仿宋" w:hAnsi="仿宋" w:eastAsia="仿宋" w:cs="仿宋"/>
          <w:color w:val="000000" w:themeColor="text1"/>
          <w:spacing w:val="11"/>
          <w:sz w:val="32"/>
          <w:szCs w:val="32"/>
          <w14:textFill>
            <w14:solidFill>
              <w14:schemeClr w14:val="tx1"/>
            </w14:solidFill>
          </w14:textFill>
        </w:rPr>
        <w:t>消费品以旧换新、电子消费券发放</w:t>
      </w:r>
      <w:r>
        <w:rPr>
          <w:rFonts w:hint="eastAsia" w:ascii="仿宋" w:hAnsi="仿宋" w:eastAsia="仿宋" w:cs="仿宋"/>
          <w:color w:val="000000" w:themeColor="text1"/>
          <w:spacing w:val="11"/>
          <w:sz w:val="32"/>
          <w:szCs w:val="32"/>
          <w:lang w:val="en-US" w:eastAsia="zh-CN"/>
          <w14:textFill>
            <w14:solidFill>
              <w14:schemeClr w14:val="tx1"/>
            </w14:solidFill>
          </w14:textFill>
        </w:rPr>
        <w:t>等</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促消费优惠措施，稳定提升传统大宗消费。</w:t>
      </w:r>
      <w:r>
        <w:rPr>
          <w:rFonts w:hint="eastAsia" w:ascii="仿宋" w:hAnsi="仿宋" w:eastAsia="仿宋" w:cs="仿宋"/>
          <w:color w:val="000000" w:themeColor="text1"/>
          <w:spacing w:val="11"/>
          <w:sz w:val="32"/>
          <w:szCs w:val="32"/>
          <w14:textFill>
            <w14:solidFill>
              <w14:schemeClr w14:val="tx1"/>
            </w14:solidFill>
          </w14:textFill>
        </w:rPr>
        <w:t>实施城市商业提质行动，</w:t>
      </w:r>
      <w:r>
        <w:rPr>
          <w:rFonts w:hint="eastAsia" w:ascii="仿宋" w:hAnsi="仿宋" w:eastAsia="仿宋" w:cs="仿宋"/>
          <w:b w:val="0"/>
          <w:bCs w:val="0"/>
          <w:color w:val="000000" w:themeColor="text1"/>
          <w:spacing w:val="11"/>
          <w:sz w:val="32"/>
          <w:szCs w:val="32"/>
          <w:lang w:eastAsia="zh-CN"/>
          <w14:textFill>
            <w14:solidFill>
              <w14:schemeClr w14:val="tx1"/>
            </w14:solidFill>
          </w14:textFill>
        </w:rPr>
        <w:t>推动传统百货等实体店改造成新型商业场所，</w:t>
      </w:r>
      <w:r>
        <w:rPr>
          <w:rFonts w:hint="eastAsia" w:ascii="仿宋" w:hAnsi="仿宋" w:eastAsia="仿宋" w:cs="仿宋"/>
          <w:color w:val="000000" w:themeColor="text1"/>
          <w:spacing w:val="11"/>
          <w:sz w:val="32"/>
          <w:szCs w:val="32"/>
          <w14:textFill>
            <w14:solidFill>
              <w14:schemeClr w14:val="tx1"/>
            </w14:solidFill>
          </w14:textFill>
        </w:rPr>
        <w:t>构建以示范步行街（商圈）为引领，特色商业街区为支撑，一刻钟便民生活圈为基础的城市商业格局</w:t>
      </w:r>
      <w:r>
        <w:rPr>
          <w:rFonts w:hint="eastAsia" w:ascii="仿宋" w:hAnsi="仿宋" w:eastAsia="仿宋" w:cs="仿宋"/>
          <w:color w:val="000000" w:themeColor="text1"/>
          <w:spacing w:val="11"/>
          <w:sz w:val="32"/>
          <w:szCs w:val="32"/>
          <w:lang w:eastAsia="zh-CN"/>
          <w14:textFill>
            <w14:solidFill>
              <w14:schemeClr w14:val="tx1"/>
            </w14:solidFill>
          </w14:textFill>
        </w:rPr>
        <w:t>；</w:t>
      </w:r>
      <w:r>
        <w:rPr>
          <w:rFonts w:hint="eastAsia" w:ascii="仿宋" w:hAnsi="仿宋" w:eastAsia="仿宋" w:cs="仿宋"/>
          <w:b w:val="0"/>
          <w:bCs w:val="0"/>
          <w:color w:val="000000" w:themeColor="text1"/>
          <w:spacing w:val="11"/>
          <w:sz w:val="32"/>
          <w:szCs w:val="32"/>
          <w:lang w:eastAsia="zh-CN"/>
          <w14:textFill>
            <w14:solidFill>
              <w14:schemeClr w14:val="tx1"/>
            </w14:solidFill>
          </w14:textFill>
        </w:rPr>
        <w:t>创新消费场景，结合首发经济、智慧商圈、沉浸式体验等新型消费模式，因地制宜开展各类家具购物节、展销会、家居换新、名吃名店名厨评选、电商直播大赛等促消费活动，</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提升传统消费</w:t>
      </w:r>
      <w:r>
        <w:rPr>
          <w:rFonts w:hint="default" w:ascii="仿宋" w:hAnsi="仿宋" w:eastAsia="仿宋" w:cs="仿宋"/>
          <w:b w:val="0"/>
          <w:bCs w:val="0"/>
          <w:color w:val="000000" w:themeColor="text1"/>
          <w:spacing w:val="11"/>
          <w:kern w:val="2"/>
          <w:sz w:val="32"/>
          <w:szCs w:val="22"/>
          <w:highlight w:val="none"/>
          <w:lang w:eastAsia="zh-CN" w:bidi="ar-SA"/>
          <w14:textFill>
            <w14:solidFill>
              <w14:schemeClr w14:val="tx1"/>
            </w14:solidFill>
          </w14:textFill>
        </w:rPr>
        <w:t>能力</w:t>
      </w:r>
      <w:r>
        <w:rPr>
          <w:rFonts w:hint="eastAsia" w:ascii="仿宋" w:hAnsi="仿宋" w:eastAsia="仿宋" w:cs="仿宋"/>
          <w:b w:val="0"/>
          <w:bCs w:val="0"/>
          <w:color w:val="000000" w:themeColor="text1"/>
          <w:spacing w:val="11"/>
          <w:sz w:val="32"/>
          <w:szCs w:val="32"/>
          <w:lang w:eastAsia="zh-CN"/>
          <w14:textFill>
            <w14:solidFill>
              <w14:schemeClr w14:val="tx1"/>
            </w14:solidFill>
          </w14:textFill>
        </w:rPr>
        <w:t>。</w:t>
      </w:r>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促进农村消费提质升级。</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把扩大农村消费与实施乡村振兴战略结合起来，激活农村消费市场，鼓励和引导农村居民增加交通通信、文化娱乐、汽车等消费。健全农村商品供应渠道，</w:t>
      </w:r>
      <w:r>
        <w:rPr>
          <w:rFonts w:hint="eastAsia" w:ascii="仿宋" w:hAnsi="仿宋" w:eastAsia="仿宋" w:cs="仿宋"/>
          <w:color w:val="000000" w:themeColor="text1"/>
          <w:spacing w:val="11"/>
          <w:sz w:val="32"/>
          <w:szCs w:val="32"/>
          <w14:textFill>
            <w14:solidFill>
              <w14:schemeClr w14:val="tx1"/>
            </w14:solidFill>
          </w14:textFill>
        </w:rPr>
        <w:t>进一步优化县域消费环境，持续完善县级连锁商超和物流配送中心、乡镇商贸中心、村村通快递的县域商业网络，着力丰富县域商品服务供给，促进农民增收和农村消费。</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加强农产品供应链体系建设，扩大电商进农村覆盖面，促进工业品下乡和农产品进城双向流通。支持品牌连锁服务企业下乡进村，助推特色优势农产品销售。</w:t>
      </w:r>
    </w:p>
    <w:tbl>
      <w:tblPr>
        <w:tblStyle w:val="20"/>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691" w:type="dxa"/>
            <w:vAlign w:val="center"/>
          </w:tcPr>
          <w:p>
            <w:pPr>
              <w:keepNext w:val="0"/>
              <w:keepLines w:val="0"/>
              <w:pageBreakBefore w:val="0"/>
              <w:widowControl w:val="0"/>
              <w:numPr>
                <w:ilvl w:val="0"/>
                <w:numId w:val="0"/>
              </w:numPr>
              <w:tabs>
                <w:tab w:val="left" w:pos="1440"/>
              </w:tabs>
              <w:kinsoku/>
              <w:wordWrap/>
              <w:overflowPunct/>
              <w:topLinePunct/>
              <w:autoSpaceDE/>
              <w:autoSpaceDN/>
              <w:bidi w:val="0"/>
              <w:adjustRightInd/>
              <w:snapToGrid/>
              <w:spacing w:line="500" w:lineRule="exact"/>
              <w:jc w:val="center"/>
              <w:textAlignment w:val="auto"/>
              <w:rPr>
                <w:rFonts w:hint="default" w:eastAsia="宋体"/>
                <w:b/>
                <w:color w:val="000000" w:themeColor="text1"/>
                <w:kern w:val="0"/>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 xml:space="preserve">专栏9  </w:t>
            </w:r>
            <w:r>
              <w:rPr>
                <w:rFonts w:hint="default" w:ascii="黑体" w:hAnsi="黑体" w:eastAsia="黑体" w:cs="黑体"/>
                <w:b w:val="0"/>
                <w:bCs w:val="0"/>
                <w:color w:val="000000" w:themeColor="text1"/>
                <w:sz w:val="28"/>
                <w:szCs w:val="28"/>
                <w:highlight w:val="none"/>
                <w:lang w:val="en-US" w:eastAsia="zh-CN"/>
                <w14:textFill>
                  <w14:solidFill>
                    <w14:schemeClr w14:val="tx1"/>
                  </w14:solidFill>
                </w14:textFill>
              </w:rPr>
              <w:t>消费</w:t>
            </w: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扩容提质行动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4" w:hRule="atLeast"/>
          <w:jc w:val="center"/>
        </w:trPr>
        <w:tc>
          <w:tcPr>
            <w:tcW w:w="8691" w:type="dxa"/>
            <w:vAlign w:val="center"/>
          </w:tcPr>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1.</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持续实施政策引导。</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制定《驻马店市促进夜经济持续健康发展实施意见》，</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完善</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惠游</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驻马店、</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惠民消费”政策体系，持续在文化旅游、家电、汽车消费等领域推出促消费优惠措施，带动消费稳步增长。</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jc w:val="both"/>
              <w:textAlignment w:val="auto"/>
              <w:rPr>
                <w:rFonts w:hint="default" w:cs="楷体"/>
                <w:color w:val="000000" w:themeColor="text1"/>
                <w:kern w:val="0"/>
                <w:sz w:val="28"/>
                <w:szCs w:val="28"/>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2.</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建设消费集聚区。加强高品质步行街、商业综合体、智慧商圈建设</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围绕激活城市夜间消费活力，加快提升</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皇家驿站</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玖隆茂、环球港</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甲壳虫</w:t>
            </w:r>
            <w:r>
              <w:rPr>
                <w:rFonts w:hint="default" w:ascii="宋体" w:hAnsi="宋体" w:eastAsia="宋体" w:cs="宋体"/>
                <w:b w:val="0"/>
                <w:bCs w:val="0"/>
                <w:color w:val="000000" w:themeColor="text1"/>
                <w:kern w:val="0"/>
                <w:sz w:val="24"/>
                <w:szCs w:val="24"/>
                <w:lang w:val="en-US" w:eastAsia="zh-CN" w:bidi="ar-SA"/>
                <w14:textFill>
                  <w14:solidFill>
                    <w14:schemeClr w14:val="tx1"/>
                  </w14:solidFill>
                </w14:textFill>
              </w:rPr>
              <w:t>商业街区等一批五彩缤纷“夜经济”特色点位。</w:t>
            </w:r>
          </w:p>
        </w:tc>
      </w:tr>
      <w:bookmarkEnd w:id="44"/>
    </w:tbl>
    <w:p>
      <w:pPr>
        <w:keepNext w:val="0"/>
        <w:keepLines w:val="0"/>
        <w:pageBreakBefore w:val="0"/>
        <w:widowControl w:val="0"/>
        <w:kinsoku/>
        <w:wordWrap/>
        <w:overflowPunct/>
        <w:topLinePunct w:val="0"/>
        <w:autoSpaceDE/>
        <w:autoSpaceDN/>
        <w:bidi w:val="0"/>
        <w:adjustRightInd/>
        <w:snapToGrid/>
        <w:spacing w:line="610" w:lineRule="exact"/>
        <w:ind w:firstLine="644" w:firstLineChars="200"/>
        <w:jc w:val="both"/>
        <w:textAlignment w:val="auto"/>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pPr>
      <w:bookmarkStart w:id="47" w:name="_Toc19944"/>
      <w:r>
        <w:rPr>
          <w:rFonts w:hint="eastAsia"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（四）市场主体培育</w:t>
      </w:r>
      <w:bookmarkEnd w:id="45"/>
      <w:bookmarkEnd w:id="46"/>
      <w:r>
        <w:rPr>
          <w:rFonts w:hint="eastAsia"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行动。</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常态化开展</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“市场主体培育”</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活动，分类施策支持市场主体成长，推动大中小企业融通发展，培育一批服务业创新之星、成长之星。</w:t>
      </w:r>
      <w:bookmarkEnd w:id="47"/>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着</w:t>
      </w:r>
      <w:r>
        <w:rPr>
          <w:rFonts w:hint="default"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力培育</w:t>
      </w:r>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龙</w:t>
      </w:r>
      <w:r>
        <w:rPr>
          <w:rFonts w:hint="default"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头企业。</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实施服务业</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市场主体</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培育行动，</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对标国内外知名服务业企业，</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在现代物流、商贸</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服务</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、文</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化</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旅</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游</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信息技术</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等领域，引进培育一批</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“领军”“</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龙头</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型服务业企业。支持本土服务业企业做大做强。</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引导本土</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服务业企业延伸产业链条，通过兼并、重组、上市等方式</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裂变</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发展，打造具有综合服务功能的大型企业集团（产业联盟），增强领军企业创新引领力和辐射带动力。</w:t>
      </w:r>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扶持中小企业</w:t>
      </w:r>
      <w:r>
        <w:rPr>
          <w:rFonts w:hint="default"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支持服务业中小企业聚焦主业，增强核心竞争力，推进服务业企业</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个转企</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微升小</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小升规</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认真落实国家</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、省</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出台</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各项惠企政策，尤其</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在增值税抵扣、设备器具税前扣除等普惠性政策，以及特殊行业针对性政策方面，让中小微企业享受到实实在在的实惠</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；支持本地服务业企业通过兼并重组、上市融资等方式做大做强。</w:t>
      </w:r>
      <w:r>
        <w:rPr>
          <w:rFonts w:hint="eastAsia" w:ascii="仿宋" w:hAnsi="仿宋" w:eastAsia="仿宋" w:cs="仿宋"/>
          <w:b/>
          <w:bCs/>
          <w:color w:val="000000" w:themeColor="text1"/>
          <w:spacing w:val="11"/>
          <w:kern w:val="2"/>
          <w:sz w:val="32"/>
          <w:szCs w:val="22"/>
          <w:highlight w:val="none"/>
          <w:lang w:val="en-US" w:eastAsia="zh-CN" w:bidi="ar-SA"/>
          <w14:textFill>
            <w14:solidFill>
              <w14:schemeClr w14:val="tx1"/>
            </w14:solidFill>
          </w14:textFill>
        </w:rPr>
        <w:t>打造服务品牌。</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加强服务业标准化建设，鼓励企业积极参与国家标准、行业标准制定，进行服务业标准化试点，推动形成一批可复制、可推广的典型经验;开展服务质量提升行动，</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支持老品牌</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焕发活力</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、新品牌</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做大做强</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、潜在品牌</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茁壮成长</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，形成一批知晓度广、信誉度高、具有自主知识产权的企业、行业和区域服务品牌。</w:t>
      </w:r>
    </w:p>
    <w:p>
      <w:pPr>
        <w:keepNext w:val="0"/>
        <w:keepLines w:val="0"/>
        <w:pageBreakBefore w:val="0"/>
        <w:widowControl w:val="0"/>
        <w:kinsoku/>
        <w:wordWrap/>
        <w:overflowPunct/>
        <w:topLinePunct w:val="0"/>
        <w:autoSpaceDE/>
        <w:autoSpaceDN/>
        <w:bidi w:val="0"/>
        <w:adjustRightInd/>
        <w:snapToGrid/>
        <w:spacing w:line="610" w:lineRule="exact"/>
        <w:ind w:firstLine="644" w:firstLineChars="200"/>
        <w:jc w:val="both"/>
        <w:textAlignment w:val="auto"/>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pPr>
      <w:bookmarkStart w:id="48" w:name="_Toc18315"/>
      <w:bookmarkStart w:id="49" w:name="_Toc27432"/>
      <w:bookmarkStart w:id="50" w:name="_Toc6274"/>
      <w:r>
        <w:rPr>
          <w:rFonts w:hint="default"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（五）产业载体提效</w:t>
      </w:r>
      <w:bookmarkEnd w:id="48"/>
      <w:bookmarkEnd w:id="49"/>
      <w:r>
        <w:rPr>
          <w:rFonts w:hint="eastAsia"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行动。</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加快服务业集群建设。聚焦生产性服务业集聚发展，以中介服务、现代物流、市场交易为主要内容，外引内培、引育结合，建设一批与先进制造业开发区协作联动的现代服务业集群。推动</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中心城区</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商务</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服务</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高端化发展，大力发展总部经济和楼宇经济，吸引集聚商务咨询、法律会计、科技服务、信息服务、检验检测等服务业企业，打造一批支撑区域主导产业发展和融合创新发展的载体，形成一批“千万楼宇”。围绕建设陆港型国家物流枢纽，推动现代物流产业园特色化发展，大力发展供应链物流、冷链物流、快递物流、电商物流、保税物流等专业物流，建设现代物流强市。推动市场交易产业园信息化发展，完善钢材、粮食、农产品、建材等市场功能，推动线上线下融合发展，打造区域影响力的商品集散中心和采购中心。依托</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农产品加工</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、装备制造、文化旅游等产业，对接高端创新资源，打造一批科技创新、电商服务、旅游休闲等新兴专业园区。</w:t>
      </w:r>
    </w:p>
    <w:p>
      <w:pPr>
        <w:keepNext w:val="0"/>
        <w:keepLines w:val="0"/>
        <w:pageBreakBefore w:val="0"/>
        <w:widowControl w:val="0"/>
        <w:kinsoku/>
        <w:wordWrap/>
        <w:overflowPunct/>
        <w:topLinePunct w:val="0"/>
        <w:autoSpaceDE/>
        <w:autoSpaceDN/>
        <w:bidi w:val="0"/>
        <w:adjustRightInd/>
        <w:snapToGrid/>
        <w:spacing w:line="610" w:lineRule="exact"/>
        <w:ind w:firstLine="644" w:firstLineChars="200"/>
        <w:jc w:val="both"/>
        <w:textAlignment w:val="auto"/>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培育工业互联网平台。围绕中心城区和各县（区）省级开发区，引导骨干企业与国内知名工业互联网平台资源、本土基础电信运营商、互联网企业、产业链上下游资源，建设行业工业互联网平台，提供研发设计、业务与运营优化等服务。鼓励本地软件企业与黄淮学院等省内外高校开展校企合作，面向装备制造、食品</w:t>
      </w:r>
      <w:r>
        <w:rPr>
          <w:rFonts w:hint="default" w:ascii="仿宋" w:hAnsi="仿宋" w:eastAsia="仿宋" w:cs="仿宋"/>
          <w:b w:val="0"/>
          <w:bCs w:val="0"/>
          <w:color w:val="000000" w:themeColor="text1"/>
          <w:spacing w:val="11"/>
          <w:kern w:val="2"/>
          <w:sz w:val="32"/>
          <w:szCs w:val="22"/>
          <w:highlight w:val="none"/>
          <w:lang w:eastAsia="zh-CN" w:bidi="ar-SA"/>
          <w14:textFill>
            <w14:solidFill>
              <w14:schemeClr w14:val="tx1"/>
            </w14:solidFill>
          </w14:textFill>
        </w:rPr>
        <w:t>加工</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、电子信息等行业</w:t>
      </w:r>
      <w:r>
        <w:rPr>
          <w:rFonts w:hint="default" w:ascii="仿宋" w:hAnsi="仿宋" w:eastAsia="仿宋" w:cs="仿宋"/>
          <w:b w:val="0"/>
          <w:bCs w:val="0"/>
          <w:color w:val="000000" w:themeColor="text1"/>
          <w:spacing w:val="11"/>
          <w:kern w:val="2"/>
          <w:sz w:val="32"/>
          <w:szCs w:val="22"/>
          <w:highlight w:val="none"/>
          <w:lang w:eastAsia="zh-CN" w:bidi="ar-SA"/>
          <w14:textFill>
            <w14:solidFill>
              <w14:schemeClr w14:val="tx1"/>
            </w14:solidFill>
          </w14:textFill>
        </w:rPr>
        <w:t>，</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开发一批特定应用场景的工业APP。加强“企业上云”公共服务平台建设，推动具备条件的开发区，联合或依托区内行业龙头企业、市基础电信运营商、黄淮学院、国内知名工业云平台服务商，建设面向产业集群或特定行业、特定需求的工业云平台。</w:t>
      </w:r>
    </w:p>
    <w:p>
      <w:pPr>
        <w:keepNext w:val="0"/>
        <w:keepLines w:val="0"/>
        <w:pageBreakBefore w:val="0"/>
        <w:widowControl w:val="0"/>
        <w:kinsoku/>
        <w:wordWrap/>
        <w:overflowPunct/>
        <w:topLinePunct w:val="0"/>
        <w:autoSpaceDE/>
        <w:autoSpaceDN/>
        <w:bidi w:val="0"/>
        <w:adjustRightInd/>
        <w:snapToGrid/>
        <w:spacing w:line="610" w:lineRule="exact"/>
        <w:ind w:firstLine="644" w:firstLineChars="200"/>
        <w:jc w:val="both"/>
        <w:textAlignment w:val="auto"/>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pP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推进重大项目建设。</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依托省重点项目管理系统，</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建</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立</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市级服务业重大项目库，</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实行</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项目建设全过程管理，提高项目建设的协调服务水平</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，推进</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重点项目建成投产。加大产业链招商力度，</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紧盯国内外头部企业，</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策划和引进一批产业链上下游关联服务业项目</w:t>
      </w:r>
      <w:r>
        <w:rPr>
          <w:rFonts w:hint="default" w:ascii="仿宋" w:hAnsi="仿宋" w:eastAsia="仿宋" w:cs="仿宋"/>
          <w:b w:val="0"/>
          <w:bCs w:val="0"/>
          <w:color w:val="000000" w:themeColor="text1"/>
          <w:spacing w:val="11"/>
          <w:kern w:val="2"/>
          <w:sz w:val="32"/>
          <w:szCs w:val="22"/>
          <w:highlight w:val="none"/>
          <w:lang w:eastAsia="zh-CN" w:bidi="ar-SA"/>
          <w14:textFill>
            <w14:solidFill>
              <w14:schemeClr w14:val="tx1"/>
            </w14:solidFill>
          </w14:textFill>
        </w:rPr>
        <w:t>；</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创新招商推介方式，吸引更多央企国企、国内外500强、行业领军企业在</w:t>
      </w:r>
      <w:r>
        <w:rPr>
          <w:rFonts w:hint="eastAsia"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驻马店市</w:t>
      </w:r>
      <w:r>
        <w:rPr>
          <w:rFonts w:hint="default" w:ascii="仿宋" w:hAnsi="仿宋" w:eastAsia="仿宋" w:cs="仿宋"/>
          <w:b w:val="0"/>
          <w:bCs w:val="0"/>
          <w:color w:val="000000" w:themeColor="text1"/>
          <w:spacing w:val="11"/>
          <w:kern w:val="2"/>
          <w:sz w:val="32"/>
          <w:szCs w:val="22"/>
          <w:highlight w:val="none"/>
          <w:lang w:val="en-US" w:eastAsia="zh-CN" w:bidi="ar-SA"/>
          <w14:textFill>
            <w14:solidFill>
              <w14:schemeClr w14:val="tx1"/>
            </w14:solidFill>
          </w14:textFill>
        </w:rPr>
        <w:t>布局发展服务业。</w:t>
      </w:r>
      <w:bookmarkEnd w:id="50"/>
      <w:bookmarkStart w:id="51" w:name="_Toc30334"/>
      <w:bookmarkStart w:id="52" w:name="_Toc15944"/>
      <w:bookmarkStart w:id="53" w:name="_Toc20613"/>
    </w:p>
    <w:p>
      <w:pPr>
        <w:pStyle w:val="2"/>
        <w:rPr>
          <w:rFonts w:hint="default"/>
          <w:lang w:val="en-US" w:eastAsia="zh-CN"/>
        </w:rPr>
      </w:pPr>
    </w:p>
    <w:tbl>
      <w:tblPr>
        <w:tblStyle w:val="20"/>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9000" w:type="dxa"/>
            <w:vAlign w:val="center"/>
          </w:tcPr>
          <w:p>
            <w:pPr>
              <w:keepNext w:val="0"/>
              <w:keepLines w:val="0"/>
              <w:pageBreakBefore w:val="0"/>
              <w:widowControl w:val="0"/>
              <w:numPr>
                <w:ilvl w:val="0"/>
                <w:numId w:val="0"/>
              </w:numPr>
              <w:tabs>
                <w:tab w:val="left" w:pos="1440"/>
              </w:tabs>
              <w:kinsoku/>
              <w:wordWrap/>
              <w:overflowPunct/>
              <w:topLinePunct/>
              <w:autoSpaceDN/>
              <w:bidi w:val="0"/>
              <w:adjustRightInd/>
              <w:snapToGrid/>
              <w:spacing w:line="560" w:lineRule="exact"/>
              <w:jc w:val="center"/>
              <w:textAlignment w:val="auto"/>
              <w:rPr>
                <w:rFonts w:hint="default" w:ascii="黑体" w:hAnsi="黑体" w:eastAsia="黑体" w:cs="黑体"/>
                <w:b w:val="0"/>
                <w:bCs w:val="0"/>
                <w:color w:val="000000" w:themeColor="text1"/>
                <w:sz w:val="28"/>
                <w:szCs w:val="28"/>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专栏10  “十五五”现代服务业重大项目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2" w:hRule="atLeast"/>
          <w:jc w:val="center"/>
        </w:trPr>
        <w:tc>
          <w:tcPr>
            <w:tcW w:w="9000" w:type="dxa"/>
            <w:vAlign w:val="center"/>
          </w:tcPr>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“十五五”期间，经与各县区、市直部门</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梳理</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对接</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申报汇总，全市建设投资规模大、带动作用强的重大项目100个，总投资385.03亿元。其中：</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ascii="宋体" w:hAnsi="宋体" w:eastAsia="宋体" w:cs="宋体"/>
                <w:b w:val="0"/>
                <w:bCs w:val="0"/>
                <w:color w:val="000000" w:themeColor="text1"/>
                <w:kern w:val="0"/>
                <w:sz w:val="24"/>
                <w:szCs w:val="24"/>
                <w:lang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1.现代物流项目33个，总投资约124.07亿元</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ascii="宋体" w:hAnsi="宋体" w:eastAsia="宋体" w:cs="宋体"/>
                <w:b w:val="0"/>
                <w:bCs w:val="0"/>
                <w:color w:val="000000" w:themeColor="text1"/>
                <w:kern w:val="0"/>
                <w:sz w:val="24"/>
                <w:szCs w:val="24"/>
                <w:lang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2.文化旅游项目16个，总投资约32.67亿元</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ascii="宋体" w:hAnsi="宋体" w:eastAsia="宋体" w:cs="宋体"/>
                <w:b w:val="0"/>
                <w:bCs w:val="0"/>
                <w:color w:val="000000" w:themeColor="text1"/>
                <w:kern w:val="0"/>
                <w:sz w:val="24"/>
                <w:szCs w:val="24"/>
                <w:lang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3.商务服务项目5个，总投资约22.25亿元</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ascii="宋体" w:hAnsi="宋体" w:eastAsia="宋体" w:cs="宋体"/>
                <w:b w:val="0"/>
                <w:bCs w:val="0"/>
                <w:color w:val="000000" w:themeColor="text1"/>
                <w:kern w:val="0"/>
                <w:sz w:val="24"/>
                <w:szCs w:val="24"/>
                <w:lang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4.教育培训项目18个，总投资约53.73亿元</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ascii="宋体" w:hAnsi="宋体" w:eastAsia="宋体" w:cs="宋体"/>
                <w:b w:val="0"/>
                <w:bCs w:val="0"/>
                <w:color w:val="000000" w:themeColor="text1"/>
                <w:kern w:val="0"/>
                <w:sz w:val="24"/>
                <w:szCs w:val="24"/>
                <w:lang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5.节能环保项目5个，总投资约7.26亿元</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ascii="宋体" w:hAnsi="宋体" w:eastAsia="宋体" w:cs="宋体"/>
                <w:b w:val="0"/>
                <w:bCs w:val="0"/>
                <w:color w:val="000000" w:themeColor="text1"/>
                <w:kern w:val="0"/>
                <w:sz w:val="24"/>
                <w:szCs w:val="24"/>
                <w:lang w:eastAsia="zh-CN" w:bidi="ar-SA"/>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6.健康服务项目17个，总投资约33.75亿元</w:t>
            </w:r>
            <w:r>
              <w:rPr>
                <w:rFonts w:hint="default" w:ascii="宋体" w:hAnsi="宋体" w:eastAsia="宋体" w:cs="宋体"/>
                <w:b w:val="0"/>
                <w:bCs w:val="0"/>
                <w:color w:val="000000" w:themeColor="text1"/>
                <w:kern w:val="0"/>
                <w:sz w:val="24"/>
                <w:szCs w:val="24"/>
                <w:lang w:eastAsia="zh-CN" w:bidi="ar-SA"/>
                <w14:textFill>
                  <w14:solidFill>
                    <w14:schemeClr w14:val="tx1"/>
                  </w14:solidFill>
                </w14:textFill>
              </w:rPr>
              <w:t>；</w:t>
            </w:r>
          </w:p>
          <w:p>
            <w:pPr>
              <w:pStyle w:val="36"/>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jc w:val="both"/>
              <w:textAlignment w:val="auto"/>
              <w:rPr>
                <w:rFonts w:hint="default" w:cs="楷体"/>
                <w:b w:val="0"/>
                <w:bCs w:val="0"/>
                <w:color w:val="000000" w:themeColor="text1"/>
                <w:kern w:val="0"/>
                <w:sz w:val="28"/>
                <w:szCs w:val="28"/>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7.科技服务项目7个，总投资约111.30亿元。</w:t>
            </w:r>
          </w:p>
        </w:tc>
      </w:tr>
    </w:tbl>
    <w:p>
      <w:pPr>
        <w:pStyle w:val="17"/>
        <w:keepNext w:val="0"/>
        <w:keepLines w:val="0"/>
        <w:pageBreakBefore w:val="0"/>
        <w:widowControl w:val="0"/>
        <w:kinsoku/>
        <w:wordWrap/>
        <w:overflowPunct w:val="0"/>
        <w:topLinePunct w:val="0"/>
        <w:autoSpaceDE/>
        <w:autoSpaceDN/>
        <w:bidi w:val="0"/>
        <w:adjustRightInd/>
        <w:snapToGrid/>
        <w:spacing w:after="0" w:line="580" w:lineRule="exact"/>
        <w:ind w:firstLine="644" w:firstLineChars="200"/>
        <w:textAlignment w:val="center"/>
        <w:outlineLvl w:val="9"/>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pPr>
      <w:r>
        <w:rPr>
          <w:rFonts w:hint="eastAsia"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（六）开放协同发展</w:t>
      </w:r>
      <w:bookmarkEnd w:id="51"/>
      <w:bookmarkEnd w:id="52"/>
      <w:r>
        <w:rPr>
          <w:rFonts w:hint="eastAsia" w:ascii="楷体" w:hAnsi="楷体" w:eastAsia="楷体" w:cs="楷体"/>
          <w:b w:val="0"/>
          <w:bCs w:val="0"/>
          <w:color w:val="000000" w:themeColor="text1"/>
          <w:spacing w:val="11"/>
          <w:kern w:val="2"/>
          <w:sz w:val="32"/>
          <w:szCs w:val="22"/>
          <w:highlight w:val="none"/>
          <w:lang w:val="en-US" w:eastAsia="zh-CN" w:bidi="ar-SA"/>
          <w14:textFill>
            <w14:solidFill>
              <w14:schemeClr w14:val="tx1"/>
            </w14:solidFill>
          </w14:textFill>
        </w:rPr>
        <w:t>行动。</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进一步提升服务业改革开放发展水平，聚焦重点优势产业，努力探索服务业对内对外开放发展的新业态、新模式、新路径。</w:t>
      </w:r>
      <w:bookmarkEnd w:id="53"/>
      <w:r>
        <w:rPr>
          <w:rFonts w:hint="eastAsia" w:ascii="仿宋" w:hAnsi="仿宋" w:eastAsia="仿宋" w:cs="仿宋"/>
          <w:b/>
          <w:bCs/>
          <w:color w:val="000000" w:themeColor="text1"/>
          <w:spacing w:val="11"/>
          <w:kern w:val="2"/>
          <w:sz w:val="32"/>
          <w:szCs w:val="32"/>
          <w:highlight w:val="none"/>
          <w:lang w:val="en-US" w:eastAsia="zh-CN" w:bidi="ar-SA"/>
          <w14:textFill>
            <w14:solidFill>
              <w14:schemeClr w14:val="tx1"/>
            </w14:solidFill>
          </w14:textFill>
        </w:rPr>
        <w:t>推进服务业对外开放。</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贯彻落实国家、省服务</w:t>
      </w:r>
      <w:r>
        <w:rPr>
          <w:rFonts w:hint="default" w:ascii="仿宋" w:hAnsi="仿宋" w:eastAsia="仿宋" w:cs="仿宋"/>
          <w:b w:val="0"/>
          <w:bCs w:val="0"/>
          <w:color w:val="000000" w:themeColor="text1"/>
          <w:spacing w:val="11"/>
          <w:kern w:val="2"/>
          <w:sz w:val="32"/>
          <w:szCs w:val="32"/>
          <w:highlight w:val="none"/>
          <w:lang w:eastAsia="zh-CN" w:bidi="ar-SA"/>
          <w14:textFill>
            <w14:solidFill>
              <w14:schemeClr w14:val="tx1"/>
            </w14:solidFill>
          </w14:textFill>
        </w:rPr>
        <w:t>业</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领域的改革开放政策，积极推动科技、金融、教育培训、养老等领域对外开放，引导外商投资服务业新兴领域。高标准提升驻马店高新技术产业开发区、驻马店经济技术开发区、中国（驻马店）国际农产品加工产业园和9个省级先进制造业开发区等平台载体开放功能，构建开放经济发展新格局。加快推动驻马店陆港型国家物流枢纽、驻马店保税物流中心和马庄铁路物流基地等建设，建成一批服务业对外开放的强支点，增强外来投资吸引力和外向型经济支撑力。</w:t>
      </w:r>
      <w:r>
        <w:rPr>
          <w:rFonts w:hint="eastAsia" w:ascii="仿宋" w:hAnsi="仿宋" w:eastAsia="仿宋" w:cs="仿宋"/>
          <w:b/>
          <w:bCs/>
          <w:color w:val="000000" w:themeColor="text1"/>
          <w:spacing w:val="11"/>
          <w:kern w:val="2"/>
          <w:sz w:val="32"/>
          <w:szCs w:val="32"/>
          <w:highlight w:val="none"/>
          <w:lang w:val="en-US" w:eastAsia="zh-CN" w:bidi="ar-SA"/>
          <w14:textFill>
            <w14:solidFill>
              <w14:schemeClr w14:val="tx1"/>
            </w14:solidFill>
          </w14:textFill>
        </w:rPr>
        <w:t>全面融入全国统一大市场。</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依托驻马店陆港型国家物流枢纽，加强与陆上边境、沿海港口等国家物流枢纽之间的互利合作，促进枢纽间业务协同、运行协作、信息共享，实现有效对接、联动发展，融入国内供应链物流服务体系。加强与京津冀、长三角、粤港澳大湾区等地区合作，积极承接现代物流、科技服务、商贸服务等服务业产业转移，推动货运品种增量扩容，吸引国内外资源向驻马店聚集，打造国内知名的大宗商品集聚地。</w:t>
      </w:r>
      <w:r>
        <w:rPr>
          <w:rFonts w:hint="eastAsia" w:ascii="仿宋" w:hAnsi="仿宋" w:eastAsia="仿宋" w:cs="仿宋"/>
          <w:b/>
          <w:bCs/>
          <w:color w:val="000000" w:themeColor="text1"/>
          <w:spacing w:val="11"/>
          <w:kern w:val="2"/>
          <w:sz w:val="32"/>
          <w:szCs w:val="32"/>
          <w:highlight w:val="none"/>
          <w:lang w:val="en-US" w:eastAsia="zh-CN" w:bidi="ar-SA"/>
          <w14:textFill>
            <w14:solidFill>
              <w14:schemeClr w14:val="tx1"/>
            </w14:solidFill>
          </w14:textFill>
        </w:rPr>
        <w:t>加强开放平台联动发展。</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持续办好中国农产品加工产业投资贸易洽谈会，做大做强开放招商平台，积极引进一批知名程度高、品牌效益强的龙头企业；构建高新能级开放平台体系，提升口岸和海关特殊监管区域功能，推进驻马店保税物流中心（B）型申建；着力发展铁海联运，扩大驻马店至宁波港、驻马店至青岛港铁海联运货运量，开辟平舆-颍南-连云港，连云港支线船到宁波港新物流通道，提升我市“一带一路”建设的参与度、链接度。提高“河南单一窗口”使用率，引导跨境贸易领域相关业务统一通过河南“单一窗口”平台办理。加大海关高级认证企业培育和服务力度，鼓励企业申请AEO认证。</w:t>
      </w:r>
    </w:p>
    <w:p>
      <w:pPr>
        <w:pStyle w:val="17"/>
        <w:keepNext w:val="0"/>
        <w:keepLines w:val="0"/>
        <w:pageBreakBefore w:val="0"/>
        <w:widowControl w:val="0"/>
        <w:kinsoku/>
        <w:wordWrap/>
        <w:overflowPunct w:val="0"/>
        <w:topLinePunct w:val="0"/>
        <w:autoSpaceDE/>
        <w:autoSpaceDN/>
        <w:bidi w:val="0"/>
        <w:adjustRightInd/>
        <w:snapToGrid/>
        <w:spacing w:after="0" w:line="580" w:lineRule="exact"/>
        <w:ind w:firstLine="644" w:firstLineChars="200"/>
        <w:textAlignment w:val="center"/>
        <w:outlineLvl w:val="9"/>
        <w:rPr>
          <w:rFonts w:hint="eastAsia" w:ascii="黑体" w:hAnsi="黑体" w:eastAsia="黑体" w:cs="黑体"/>
          <w:b w:val="0"/>
          <w:bCs w:val="0"/>
          <w:color w:val="000000" w:themeColor="text1"/>
          <w:spacing w:val="11"/>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11"/>
          <w:kern w:val="2"/>
          <w:sz w:val="32"/>
          <w:szCs w:val="32"/>
          <w:highlight w:val="none"/>
          <w:lang w:val="en-US" w:eastAsia="zh-CN" w:bidi="ar-SA"/>
          <w14:textFill>
            <w14:solidFill>
              <w14:schemeClr w14:val="tx1"/>
            </w14:solidFill>
          </w14:textFill>
        </w:rPr>
        <w:t>五、保障措施</w:t>
      </w:r>
    </w:p>
    <w:p>
      <w:pPr>
        <w:pStyle w:val="5"/>
        <w:keepNext w:val="0"/>
        <w:keepLines w:val="0"/>
        <w:pageBreakBefore w:val="0"/>
        <w:widowControl w:val="0"/>
        <w:kinsoku/>
        <w:wordWrap/>
        <w:topLinePunct w:val="0"/>
        <w:autoSpaceDE/>
        <w:autoSpaceDN/>
        <w:bidi w:val="0"/>
        <w:adjustRightInd/>
        <w:snapToGrid/>
        <w:spacing w:line="580" w:lineRule="exact"/>
        <w:ind w:firstLine="644" w:firstLineChars="200"/>
        <w:outlineLvl w:val="9"/>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spacing w:val="11"/>
          <w:kern w:val="2"/>
          <w:sz w:val="32"/>
          <w:szCs w:val="32"/>
          <w:highlight w:val="none"/>
          <w:lang w:val="en-US" w:eastAsia="zh-CN" w:bidi="ar-SA"/>
          <w14:textFill>
            <w14:solidFill>
              <w14:schemeClr w14:val="tx1"/>
            </w14:solidFill>
          </w14:textFill>
        </w:rPr>
        <w:t>一是加强组织领导。</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充分发挥市服务业高质量发展专班指导协调、统筹规划作用，及时研究解决服务业发展重大问题。各县（区）政府相应成立推进机构，负责组织实施本区域服务业发展相关工作，保障服务业规划的贯彻执行和具体落实。</w:t>
      </w:r>
      <w:r>
        <w:rPr>
          <w:rFonts w:hint="eastAsia" w:ascii="仿宋" w:hAnsi="仿宋" w:eastAsia="仿宋" w:cs="仿宋"/>
          <w:b/>
          <w:bCs/>
          <w:color w:val="000000" w:themeColor="text1"/>
          <w:spacing w:val="11"/>
          <w:kern w:val="2"/>
          <w:sz w:val="32"/>
          <w:szCs w:val="32"/>
          <w:highlight w:val="none"/>
          <w:lang w:val="en-US" w:eastAsia="zh-CN" w:bidi="ar-SA"/>
          <w14:textFill>
            <w14:solidFill>
              <w14:schemeClr w14:val="tx1"/>
            </w14:solidFill>
          </w14:textFill>
        </w:rPr>
        <w:t>二是强化机制保障。</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全面实施市场准入负面清单制度，加快取消充分竞争性服务业领域准入限制，有序放开公共服务领域准入限制，充分发挥市场在资源配置中的决定性作用，打造有利于服务业发展的营商环境。</w:t>
      </w:r>
      <w:r>
        <w:rPr>
          <w:rFonts w:hint="eastAsia" w:ascii="仿宋" w:hAnsi="仿宋" w:eastAsia="仿宋" w:cs="仿宋"/>
          <w:b/>
          <w:bCs/>
          <w:color w:val="000000" w:themeColor="text1"/>
          <w:spacing w:val="11"/>
          <w:kern w:val="2"/>
          <w:sz w:val="32"/>
          <w:szCs w:val="32"/>
          <w:highlight w:val="none"/>
          <w:lang w:val="en-US" w:eastAsia="zh-CN" w:bidi="ar-SA"/>
          <w14:textFill>
            <w14:solidFill>
              <w14:schemeClr w14:val="tx1"/>
            </w14:solidFill>
          </w14:textFill>
        </w:rPr>
        <w:t>三是做好要素保障。</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在合法合规的前提下对服务业重大项目建设在用地指标上给予倾斜，重点保障物流、养老、托育等具有社会功能的服务业用地。积极争取国家服务业“两新两重”超长期特别国债、服务业中央预算内资金、省级服务业发展引导资金、地方政府专项债券等项目，加大服务业重点项目的支持力度。加大服务领域高端专业人才培养，扩大技能型人才规模，大力培养创新型、应用型、复合型</w:t>
      </w:r>
      <w:r>
        <w:rPr>
          <w:rFonts w:hint="default" w:ascii="仿宋" w:hAnsi="仿宋" w:eastAsia="仿宋" w:cs="仿宋"/>
          <w:b w:val="0"/>
          <w:bCs w:val="0"/>
          <w:color w:val="000000" w:themeColor="text1"/>
          <w:spacing w:val="11"/>
          <w:kern w:val="2"/>
          <w:sz w:val="32"/>
          <w:szCs w:val="32"/>
          <w:highlight w:val="none"/>
          <w:lang w:eastAsia="zh-CN" w:bidi="ar-SA"/>
          <w14:textFill>
            <w14:solidFill>
              <w14:schemeClr w14:val="tx1"/>
            </w14:solidFill>
          </w14:textFill>
        </w:rPr>
        <w:t>服务业</w:t>
      </w:r>
      <w:r>
        <w:rPr>
          <w:rFonts w:hint="eastAsia" w:ascii="仿宋" w:hAnsi="仿宋" w:eastAsia="仿宋" w:cs="仿宋"/>
          <w:b w:val="0"/>
          <w:bCs w:val="0"/>
          <w:color w:val="000000" w:themeColor="text1"/>
          <w:spacing w:val="11"/>
          <w:kern w:val="2"/>
          <w:sz w:val="32"/>
          <w:szCs w:val="32"/>
          <w:highlight w:val="none"/>
          <w:lang w:val="en-US" w:eastAsia="zh-CN" w:bidi="ar-SA"/>
          <w14:textFill>
            <w14:solidFill>
              <w14:schemeClr w14:val="tx1"/>
            </w14:solidFill>
          </w14:textFill>
        </w:rPr>
        <w:t>人才。</w:t>
      </w:r>
      <w:bookmarkEnd w:id="31"/>
      <w:bookmarkEnd w:id="32"/>
      <w:bookmarkEnd w:id="33"/>
    </w:p>
    <w:sectPr>
      <w:footerReference r:id="rId3" w:type="default"/>
      <w:pgSz w:w="11906" w:h="16838"/>
      <w:pgMar w:top="1984" w:right="1417" w:bottom="1814" w:left="1587" w:header="851" w:footer="1531" w:gutter="0"/>
      <w:pgNumType w:start="1"/>
      <w:cols w:space="0" w:num="1"/>
      <w:docGrid w:type="linesAndChars" w:linePitch="289" w:charSpace="-42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imes New Roman" w:hAnsi="Times New Roman"/>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eastAsia="宋体" w:cs="Times New Roman"/>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0"/>
                      <w:rPr>
                        <w:rFonts w:hint="default" w:ascii="Times New Roman" w:hAnsi="Times New Roman" w:eastAsia="宋体" w:cs="Times New Roman"/>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7F0C72"/>
    <w:multiLevelType w:val="multilevel"/>
    <w:tmpl w:val="2A7F0C72"/>
    <w:lvl w:ilvl="0" w:tentative="0">
      <w:start w:val="1"/>
      <w:numFmt w:val="bullet"/>
      <w:pStyle w:val="36"/>
      <w:lvlText w:val=""/>
      <w:lvlJc w:val="left"/>
      <w:pPr>
        <w:ind w:left="420" w:hanging="420"/>
      </w:pPr>
      <w:rPr>
        <w:rFonts w:hint="default" w:ascii="Symbol" w:hAnsi="Symbol"/>
        <w:color w:val="auto"/>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true"/>
  <w:bordersDoNotSurroundHeader w:val="false"/>
  <w:bordersDoNotSurroundFooter w:val="false"/>
  <w:documentProtection w:enforcement="0"/>
  <w:defaultTabStop w:val="420"/>
  <w:drawingGridHorizontalSpacing w:val="95"/>
  <w:drawingGridVerticalSpacing w:val="144"/>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ZhMGMzYjVhYmEzZjg0NTI4OWJlNTMwMGVlMzcwMjEifQ=="/>
  </w:docVars>
  <w:rsids>
    <w:rsidRoot w:val="00D373EF"/>
    <w:rsid w:val="0000427B"/>
    <w:rsid w:val="000548A5"/>
    <w:rsid w:val="0005584C"/>
    <w:rsid w:val="000800EC"/>
    <w:rsid w:val="000814AB"/>
    <w:rsid w:val="0009482E"/>
    <w:rsid w:val="000B4086"/>
    <w:rsid w:val="000C3BFE"/>
    <w:rsid w:val="000F7DDF"/>
    <w:rsid w:val="00113737"/>
    <w:rsid w:val="00124E91"/>
    <w:rsid w:val="0015276B"/>
    <w:rsid w:val="001B197B"/>
    <w:rsid w:val="001B5443"/>
    <w:rsid w:val="001D5446"/>
    <w:rsid w:val="001E7A1E"/>
    <w:rsid w:val="002003D0"/>
    <w:rsid w:val="002027E8"/>
    <w:rsid w:val="00266E1C"/>
    <w:rsid w:val="002B615E"/>
    <w:rsid w:val="002F5FEE"/>
    <w:rsid w:val="003149DC"/>
    <w:rsid w:val="003628B2"/>
    <w:rsid w:val="00365555"/>
    <w:rsid w:val="00376FF5"/>
    <w:rsid w:val="003E142C"/>
    <w:rsid w:val="003E5AE4"/>
    <w:rsid w:val="004019C6"/>
    <w:rsid w:val="00401A60"/>
    <w:rsid w:val="00401C94"/>
    <w:rsid w:val="004045D5"/>
    <w:rsid w:val="00443809"/>
    <w:rsid w:val="00452936"/>
    <w:rsid w:val="004842FA"/>
    <w:rsid w:val="004D13A1"/>
    <w:rsid w:val="005210CD"/>
    <w:rsid w:val="00523139"/>
    <w:rsid w:val="005238E6"/>
    <w:rsid w:val="0056182D"/>
    <w:rsid w:val="00564263"/>
    <w:rsid w:val="00596619"/>
    <w:rsid w:val="005F52F9"/>
    <w:rsid w:val="006032CD"/>
    <w:rsid w:val="00607668"/>
    <w:rsid w:val="00615E21"/>
    <w:rsid w:val="0062560B"/>
    <w:rsid w:val="0062663F"/>
    <w:rsid w:val="0065346F"/>
    <w:rsid w:val="0068597A"/>
    <w:rsid w:val="00697AFD"/>
    <w:rsid w:val="006C1197"/>
    <w:rsid w:val="007438C7"/>
    <w:rsid w:val="00747F64"/>
    <w:rsid w:val="007B04C3"/>
    <w:rsid w:val="007B5CB7"/>
    <w:rsid w:val="007D2F9F"/>
    <w:rsid w:val="007E5F96"/>
    <w:rsid w:val="00831A1F"/>
    <w:rsid w:val="0086460D"/>
    <w:rsid w:val="00873C97"/>
    <w:rsid w:val="0088631B"/>
    <w:rsid w:val="008C001B"/>
    <w:rsid w:val="008E7DBA"/>
    <w:rsid w:val="009063F9"/>
    <w:rsid w:val="009412F7"/>
    <w:rsid w:val="00945F38"/>
    <w:rsid w:val="0097464E"/>
    <w:rsid w:val="009C4273"/>
    <w:rsid w:val="00A011ED"/>
    <w:rsid w:val="00AC0471"/>
    <w:rsid w:val="00AD1004"/>
    <w:rsid w:val="00AD66ED"/>
    <w:rsid w:val="00AF145C"/>
    <w:rsid w:val="00B17AED"/>
    <w:rsid w:val="00B42EA1"/>
    <w:rsid w:val="00B86904"/>
    <w:rsid w:val="00B90F1C"/>
    <w:rsid w:val="00BE5EB7"/>
    <w:rsid w:val="00C16AC2"/>
    <w:rsid w:val="00C628FF"/>
    <w:rsid w:val="00C63A6A"/>
    <w:rsid w:val="00C7078D"/>
    <w:rsid w:val="00C904A1"/>
    <w:rsid w:val="00CE4B35"/>
    <w:rsid w:val="00CE7CC5"/>
    <w:rsid w:val="00D07A86"/>
    <w:rsid w:val="00D1212F"/>
    <w:rsid w:val="00D37388"/>
    <w:rsid w:val="00D373EF"/>
    <w:rsid w:val="00D54699"/>
    <w:rsid w:val="00D672CF"/>
    <w:rsid w:val="00D83824"/>
    <w:rsid w:val="00DD68A7"/>
    <w:rsid w:val="00E21907"/>
    <w:rsid w:val="00E330E1"/>
    <w:rsid w:val="00E457F0"/>
    <w:rsid w:val="00E5063A"/>
    <w:rsid w:val="00E50DEA"/>
    <w:rsid w:val="00E735E0"/>
    <w:rsid w:val="00EA6E91"/>
    <w:rsid w:val="00F05BFC"/>
    <w:rsid w:val="00F52529"/>
    <w:rsid w:val="00F569D2"/>
    <w:rsid w:val="00F6522A"/>
    <w:rsid w:val="00F86274"/>
    <w:rsid w:val="00F90122"/>
    <w:rsid w:val="00FA784B"/>
    <w:rsid w:val="00FC5A9D"/>
    <w:rsid w:val="00FD3F6B"/>
    <w:rsid w:val="00FE0A0D"/>
    <w:rsid w:val="01DD0F7E"/>
    <w:rsid w:val="020A5628"/>
    <w:rsid w:val="027C3466"/>
    <w:rsid w:val="02C45E6B"/>
    <w:rsid w:val="02DD0233"/>
    <w:rsid w:val="02FD70E3"/>
    <w:rsid w:val="03015719"/>
    <w:rsid w:val="03146E9E"/>
    <w:rsid w:val="03B12EB4"/>
    <w:rsid w:val="03CD080E"/>
    <w:rsid w:val="03EB32DA"/>
    <w:rsid w:val="040B42A1"/>
    <w:rsid w:val="056106F1"/>
    <w:rsid w:val="05B8390D"/>
    <w:rsid w:val="064E336B"/>
    <w:rsid w:val="07D00270"/>
    <w:rsid w:val="080F08D8"/>
    <w:rsid w:val="0850555F"/>
    <w:rsid w:val="08874912"/>
    <w:rsid w:val="088E1A8B"/>
    <w:rsid w:val="08CE0282"/>
    <w:rsid w:val="09597D53"/>
    <w:rsid w:val="097F5662"/>
    <w:rsid w:val="0A5E2B22"/>
    <w:rsid w:val="0AC96E08"/>
    <w:rsid w:val="0B156206"/>
    <w:rsid w:val="0BD530FD"/>
    <w:rsid w:val="0C501EDD"/>
    <w:rsid w:val="0CCB54D7"/>
    <w:rsid w:val="0D10749D"/>
    <w:rsid w:val="0D8361CD"/>
    <w:rsid w:val="0D8E0E89"/>
    <w:rsid w:val="0DA81358"/>
    <w:rsid w:val="0E2944A5"/>
    <w:rsid w:val="0E602814"/>
    <w:rsid w:val="0ECC12D1"/>
    <w:rsid w:val="0EEB6BDF"/>
    <w:rsid w:val="0F451D73"/>
    <w:rsid w:val="0FBE1355"/>
    <w:rsid w:val="0FC87CEA"/>
    <w:rsid w:val="10013944"/>
    <w:rsid w:val="102B29FC"/>
    <w:rsid w:val="10C1714F"/>
    <w:rsid w:val="113E2401"/>
    <w:rsid w:val="1158509E"/>
    <w:rsid w:val="11626CF2"/>
    <w:rsid w:val="11716ADE"/>
    <w:rsid w:val="11D010D8"/>
    <w:rsid w:val="11F9183F"/>
    <w:rsid w:val="12C851C3"/>
    <w:rsid w:val="137F2241"/>
    <w:rsid w:val="14217DBC"/>
    <w:rsid w:val="14390D58"/>
    <w:rsid w:val="148A7C64"/>
    <w:rsid w:val="152A6D51"/>
    <w:rsid w:val="166A0EA6"/>
    <w:rsid w:val="1680600A"/>
    <w:rsid w:val="169741CF"/>
    <w:rsid w:val="18C20E7E"/>
    <w:rsid w:val="18FC0A05"/>
    <w:rsid w:val="19063631"/>
    <w:rsid w:val="1A3366A8"/>
    <w:rsid w:val="1C8E7BC6"/>
    <w:rsid w:val="1CD07E71"/>
    <w:rsid w:val="1DB2649D"/>
    <w:rsid w:val="1DDB3AEB"/>
    <w:rsid w:val="1E2F3B6A"/>
    <w:rsid w:val="1E313051"/>
    <w:rsid w:val="1EAF3399"/>
    <w:rsid w:val="1F360FAE"/>
    <w:rsid w:val="1F8E612F"/>
    <w:rsid w:val="1FF5E06A"/>
    <w:rsid w:val="1FF9BE3B"/>
    <w:rsid w:val="1FFF1EFC"/>
    <w:rsid w:val="20541126"/>
    <w:rsid w:val="20712A87"/>
    <w:rsid w:val="20906787"/>
    <w:rsid w:val="215D788B"/>
    <w:rsid w:val="21845A3B"/>
    <w:rsid w:val="21C127EB"/>
    <w:rsid w:val="225418B2"/>
    <w:rsid w:val="22936D4E"/>
    <w:rsid w:val="22CF718A"/>
    <w:rsid w:val="236E24FF"/>
    <w:rsid w:val="238E494F"/>
    <w:rsid w:val="24770F74"/>
    <w:rsid w:val="249B6650"/>
    <w:rsid w:val="24A51F50"/>
    <w:rsid w:val="25CF7050"/>
    <w:rsid w:val="2687540D"/>
    <w:rsid w:val="2707674D"/>
    <w:rsid w:val="27225974"/>
    <w:rsid w:val="2735217D"/>
    <w:rsid w:val="277B380D"/>
    <w:rsid w:val="27A24E6D"/>
    <w:rsid w:val="27A45508"/>
    <w:rsid w:val="27CC3C98"/>
    <w:rsid w:val="27FED18E"/>
    <w:rsid w:val="286D207A"/>
    <w:rsid w:val="28DE1ED5"/>
    <w:rsid w:val="290C6A42"/>
    <w:rsid w:val="295C5F66"/>
    <w:rsid w:val="29834F41"/>
    <w:rsid w:val="29865D27"/>
    <w:rsid w:val="29911980"/>
    <w:rsid w:val="29EC6F3E"/>
    <w:rsid w:val="29F27EFB"/>
    <w:rsid w:val="2A573FBA"/>
    <w:rsid w:val="2B8128B0"/>
    <w:rsid w:val="2BEE7ACD"/>
    <w:rsid w:val="2C6EEDAB"/>
    <w:rsid w:val="2CF21CB2"/>
    <w:rsid w:val="2D870D8D"/>
    <w:rsid w:val="2E112405"/>
    <w:rsid w:val="2E125E81"/>
    <w:rsid w:val="2E4647A4"/>
    <w:rsid w:val="2E9B2E42"/>
    <w:rsid w:val="2FC61626"/>
    <w:rsid w:val="2FDA0FBD"/>
    <w:rsid w:val="2FFEC77B"/>
    <w:rsid w:val="300E4FA2"/>
    <w:rsid w:val="313158E0"/>
    <w:rsid w:val="31436E70"/>
    <w:rsid w:val="31526AE1"/>
    <w:rsid w:val="32444D75"/>
    <w:rsid w:val="33245BA7"/>
    <w:rsid w:val="33650457"/>
    <w:rsid w:val="33D04B10"/>
    <w:rsid w:val="345634DD"/>
    <w:rsid w:val="349C29D3"/>
    <w:rsid w:val="35353D4F"/>
    <w:rsid w:val="36CC7D9C"/>
    <w:rsid w:val="380D6942"/>
    <w:rsid w:val="386556BB"/>
    <w:rsid w:val="38801568"/>
    <w:rsid w:val="38DF6689"/>
    <w:rsid w:val="391068BA"/>
    <w:rsid w:val="39463C7B"/>
    <w:rsid w:val="3A5E69D2"/>
    <w:rsid w:val="3C6DBB5B"/>
    <w:rsid w:val="3DAFEEC3"/>
    <w:rsid w:val="3DE5CD67"/>
    <w:rsid w:val="3DFEADAD"/>
    <w:rsid w:val="3E905A13"/>
    <w:rsid w:val="3EE651E8"/>
    <w:rsid w:val="3F0C270C"/>
    <w:rsid w:val="3F1446FF"/>
    <w:rsid w:val="3FF97E4A"/>
    <w:rsid w:val="401E537D"/>
    <w:rsid w:val="404450F3"/>
    <w:rsid w:val="40BC26A4"/>
    <w:rsid w:val="41434B73"/>
    <w:rsid w:val="415F35E7"/>
    <w:rsid w:val="41681CD0"/>
    <w:rsid w:val="41EA4FEF"/>
    <w:rsid w:val="41FD4D22"/>
    <w:rsid w:val="424630F2"/>
    <w:rsid w:val="42C121F4"/>
    <w:rsid w:val="43074BA1"/>
    <w:rsid w:val="43313DD4"/>
    <w:rsid w:val="434B796F"/>
    <w:rsid w:val="43B43B06"/>
    <w:rsid w:val="43E8A813"/>
    <w:rsid w:val="442151E9"/>
    <w:rsid w:val="445A2900"/>
    <w:rsid w:val="448910CB"/>
    <w:rsid w:val="45D07C67"/>
    <w:rsid w:val="45E101E0"/>
    <w:rsid w:val="47016C83"/>
    <w:rsid w:val="477A7C7A"/>
    <w:rsid w:val="47AF13D0"/>
    <w:rsid w:val="47FFC8B5"/>
    <w:rsid w:val="486A4047"/>
    <w:rsid w:val="48EC3E49"/>
    <w:rsid w:val="4934503E"/>
    <w:rsid w:val="49F27137"/>
    <w:rsid w:val="49F87BC7"/>
    <w:rsid w:val="4A3634C7"/>
    <w:rsid w:val="4A704A77"/>
    <w:rsid w:val="4A7F4E6E"/>
    <w:rsid w:val="4A914D59"/>
    <w:rsid w:val="4B343952"/>
    <w:rsid w:val="4BED4059"/>
    <w:rsid w:val="4CC50B32"/>
    <w:rsid w:val="4EAA6B9A"/>
    <w:rsid w:val="4EAF3848"/>
    <w:rsid w:val="4FDD43E5"/>
    <w:rsid w:val="5015402C"/>
    <w:rsid w:val="506E1F2E"/>
    <w:rsid w:val="511C02EC"/>
    <w:rsid w:val="515B7CB7"/>
    <w:rsid w:val="51991D5B"/>
    <w:rsid w:val="5221680B"/>
    <w:rsid w:val="52A64F62"/>
    <w:rsid w:val="52EE3590"/>
    <w:rsid w:val="543F43D4"/>
    <w:rsid w:val="54584E56"/>
    <w:rsid w:val="54C07783"/>
    <w:rsid w:val="555D3683"/>
    <w:rsid w:val="559D6D86"/>
    <w:rsid w:val="55B987F4"/>
    <w:rsid w:val="55BB2AD2"/>
    <w:rsid w:val="568A3147"/>
    <w:rsid w:val="56B7744C"/>
    <w:rsid w:val="578E0D8B"/>
    <w:rsid w:val="57CF5BD8"/>
    <w:rsid w:val="580E15DF"/>
    <w:rsid w:val="583D0117"/>
    <w:rsid w:val="588673C8"/>
    <w:rsid w:val="597B0EF6"/>
    <w:rsid w:val="59984BE9"/>
    <w:rsid w:val="59D4126B"/>
    <w:rsid w:val="5A534E7E"/>
    <w:rsid w:val="5A793DFF"/>
    <w:rsid w:val="5A861ABD"/>
    <w:rsid w:val="5A877F6E"/>
    <w:rsid w:val="5AAA6159"/>
    <w:rsid w:val="5AC25BE4"/>
    <w:rsid w:val="5BE13B29"/>
    <w:rsid w:val="5BF60D08"/>
    <w:rsid w:val="5C345E24"/>
    <w:rsid w:val="5C447CC6"/>
    <w:rsid w:val="5DB485F1"/>
    <w:rsid w:val="5DBEF0AF"/>
    <w:rsid w:val="5DD961EC"/>
    <w:rsid w:val="5E0174ED"/>
    <w:rsid w:val="5E0771FD"/>
    <w:rsid w:val="5EC62C14"/>
    <w:rsid w:val="5EFFF57D"/>
    <w:rsid w:val="5F0E6369"/>
    <w:rsid w:val="5F4E201F"/>
    <w:rsid w:val="5F8D1E5A"/>
    <w:rsid w:val="5FFB3E02"/>
    <w:rsid w:val="5FFE06DD"/>
    <w:rsid w:val="5FFFA4BF"/>
    <w:rsid w:val="60255718"/>
    <w:rsid w:val="60503F00"/>
    <w:rsid w:val="6097312A"/>
    <w:rsid w:val="617A1A94"/>
    <w:rsid w:val="61CA2846"/>
    <w:rsid w:val="62473BB8"/>
    <w:rsid w:val="638C6E10"/>
    <w:rsid w:val="639D5F0D"/>
    <w:rsid w:val="64622C32"/>
    <w:rsid w:val="65352CC2"/>
    <w:rsid w:val="65927FFB"/>
    <w:rsid w:val="65934B1A"/>
    <w:rsid w:val="672F3320"/>
    <w:rsid w:val="67746F85"/>
    <w:rsid w:val="684567EC"/>
    <w:rsid w:val="68DB72BC"/>
    <w:rsid w:val="68FD6917"/>
    <w:rsid w:val="697E6026"/>
    <w:rsid w:val="698A3443"/>
    <w:rsid w:val="69DD022C"/>
    <w:rsid w:val="69FBCE2A"/>
    <w:rsid w:val="6A657119"/>
    <w:rsid w:val="6A7F0C40"/>
    <w:rsid w:val="6AA67565"/>
    <w:rsid w:val="6B021369"/>
    <w:rsid w:val="6B942B75"/>
    <w:rsid w:val="6B9E1680"/>
    <w:rsid w:val="6C176B17"/>
    <w:rsid w:val="6C8466C9"/>
    <w:rsid w:val="6D311CE1"/>
    <w:rsid w:val="6D76EBC6"/>
    <w:rsid w:val="6F466928"/>
    <w:rsid w:val="6FFF451D"/>
    <w:rsid w:val="70843979"/>
    <w:rsid w:val="70D78CDE"/>
    <w:rsid w:val="712E59E4"/>
    <w:rsid w:val="723D3A1F"/>
    <w:rsid w:val="727F51BF"/>
    <w:rsid w:val="72A66B8C"/>
    <w:rsid w:val="72B61A94"/>
    <w:rsid w:val="73610CF9"/>
    <w:rsid w:val="738B7B30"/>
    <w:rsid w:val="73B74459"/>
    <w:rsid w:val="745D23FB"/>
    <w:rsid w:val="74732A9E"/>
    <w:rsid w:val="74BD330E"/>
    <w:rsid w:val="75660855"/>
    <w:rsid w:val="75856344"/>
    <w:rsid w:val="758E24BF"/>
    <w:rsid w:val="75A1363B"/>
    <w:rsid w:val="760140DA"/>
    <w:rsid w:val="770E4D00"/>
    <w:rsid w:val="77CD31D4"/>
    <w:rsid w:val="77FD0AE2"/>
    <w:rsid w:val="77FF0674"/>
    <w:rsid w:val="792C76C0"/>
    <w:rsid w:val="79A3472E"/>
    <w:rsid w:val="79F86DB4"/>
    <w:rsid w:val="7AD24297"/>
    <w:rsid w:val="7B315461"/>
    <w:rsid w:val="7B672C31"/>
    <w:rsid w:val="7BBF46DA"/>
    <w:rsid w:val="7BF340DD"/>
    <w:rsid w:val="7CA3413D"/>
    <w:rsid w:val="7CBD3A12"/>
    <w:rsid w:val="7D783071"/>
    <w:rsid w:val="7D7D068F"/>
    <w:rsid w:val="7DDA94F3"/>
    <w:rsid w:val="7DEEEC5E"/>
    <w:rsid w:val="7E1BE51C"/>
    <w:rsid w:val="7E276419"/>
    <w:rsid w:val="7E927FC5"/>
    <w:rsid w:val="7ED98723"/>
    <w:rsid w:val="7EF37C73"/>
    <w:rsid w:val="7F77DF6E"/>
    <w:rsid w:val="7F874710"/>
    <w:rsid w:val="7F8F3234"/>
    <w:rsid w:val="7FAE86C4"/>
    <w:rsid w:val="7FAF81B0"/>
    <w:rsid w:val="7FEC2145"/>
    <w:rsid w:val="7FF05EC8"/>
    <w:rsid w:val="89FD9135"/>
    <w:rsid w:val="9CDE8E01"/>
    <w:rsid w:val="9EAF1A3C"/>
    <w:rsid w:val="A6FF9800"/>
    <w:rsid w:val="ADBE2684"/>
    <w:rsid w:val="AFFFA69B"/>
    <w:rsid w:val="B67FB5D1"/>
    <w:rsid w:val="B7840DFC"/>
    <w:rsid w:val="B7D345A8"/>
    <w:rsid w:val="B7FFF0C0"/>
    <w:rsid w:val="B9CB9586"/>
    <w:rsid w:val="BFBF712A"/>
    <w:rsid w:val="BFF9DFB5"/>
    <w:rsid w:val="C76FF686"/>
    <w:rsid w:val="CE7E9C21"/>
    <w:rsid w:val="CFFFB7BD"/>
    <w:rsid w:val="D59F796D"/>
    <w:rsid w:val="D67ED081"/>
    <w:rsid w:val="D77CAAC2"/>
    <w:rsid w:val="D77D0FFE"/>
    <w:rsid w:val="DBCFB5C1"/>
    <w:rsid w:val="DEBAA032"/>
    <w:rsid w:val="DED74821"/>
    <w:rsid w:val="DFC765E4"/>
    <w:rsid w:val="DFF57B9D"/>
    <w:rsid w:val="E67F7CEE"/>
    <w:rsid w:val="E77D4E8F"/>
    <w:rsid w:val="E93262A5"/>
    <w:rsid w:val="ECFF99CB"/>
    <w:rsid w:val="EDBF00FB"/>
    <w:rsid w:val="EEC7EB74"/>
    <w:rsid w:val="EFD7256A"/>
    <w:rsid w:val="F3FBC666"/>
    <w:rsid w:val="F6EA18E9"/>
    <w:rsid w:val="F7F71E98"/>
    <w:rsid w:val="F7F748B9"/>
    <w:rsid w:val="FBE6A1E9"/>
    <w:rsid w:val="FD3EC932"/>
    <w:rsid w:val="FDAB7375"/>
    <w:rsid w:val="FDFECB63"/>
    <w:rsid w:val="FDFF3B18"/>
    <w:rsid w:val="FDFFF641"/>
    <w:rsid w:val="FE172CBE"/>
    <w:rsid w:val="FEFDD8A0"/>
    <w:rsid w:val="FF3F4EBD"/>
    <w:rsid w:val="FFCB8A3D"/>
    <w:rsid w:val="FFF728F4"/>
    <w:rsid w:val="FFF9AE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26"/>
    <w:unhideWhenUsed/>
    <w:qFormat/>
    <w:uiPriority w:val="99"/>
    <w:pPr>
      <w:spacing w:after="120" w:line="480" w:lineRule="auto"/>
      <w:ind w:left="420" w:leftChars="200"/>
    </w:pPr>
  </w:style>
  <w:style w:type="paragraph" w:styleId="4">
    <w:name w:val="toa heading"/>
    <w:basedOn w:val="1"/>
    <w:next w:val="1"/>
    <w:qFormat/>
    <w:uiPriority w:val="0"/>
    <w:pPr>
      <w:spacing w:before="120" w:after="100" w:afterAutospacing="1"/>
    </w:pPr>
    <w:rPr>
      <w:rFonts w:ascii="Arial" w:hAnsi="Arial" w:cs="Arial"/>
    </w:rPr>
  </w:style>
  <w:style w:type="paragraph" w:styleId="5">
    <w:name w:val="Body Text"/>
    <w:basedOn w:val="1"/>
    <w:next w:val="1"/>
    <w:link w:val="29"/>
    <w:semiHidden/>
    <w:unhideWhenUsed/>
    <w:qFormat/>
    <w:uiPriority w:val="99"/>
    <w:pPr>
      <w:spacing w:after="120"/>
    </w:p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widowControl/>
      <w:topLinePunct/>
      <w:adjustRightInd w:val="0"/>
      <w:snapToGrid w:val="0"/>
      <w:spacing w:before="160" w:after="160" w:line="240" w:lineRule="atLeast"/>
      <w:ind w:left="1701"/>
      <w:jc w:val="left"/>
    </w:pPr>
    <w:rPr>
      <w:rFonts w:ascii="Arial" w:hAnsi="Arial" w:cs="Arial"/>
    </w:rPr>
  </w:style>
  <w:style w:type="paragraph" w:styleId="8">
    <w:name w:val="toc 3"/>
    <w:basedOn w:val="1"/>
    <w:next w:val="1"/>
    <w:qFormat/>
    <w:uiPriority w:val="39"/>
    <w:pPr>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7"/>
    <w:qFormat/>
    <w:uiPriority w:val="99"/>
    <w:pPr>
      <w:tabs>
        <w:tab w:val="center" w:pos="4153"/>
        <w:tab w:val="right" w:pos="8306"/>
      </w:tabs>
      <w:snapToGrid w:val="0"/>
      <w:jc w:val="left"/>
    </w:pPr>
    <w:rPr>
      <w:sz w:val="18"/>
    </w:rPr>
  </w:style>
  <w:style w:type="paragraph" w:styleId="11">
    <w:name w:val="header"/>
    <w:basedOn w:val="1"/>
    <w:link w:val="2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style>
  <w:style w:type="paragraph" w:styleId="13">
    <w:name w:val="toc 2"/>
    <w:basedOn w:val="1"/>
    <w:next w:val="1"/>
    <w:qFormat/>
    <w:uiPriority w:val="39"/>
    <w:pPr>
      <w:ind w:left="420" w:leftChars="200"/>
    </w:pPr>
  </w:style>
  <w:style w:type="paragraph" w:styleId="14">
    <w:name w:val="Body Text 2"/>
    <w:basedOn w:val="1"/>
    <w:next w:val="5"/>
    <w:qFormat/>
    <w:uiPriority w:val="0"/>
    <w:pPr>
      <w:adjustRightInd w:val="0"/>
      <w:spacing w:line="360" w:lineRule="auto"/>
      <w:textAlignment w:val="baseline"/>
    </w:pPr>
    <w:rPr>
      <w:rFonts w:ascii="楷体_GB2312" w:eastAsia="楷体_GB2312"/>
      <w:kern w:val="44"/>
      <w:sz w:val="28"/>
      <w:szCs w:val="20"/>
    </w:rPr>
  </w:style>
  <w:style w:type="paragraph" w:styleId="1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spacing w:before="100" w:beforeAutospacing="1" w:after="100" w:afterAutospacing="1"/>
      <w:jc w:val="left"/>
    </w:pPr>
    <w:rPr>
      <w:kern w:val="0"/>
      <w:sz w:val="24"/>
    </w:rPr>
  </w:style>
  <w:style w:type="paragraph" w:styleId="17">
    <w:name w:val="Body Text First Indent"/>
    <w:basedOn w:val="5"/>
    <w:next w:val="18"/>
    <w:link w:val="30"/>
    <w:qFormat/>
    <w:uiPriority w:val="0"/>
    <w:pPr>
      <w:ind w:firstLine="420" w:firstLineChars="100"/>
    </w:pPr>
  </w:style>
  <w:style w:type="paragraph" w:styleId="18">
    <w:name w:val="Body Text First Indent 2"/>
    <w:basedOn w:val="6"/>
    <w:next w:val="17"/>
    <w:qFormat/>
    <w:uiPriority w:val="0"/>
    <w:pPr>
      <w:ind w:firstLine="420" w:firstLineChars="200"/>
    </w:p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Hyperlink"/>
    <w:basedOn w:val="21"/>
    <w:unhideWhenUsed/>
    <w:qFormat/>
    <w:uiPriority w:val="99"/>
    <w:rPr>
      <w:color w:val="0563C1" w:themeColor="hyperlink"/>
      <w:u w:val="single"/>
      <w14:textFill>
        <w14:solidFill>
          <w14:schemeClr w14:val="hlink"/>
        </w14:solidFill>
      </w14:textFill>
    </w:rPr>
  </w:style>
  <w:style w:type="paragraph" w:customStyle="1" w:styleId="24">
    <w:name w:val="正文首行缩进1"/>
    <w:basedOn w:val="25"/>
    <w:next w:val="1"/>
    <w:qFormat/>
    <w:uiPriority w:val="0"/>
    <w:pPr>
      <w:spacing w:after="0"/>
      <w:ind w:firstLine="420" w:firstLineChars="100"/>
    </w:pPr>
    <w:rPr>
      <w:rFonts w:ascii="Times New Roman" w:hAnsi="Times New Roman"/>
    </w:rPr>
  </w:style>
  <w:style w:type="paragraph" w:customStyle="1" w:styleId="25">
    <w:name w:val="正文文本1"/>
    <w:basedOn w:val="1"/>
    <w:qFormat/>
    <w:uiPriority w:val="99"/>
    <w:rPr>
      <w:rFonts w:ascii="Times New Roman" w:hAnsi="Times New Roman" w:cs="Times New Roman"/>
    </w:rPr>
  </w:style>
  <w:style w:type="character" w:customStyle="1" w:styleId="26">
    <w:name w:val="正文文本缩进 2 字符"/>
    <w:basedOn w:val="21"/>
    <w:link w:val="2"/>
    <w:qFormat/>
    <w:uiPriority w:val="99"/>
    <w:rPr>
      <w:rFonts w:ascii="Calibri" w:hAnsi="Calibri" w:cs="Times New Roman"/>
    </w:rPr>
  </w:style>
  <w:style w:type="character" w:customStyle="1" w:styleId="27">
    <w:name w:val="页脚 字符"/>
    <w:basedOn w:val="21"/>
    <w:link w:val="10"/>
    <w:qFormat/>
    <w:uiPriority w:val="99"/>
    <w:rPr>
      <w:rFonts w:ascii="Calibri" w:hAnsi="Calibri" w:cs="Times New Roman"/>
      <w:sz w:val="18"/>
    </w:rPr>
  </w:style>
  <w:style w:type="character" w:customStyle="1" w:styleId="28">
    <w:name w:val="页眉 字符"/>
    <w:basedOn w:val="21"/>
    <w:link w:val="11"/>
    <w:qFormat/>
    <w:uiPriority w:val="0"/>
    <w:rPr>
      <w:rFonts w:ascii="Calibri" w:hAnsi="Calibri" w:cs="Times New Roman"/>
      <w:sz w:val="18"/>
    </w:rPr>
  </w:style>
  <w:style w:type="character" w:customStyle="1" w:styleId="29">
    <w:name w:val="正文文本 字符"/>
    <w:basedOn w:val="21"/>
    <w:link w:val="5"/>
    <w:semiHidden/>
    <w:qFormat/>
    <w:uiPriority w:val="99"/>
    <w:rPr>
      <w:rFonts w:ascii="Calibri" w:hAnsi="Calibri" w:cs="Times New Roman"/>
    </w:rPr>
  </w:style>
  <w:style w:type="character" w:customStyle="1" w:styleId="30">
    <w:name w:val="正文文本首行缩进 字符"/>
    <w:basedOn w:val="29"/>
    <w:link w:val="17"/>
    <w:qFormat/>
    <w:uiPriority w:val="0"/>
    <w:rPr>
      <w:rFonts w:ascii="Calibri" w:hAnsi="Calibri" w:cs="Times New Roman"/>
    </w:rPr>
  </w:style>
  <w:style w:type="paragraph" w:customStyle="1" w:styleId="31">
    <w:name w:val="WPSOffice手动目录 3"/>
    <w:qFormat/>
    <w:uiPriority w:val="0"/>
    <w:pPr>
      <w:ind w:left="400" w:leftChars="400"/>
    </w:pPr>
    <w:rPr>
      <w:rFonts w:ascii="Times New Roman" w:hAnsi="Times New Roman" w:eastAsia="宋体" w:cs="Times New Roman"/>
      <w:kern w:val="0"/>
      <w:sz w:val="20"/>
      <w:szCs w:val="20"/>
      <w:lang w:val="en-US" w:eastAsia="zh-CN" w:bidi="ar-SA"/>
    </w:rPr>
  </w:style>
  <w:style w:type="paragraph" w:customStyle="1" w:styleId="32">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33">
    <w:name w:val="WPSOffice手动目录 2"/>
    <w:qFormat/>
    <w:uiPriority w:val="0"/>
    <w:pPr>
      <w:ind w:left="200" w:leftChars="200"/>
    </w:pPr>
    <w:rPr>
      <w:rFonts w:ascii="Times New Roman" w:hAnsi="Times New Roman" w:eastAsia="宋体" w:cs="Times New Roman"/>
      <w:kern w:val="0"/>
      <w:sz w:val="20"/>
      <w:szCs w:val="20"/>
      <w:lang w:val="en-US" w:eastAsia="zh-CN" w:bidi="ar-SA"/>
    </w:rPr>
  </w:style>
  <w:style w:type="character" w:customStyle="1" w:styleId="34">
    <w:name w:val="批注框文本 字符"/>
    <w:basedOn w:val="21"/>
    <w:link w:val="9"/>
    <w:semiHidden/>
    <w:qFormat/>
    <w:uiPriority w:val="99"/>
    <w:rPr>
      <w:rFonts w:ascii="Calibri" w:hAnsi="Calibri" w:cs="Times New Roman"/>
      <w:sz w:val="18"/>
      <w:szCs w:val="18"/>
    </w:rPr>
  </w:style>
  <w:style w:type="paragraph" w:styleId="35">
    <w:name w:val="List Paragraph"/>
    <w:basedOn w:val="1"/>
    <w:qFormat/>
    <w:uiPriority w:val="34"/>
    <w:pPr>
      <w:ind w:firstLine="420" w:firstLineChars="200"/>
    </w:pPr>
  </w:style>
  <w:style w:type="paragraph" w:customStyle="1" w:styleId="36">
    <w:name w:val="表格"/>
    <w:basedOn w:val="1"/>
    <w:qFormat/>
    <w:uiPriority w:val="0"/>
    <w:pPr>
      <w:numPr>
        <w:ilvl w:val="0"/>
        <w:numId w:val="1"/>
      </w:numPr>
      <w:spacing w:line="300" w:lineRule="auto"/>
      <w:ind w:firstLine="0" w:firstLineChars="0"/>
      <w:jc w:val="left"/>
    </w:pPr>
    <w:rPr>
      <w:rFonts w:ascii="楷体" w:hAnsi="楷体" w:eastAsia="楷体" w:cs="仿宋"/>
      <w:sz w:val="24"/>
      <w:szCs w:val="24"/>
    </w:rPr>
  </w:style>
  <w:style w:type="paragraph" w:customStyle="1" w:styleId="37">
    <w:name w:val="_Style 1"/>
    <w:basedOn w:val="1"/>
    <w:qFormat/>
    <w:uiPriority w:val="99"/>
    <w:pPr>
      <w:spacing w:line="481" w:lineRule="atLeast"/>
      <w:ind w:firstLine="623"/>
      <w:textAlignment w:val="baseline"/>
    </w:pPr>
    <w:rPr>
      <w:rFonts w:ascii="Times New Roman" w:eastAsia="仿宋_GB2312"/>
      <w:color w:val="000000"/>
      <w:sz w:val="31"/>
    </w:rPr>
  </w:style>
  <w:style w:type="paragraph" w:customStyle="1" w:styleId="38">
    <w:name w:val="样式 17 10 磅"/>
    <w:next w:val="1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Calibri" w:hAnsi="Calibri" w:eastAsia="宋体" w:cs="Arial"/>
      <w:snapToGrid/>
      <w:color w:val="auto"/>
      <w:spacing w:val="0"/>
      <w:w w:val="100"/>
      <w:kern w:val="2"/>
      <w:position w:val="0"/>
      <w:sz w:val="21"/>
      <w:szCs w:val="24"/>
      <w:u w:val="none" w:color="auto"/>
      <w:shd w:val="clear" w:color="auto" w:fill="auto"/>
      <w:vertAlign w:val="baseline"/>
      <w:lang w:val="en-US" w:eastAsia="zh-CN" w:bidi="ar-SA"/>
    </w:rPr>
  </w:style>
  <w:style w:type="paragraph" w:customStyle="1" w:styleId="39">
    <w:name w:val="无间隔1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46</Pages>
  <Words>10619</Words>
  <Characters>10934</Characters>
  <Lines>277</Lines>
  <Paragraphs>78</Paragraphs>
  <TotalTime>60</TotalTime>
  <ScaleCrop>false</ScaleCrop>
  <LinksUpToDate>false</LinksUpToDate>
  <CharactersWithSpaces>10940</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2021-12-18T22:03:00Z</dcterms:created>
  <dc:creator>吕指臣</dc:creator>
  <cp:lastModifiedBy>greatwall</cp:lastModifiedBy>
  <cp:lastPrinted>2026-05-22T15:56:00Z</cp:lastPrinted>
  <dcterms:modified xsi:type="dcterms:W3CDTF">2026-07-22T17:03:34Z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3EEA5864FE054708A3A42DE6B0BAECE0</vt:lpwstr>
  </property>
  <property fmtid="{D5CDD505-2E9C-101B-9397-08002B2CF9AE}" pid="4" name="KSOTemplateDocerSaveRecord">
    <vt:lpwstr>eyJoZGlkIjoiZTM3NTY2YWM0OTAzOTJlYjQ2ZDZmNWRiNGZiM2MxZWUiLCJ1c2VySWQiOiI1NTI3ODc5MzUifQ==</vt:lpwstr>
  </property>
</Properties>
</file>