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EA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3E2E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《肇庆市市级储备粮自主轮换储备管理</w:t>
      </w:r>
    </w:p>
    <w:p w14:paraId="48427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实施细则》政策解读</w:t>
      </w:r>
    </w:p>
    <w:p w14:paraId="6FB67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49DFA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进一步加强市级储备粮自主轮换管理，我局结合市级储备粮管理实际，制定了《肇庆市市级储备粮自主轮换储备管理实施细则》（以下简称《实施细则》），对市级储备粮自主轮换的收储管理、储存和轮换、财务管理、动用管理、监督管理等方面作出具体规定，现就有关内容解读如下：</w:t>
      </w:r>
    </w:p>
    <w:p w14:paraId="22528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一、出台背景</w:t>
      </w:r>
    </w:p>
    <w:p w14:paraId="5984A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近年来，我市按照改革完善体制机制加强粮食储备安全管理的工作要求，不断加强市级储备粮制度体系建设，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取一系列措施规范市级储备粮管理工作。但在常管理中，关于自主轮换管理的规定还不够细化，未能满足市级储备粮管理的实际需求。例如，在开展自主轮换管理过程中，承储企业普遍涉及的周转仓容管理问题，市本级还没有相关规定进行明确；储备品种的自主储备轮换周期没有明确的具体要求；承储企业关于自主轮换实物库存情况要求仍有待细化；动用储备时承储企业须承担的责任、未能履行相应责任的处罚措施等规定仍然不够明确等。</w:t>
      </w:r>
    </w:p>
    <w:p w14:paraId="3E5E7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二、制定的主要依据</w:t>
      </w:r>
    </w:p>
    <w:p w14:paraId="02DEF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《实施细则》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主要参照《中华人民共和国粮食安全保障法》《广东省分行省级储备粮自主轮换储备管理实施细则》《肇庆市市级储备粮管理办法》等有关法律法规和政策文件精神进行制订。</w:t>
      </w:r>
    </w:p>
    <w:p w14:paraId="1A5B2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三、主要内容</w:t>
      </w:r>
    </w:p>
    <w:p w14:paraId="05262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《实施细则》共37条，分为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总则、收储管理、储存和轮换、财务管理、动用管理、监督管理、附则等。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自主轮换储备粮的收储、轮换、动用和监督管理过程中市粮储局、市财政局、农发行肇庆分行、储备粮承储企业等单位的职责进行规定。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明确承储计划下达和调整、储备粮收储和确认等程序。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对自主轮换储备粮储存及轮换、财务、动用、退出等方面管理的作出具体要求。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明确相关部门和企业的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监督职责。</w:t>
      </w:r>
    </w:p>
    <w:p w14:paraId="12B04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21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ECEAC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ECEAC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yNTIyZmMyYjJjYzAyNzExZmNkNDE4Mjc0NTA2MjEifQ=="/>
  </w:docVars>
  <w:rsids>
    <w:rsidRoot w:val="19CE50DD"/>
    <w:rsid w:val="0BDA7DFE"/>
    <w:rsid w:val="19CE50DD"/>
    <w:rsid w:val="42B4772B"/>
    <w:rsid w:val="53FF3697"/>
    <w:rsid w:val="66AE5255"/>
    <w:rsid w:val="6A89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690</Words>
  <Characters>691</Characters>
  <Lines>0</Lines>
  <Paragraphs>0</Paragraphs>
  <TotalTime>50</TotalTime>
  <ScaleCrop>false</ScaleCrop>
  <LinksUpToDate>false</LinksUpToDate>
  <CharactersWithSpaces>691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2024-09-10T08:50:00Z</dcterms:created>
  <dc:creator>Administrator</dc:creator>
  <cp:lastModifiedBy>Administrator</cp:lastModifiedBy>
  <dcterms:modified xsi:type="dcterms:W3CDTF">2024-10-29T02:28:21Z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7AD88513028947CFA06A7107EA0BD261_11</vt:lpwstr>
  </property>
</Properties>
</file>