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A1D06F">
      <w:pPr>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黑体" w:cs="Times New Roman"/>
          <w:color w:val="000000"/>
          <w:sz w:val="32"/>
          <w:szCs w:val="32"/>
          <w:highlight w:val="none"/>
          <w:u w:val="none"/>
          <w:lang w:val="en-US" w:eastAsia="zh-CN"/>
        </w:rPr>
      </w:pPr>
      <w:r>
        <w:rPr>
          <w:rFonts w:hint="default" w:ascii="Times New Roman" w:hAnsi="Times New Roman" w:eastAsia="黑体" w:cs="Times New Roman"/>
          <w:color w:val="000000"/>
          <w:sz w:val="32"/>
          <w:szCs w:val="32"/>
          <w:highlight w:val="none"/>
          <w:u w:val="none"/>
        </w:rPr>
        <w:t>附件</w:t>
      </w:r>
      <w:r>
        <w:rPr>
          <w:rFonts w:hint="eastAsia" w:eastAsia="黑体" w:cs="Times New Roman"/>
          <w:color w:val="000000"/>
          <w:sz w:val="32"/>
          <w:szCs w:val="32"/>
          <w:highlight w:val="none"/>
          <w:u w:val="none"/>
          <w:lang w:val="en-US" w:eastAsia="zh-CN"/>
        </w:rPr>
        <w:t>2</w:t>
      </w:r>
    </w:p>
    <w:p w14:paraId="2FD14216">
      <w:pPr>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黑体" w:cs="Times New Roman"/>
          <w:color w:val="000000"/>
          <w:sz w:val="32"/>
          <w:szCs w:val="32"/>
          <w:highlight w:val="none"/>
          <w:u w:val="none"/>
          <w:lang w:val="en-US" w:eastAsia="zh-CN"/>
        </w:rPr>
      </w:pPr>
    </w:p>
    <w:p w14:paraId="212D5E0A">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Times New Roman"/>
          <w:color w:val="000000"/>
          <w:kern w:val="2"/>
          <w:sz w:val="32"/>
          <w:szCs w:val="32"/>
          <w:highlight w:val="none"/>
          <w:u w:val="none"/>
          <w:lang w:val="en-US" w:eastAsia="zh-CN" w:bidi="ar-SA"/>
        </w:rPr>
      </w:pPr>
      <w:bookmarkStart w:id="0" w:name="_GoBack"/>
      <w:r>
        <w:rPr>
          <w:rFonts w:hint="default" w:ascii="Times New Roman" w:hAnsi="Times New Roman" w:eastAsia="方正小标宋简体" w:cs="Times New Roman"/>
          <w:color w:val="000000"/>
          <w:kern w:val="2"/>
          <w:sz w:val="44"/>
          <w:szCs w:val="44"/>
          <w:highlight w:val="none"/>
          <w:u w:val="none"/>
          <w:lang w:val="en-US" w:eastAsia="zh-CN" w:bidi="ar-SA"/>
        </w:rPr>
        <w:t>储备土地配套电力接入一般标准</w:t>
      </w:r>
    </w:p>
    <w:bookmarkEnd w:id="0"/>
    <w:p w14:paraId="4E55BE44">
      <w:pPr>
        <w:keepNext w:val="0"/>
        <w:keepLines w:val="0"/>
        <w:pageBreakBefore w:val="0"/>
        <w:widowControl w:val="0"/>
        <w:kinsoku/>
        <w:wordWrap/>
        <w:overflowPunct/>
        <w:topLinePunct w:val="0"/>
        <w:autoSpaceDE/>
        <w:autoSpaceDN/>
        <w:bidi w:val="0"/>
        <w:adjustRightInd w:val="0"/>
        <w:snapToGrid w:val="0"/>
        <w:spacing w:line="560" w:lineRule="exact"/>
        <w:ind w:right="0" w:firstLine="724" w:firstLineChars="200"/>
        <w:jc w:val="both"/>
        <w:textAlignment w:val="auto"/>
        <w:rPr>
          <w:rFonts w:hint="default" w:ascii="Times New Roman" w:hAnsi="Times New Roman" w:eastAsia="仿宋_GB2312" w:cs="Times New Roman"/>
          <w:color w:val="000000"/>
          <w:spacing w:val="21"/>
          <w:sz w:val="32"/>
          <w:szCs w:val="32"/>
          <w:highlight w:val="none"/>
          <w:u w:val="none"/>
        </w:rPr>
      </w:pPr>
    </w:p>
    <w:p w14:paraId="72622832">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color w:val="000000"/>
          <w:sz w:val="32"/>
          <w:szCs w:val="32"/>
          <w:highlight w:val="none"/>
          <w:u w:val="none"/>
        </w:rPr>
      </w:pPr>
      <w:r>
        <w:rPr>
          <w:rFonts w:hint="default" w:ascii="Times New Roman" w:hAnsi="Times New Roman" w:eastAsia="仿宋_GB2312" w:cs="Times New Roman"/>
          <w:color w:val="000000"/>
          <w:sz w:val="32"/>
          <w:szCs w:val="32"/>
          <w:highlight w:val="none"/>
          <w:u w:val="none"/>
        </w:rPr>
        <w:t>储备土地配套电力接入标准应以满足最终电力用户必要需求为导向，本标准根据不同类型储备土地的一般用电情况，确定了配套电力接入的一般原则，超过部分应视为超标准报装或个性化需求。其中各级能源主管部门认定的重要电力客户、含自备机组或非线性负荷的特殊用户等需单独论证供电标准及接入方式。</w:t>
      </w:r>
    </w:p>
    <w:p w14:paraId="74F12659">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黑体" w:cs="Times New Roman"/>
          <w:color w:val="000000"/>
          <w:sz w:val="32"/>
          <w:szCs w:val="32"/>
          <w:highlight w:val="none"/>
          <w:u w:val="none"/>
        </w:rPr>
      </w:pPr>
      <w:r>
        <w:rPr>
          <w:rFonts w:hint="default" w:ascii="Times New Roman" w:hAnsi="Times New Roman" w:eastAsia="黑体" w:cs="Times New Roman"/>
          <w:color w:val="000000"/>
          <w:sz w:val="32"/>
          <w:szCs w:val="32"/>
          <w:highlight w:val="none"/>
          <w:u w:val="none"/>
        </w:rPr>
        <w:t>一、住宅用地</w:t>
      </w:r>
    </w:p>
    <w:p w14:paraId="38072B09">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color w:val="000000"/>
          <w:sz w:val="32"/>
          <w:szCs w:val="32"/>
          <w:highlight w:val="none"/>
          <w:u w:val="none"/>
        </w:rPr>
      </w:pPr>
      <w:r>
        <w:rPr>
          <w:rFonts w:hint="default" w:ascii="Times New Roman" w:hAnsi="Times New Roman" w:eastAsia="仿宋_GB2312" w:cs="Times New Roman"/>
          <w:color w:val="000000"/>
          <w:sz w:val="32"/>
          <w:szCs w:val="32"/>
          <w:highlight w:val="none"/>
          <w:u w:val="none"/>
        </w:rPr>
        <w:t>住宅用地项目的一般供电标准为双回路供电，电源来自同一变电站或环网单元的不同母线段；接入方式为</w:t>
      </w:r>
      <w:r>
        <w:rPr>
          <w:rFonts w:hint="default" w:ascii="Times New Roman" w:hAnsi="Times New Roman" w:eastAsia="仿宋_GB2312" w:cs="Times New Roman"/>
          <w:color w:val="000000"/>
          <w:sz w:val="32"/>
          <w:szCs w:val="32"/>
          <w:highlight w:val="none"/>
          <w:u w:val="none"/>
          <w:lang w:eastAsia="zh-CN"/>
        </w:rPr>
        <w:t>：</w:t>
      </w:r>
      <w:r>
        <w:rPr>
          <w:rFonts w:hint="default" w:ascii="Times New Roman" w:hAnsi="Times New Roman" w:eastAsia="仿宋_GB2312" w:cs="Times New Roman"/>
          <w:color w:val="000000"/>
          <w:sz w:val="32"/>
          <w:szCs w:val="32"/>
          <w:highlight w:val="none"/>
          <w:u w:val="none"/>
        </w:rPr>
        <w:t>地上建筑面积100万平方米以上者应采用110千伏变电站专线接入；地上建筑面积100万平方米及以下者宜采用10千伏公用环网单元或公用架空线接入，必要时也可采用10千伏变电所专线或综合线接入。</w:t>
      </w:r>
    </w:p>
    <w:p w14:paraId="3CD2CFAD">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黑体" w:cs="Times New Roman"/>
          <w:color w:val="000000"/>
          <w:sz w:val="32"/>
          <w:szCs w:val="32"/>
          <w:highlight w:val="none"/>
          <w:u w:val="none"/>
        </w:rPr>
      </w:pPr>
      <w:r>
        <w:rPr>
          <w:rFonts w:hint="default" w:ascii="Times New Roman" w:hAnsi="Times New Roman" w:eastAsia="黑体" w:cs="Times New Roman"/>
          <w:color w:val="000000"/>
          <w:sz w:val="32"/>
          <w:szCs w:val="32"/>
          <w:highlight w:val="none"/>
          <w:u w:val="none"/>
        </w:rPr>
        <w:t>二、商服用地</w:t>
      </w:r>
    </w:p>
    <w:p w14:paraId="482144CE">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color w:val="000000"/>
          <w:sz w:val="32"/>
          <w:szCs w:val="32"/>
          <w:highlight w:val="none"/>
          <w:u w:val="none"/>
        </w:rPr>
      </w:pPr>
      <w:r>
        <w:rPr>
          <w:rFonts w:hint="default" w:ascii="Times New Roman" w:hAnsi="Times New Roman" w:eastAsia="仿宋_GB2312" w:cs="Times New Roman"/>
          <w:color w:val="000000"/>
          <w:sz w:val="32"/>
          <w:szCs w:val="32"/>
          <w:highlight w:val="none"/>
          <w:u w:val="none"/>
        </w:rPr>
        <w:t>商服用地项目的一般供电标准为双回路供电，电源来自同一变电站或环网单元的不同母线段；接入方式为地上建筑面积30万平方米以上者宜采用110千伏变电所专线接入；其他采用10千伏供电，10千伏变电所专线或综合线接入范围为10万平方米至30万平方米</w:t>
      </w:r>
      <w:r>
        <w:rPr>
          <w:rFonts w:hint="default" w:ascii="Times New Roman" w:hAnsi="Times New Roman" w:eastAsia="仿宋_GB2312" w:cs="Times New Roman"/>
          <w:color w:val="000000"/>
          <w:sz w:val="32"/>
          <w:szCs w:val="32"/>
          <w:highlight w:val="none"/>
          <w:u w:val="none"/>
          <w:lang w:eastAsia="zh-CN"/>
        </w:rPr>
        <w:t>（</w:t>
      </w:r>
      <w:r>
        <w:rPr>
          <w:rFonts w:hint="default" w:ascii="Times New Roman" w:hAnsi="Times New Roman" w:eastAsia="仿宋_GB2312" w:cs="Times New Roman"/>
          <w:color w:val="000000"/>
          <w:sz w:val="32"/>
          <w:szCs w:val="32"/>
          <w:highlight w:val="none"/>
          <w:u w:val="none"/>
        </w:rPr>
        <w:t>10万平方米以下采用公用环网单元或公用架空线接入</w:t>
      </w:r>
      <w:r>
        <w:rPr>
          <w:rFonts w:hint="default" w:ascii="Times New Roman" w:hAnsi="Times New Roman" w:eastAsia="仿宋_GB2312" w:cs="Times New Roman"/>
          <w:color w:val="000000"/>
          <w:sz w:val="32"/>
          <w:szCs w:val="32"/>
          <w:highlight w:val="none"/>
          <w:u w:val="none"/>
          <w:lang w:eastAsia="zh-CN"/>
        </w:rPr>
        <w:t>）；</w:t>
      </w:r>
      <w:r>
        <w:rPr>
          <w:rFonts w:hint="default" w:ascii="Times New Roman" w:hAnsi="Times New Roman" w:eastAsia="仿宋_GB2312" w:cs="Times New Roman"/>
          <w:color w:val="000000"/>
          <w:sz w:val="32"/>
          <w:szCs w:val="32"/>
          <w:highlight w:val="none"/>
          <w:u w:val="none"/>
        </w:rPr>
        <w:t>具备35千伏供电条件的区域，地上建筑面积在10万平方米至40万平方米之间的也可采用35千伏变电所专线接入。</w:t>
      </w:r>
    </w:p>
    <w:p w14:paraId="2FECBDA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color w:val="000000"/>
          <w:sz w:val="32"/>
          <w:szCs w:val="32"/>
          <w:highlight w:val="none"/>
          <w:u w:val="none"/>
        </w:rPr>
      </w:pPr>
      <w:r>
        <w:rPr>
          <w:rFonts w:hint="default" w:ascii="Times New Roman" w:hAnsi="Times New Roman" w:eastAsia="仿宋_GB2312" w:cs="Times New Roman"/>
          <w:b/>
          <w:bCs/>
          <w:color w:val="000000"/>
          <w:sz w:val="32"/>
          <w:szCs w:val="32"/>
          <w:highlight w:val="none"/>
          <w:u w:val="none"/>
          <w:lang w:val="en-US" w:eastAsia="zh-CN"/>
        </w:rPr>
        <w:t>商服用地供电标准（S为地上建筑面积，单位：万平方米）</w:t>
      </w:r>
    </w:p>
    <w:tbl>
      <w:tblPr>
        <w:tblStyle w:val="5"/>
        <w:tblW w:w="886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03"/>
        <w:gridCol w:w="3276"/>
        <w:gridCol w:w="3987"/>
      </w:tblGrid>
      <w:tr w14:paraId="015C8C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4" w:hRule="atLeast"/>
          <w:jc w:val="center"/>
        </w:trPr>
        <w:tc>
          <w:tcPr>
            <w:tcW w:w="1603" w:type="dxa"/>
            <w:noWrap w:val="0"/>
            <w:vAlign w:val="top"/>
          </w:tcPr>
          <w:p w14:paraId="4F92F952">
            <w:pPr>
              <w:pStyle w:val="4"/>
              <w:keepNext w:val="0"/>
              <w:keepLines w:val="0"/>
              <w:pageBreakBefore w:val="0"/>
              <w:widowControl w:val="0"/>
              <w:kinsoku/>
              <w:wordWrap/>
              <w:overflowPunct/>
              <w:topLinePunct w:val="0"/>
              <w:autoSpaceDE/>
              <w:autoSpaceDN/>
              <w:bidi w:val="0"/>
              <w:adjustRightInd w:val="0"/>
              <w:snapToGrid w:val="0"/>
              <w:spacing w:line="560" w:lineRule="exact"/>
              <w:ind w:left="208"/>
              <w:textAlignment w:val="auto"/>
              <w:rPr>
                <w:rFonts w:hint="default" w:ascii="Times New Roman" w:hAnsi="Times New Roman" w:eastAsia="仿宋_GB2312" w:cs="Times New Roman"/>
                <w:color w:val="000000"/>
                <w:sz w:val="32"/>
                <w:szCs w:val="32"/>
                <w:highlight w:val="none"/>
                <w:u w:val="none"/>
              </w:rPr>
            </w:pPr>
            <w:r>
              <w:rPr>
                <w:rFonts w:hint="default" w:ascii="Times New Roman" w:hAnsi="Times New Roman" w:eastAsia="仿宋_GB2312" w:cs="Times New Roman"/>
                <w:b/>
                <w:bCs/>
                <w:color w:val="000000"/>
                <w:spacing w:val="-1"/>
                <w:sz w:val="32"/>
                <w:szCs w:val="32"/>
                <w:highlight w:val="none"/>
                <w:u w:val="none"/>
              </w:rPr>
              <w:t>电压等级</w:t>
            </w:r>
          </w:p>
        </w:tc>
        <w:tc>
          <w:tcPr>
            <w:tcW w:w="3276" w:type="dxa"/>
            <w:noWrap w:val="0"/>
            <w:vAlign w:val="top"/>
          </w:tcPr>
          <w:p w14:paraId="21D2DF6F">
            <w:pPr>
              <w:pStyle w:val="4"/>
              <w:keepNext w:val="0"/>
              <w:keepLines w:val="0"/>
              <w:pageBreakBefore w:val="0"/>
              <w:widowControl w:val="0"/>
              <w:kinsoku/>
              <w:wordWrap/>
              <w:overflowPunct/>
              <w:topLinePunct w:val="0"/>
              <w:autoSpaceDE/>
              <w:autoSpaceDN/>
              <w:bidi w:val="0"/>
              <w:adjustRightInd w:val="0"/>
              <w:snapToGrid w:val="0"/>
              <w:spacing w:line="560" w:lineRule="exact"/>
              <w:ind w:left="1265"/>
              <w:textAlignment w:val="auto"/>
              <w:rPr>
                <w:rFonts w:hint="default" w:ascii="Times New Roman" w:hAnsi="Times New Roman" w:eastAsia="仿宋_GB2312" w:cs="Times New Roman"/>
                <w:color w:val="000000"/>
                <w:sz w:val="32"/>
                <w:szCs w:val="32"/>
                <w:highlight w:val="none"/>
                <w:u w:val="none"/>
              </w:rPr>
            </w:pPr>
            <w:r>
              <w:rPr>
                <w:rFonts w:hint="default" w:ascii="Times New Roman" w:hAnsi="Times New Roman" w:eastAsia="仿宋_GB2312" w:cs="Times New Roman"/>
                <w:b/>
                <w:bCs/>
                <w:color w:val="000000"/>
                <w:spacing w:val="-5"/>
                <w:sz w:val="32"/>
                <w:szCs w:val="32"/>
                <w:highlight w:val="none"/>
                <w:u w:val="none"/>
              </w:rPr>
              <w:t>接入方式</w:t>
            </w:r>
          </w:p>
        </w:tc>
        <w:tc>
          <w:tcPr>
            <w:tcW w:w="3987" w:type="dxa"/>
            <w:noWrap w:val="0"/>
            <w:vAlign w:val="top"/>
          </w:tcPr>
          <w:p w14:paraId="2580D15B">
            <w:pPr>
              <w:pStyle w:val="4"/>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Times New Roman"/>
                <w:color w:val="000000"/>
                <w:sz w:val="32"/>
                <w:szCs w:val="32"/>
                <w:highlight w:val="none"/>
                <w:u w:val="none"/>
                <w:lang w:eastAsia="zh-CN"/>
              </w:rPr>
            </w:pPr>
            <w:r>
              <w:rPr>
                <w:rFonts w:hint="default" w:ascii="Times New Roman" w:hAnsi="Times New Roman" w:eastAsia="仿宋_GB2312" w:cs="Times New Roman"/>
                <w:b/>
                <w:bCs/>
                <w:color w:val="000000"/>
                <w:spacing w:val="1"/>
                <w:sz w:val="32"/>
                <w:szCs w:val="32"/>
                <w:highlight w:val="none"/>
                <w:u w:val="none"/>
              </w:rPr>
              <w:t>地上建筑面积</w:t>
            </w:r>
            <w:r>
              <w:rPr>
                <w:rFonts w:hint="default" w:ascii="Times New Roman" w:hAnsi="Times New Roman" w:eastAsia="仿宋_GB2312" w:cs="Times New Roman"/>
                <w:b/>
                <w:bCs/>
                <w:color w:val="000000"/>
                <w:spacing w:val="1"/>
                <w:sz w:val="32"/>
                <w:szCs w:val="32"/>
                <w:highlight w:val="none"/>
                <w:u w:val="none"/>
                <w:lang w:eastAsia="zh-CN"/>
              </w:rPr>
              <w:t>（</w:t>
            </w:r>
            <w:r>
              <w:rPr>
                <w:rFonts w:hint="default" w:ascii="Times New Roman" w:hAnsi="Times New Roman" w:eastAsia="仿宋_GB2312" w:cs="Times New Roman"/>
                <w:b/>
                <w:bCs/>
                <w:color w:val="000000"/>
                <w:spacing w:val="1"/>
                <w:sz w:val="32"/>
                <w:szCs w:val="32"/>
                <w:highlight w:val="none"/>
                <w:u w:val="none"/>
              </w:rPr>
              <w:t>万平方米</w:t>
            </w:r>
            <w:r>
              <w:rPr>
                <w:rFonts w:hint="default" w:ascii="Times New Roman" w:hAnsi="Times New Roman" w:eastAsia="仿宋_GB2312" w:cs="Times New Roman"/>
                <w:b/>
                <w:bCs/>
                <w:color w:val="000000"/>
                <w:spacing w:val="1"/>
                <w:sz w:val="32"/>
                <w:szCs w:val="32"/>
                <w:highlight w:val="none"/>
                <w:u w:val="none"/>
                <w:lang w:eastAsia="zh-CN"/>
              </w:rPr>
              <w:t>）</w:t>
            </w:r>
          </w:p>
        </w:tc>
      </w:tr>
      <w:tr w14:paraId="6FB310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jc w:val="center"/>
        </w:trPr>
        <w:tc>
          <w:tcPr>
            <w:tcW w:w="1603" w:type="dxa"/>
            <w:noWrap w:val="0"/>
            <w:vAlign w:val="center"/>
          </w:tcPr>
          <w:p w14:paraId="7F871DE3">
            <w:pPr>
              <w:pStyle w:val="4"/>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Times New Roman"/>
                <w:color w:val="000000"/>
                <w:sz w:val="32"/>
                <w:szCs w:val="32"/>
                <w:highlight w:val="none"/>
                <w:u w:val="none"/>
              </w:rPr>
            </w:pPr>
            <w:r>
              <w:rPr>
                <w:rFonts w:hint="default" w:ascii="Times New Roman" w:hAnsi="Times New Roman" w:eastAsia="仿宋_GB2312" w:cs="Times New Roman"/>
                <w:color w:val="000000"/>
                <w:spacing w:val="-5"/>
                <w:sz w:val="32"/>
                <w:szCs w:val="32"/>
                <w:highlight w:val="none"/>
                <w:u w:val="none"/>
              </w:rPr>
              <w:t>110kV</w:t>
            </w:r>
          </w:p>
        </w:tc>
        <w:tc>
          <w:tcPr>
            <w:tcW w:w="3276" w:type="dxa"/>
            <w:noWrap w:val="0"/>
            <w:vAlign w:val="center"/>
          </w:tcPr>
          <w:p w14:paraId="52BB6A4F">
            <w:pPr>
              <w:pStyle w:val="4"/>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Times New Roman"/>
                <w:color w:val="000000"/>
                <w:sz w:val="32"/>
                <w:szCs w:val="32"/>
                <w:highlight w:val="none"/>
                <w:u w:val="none"/>
              </w:rPr>
            </w:pPr>
            <w:r>
              <w:rPr>
                <w:rFonts w:hint="default" w:ascii="Times New Roman" w:hAnsi="Times New Roman" w:eastAsia="仿宋_GB2312" w:cs="Times New Roman"/>
                <w:color w:val="000000"/>
                <w:spacing w:val="8"/>
                <w:sz w:val="32"/>
                <w:szCs w:val="32"/>
                <w:highlight w:val="none"/>
                <w:u w:val="none"/>
              </w:rPr>
              <w:t>专线</w:t>
            </w:r>
          </w:p>
        </w:tc>
        <w:tc>
          <w:tcPr>
            <w:tcW w:w="3987" w:type="dxa"/>
            <w:noWrap w:val="0"/>
            <w:vAlign w:val="center"/>
          </w:tcPr>
          <w:p w14:paraId="29F3FAD2">
            <w:pPr>
              <w:pStyle w:val="4"/>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Times New Roman"/>
                <w:color w:val="000000"/>
                <w:sz w:val="32"/>
                <w:szCs w:val="32"/>
                <w:highlight w:val="none"/>
                <w:u w:val="none"/>
              </w:rPr>
            </w:pPr>
            <w:r>
              <w:rPr>
                <w:rFonts w:hint="default" w:ascii="Times New Roman" w:hAnsi="Times New Roman" w:eastAsia="仿宋_GB2312" w:cs="Times New Roman"/>
                <w:color w:val="000000"/>
                <w:spacing w:val="-3"/>
                <w:sz w:val="32"/>
                <w:szCs w:val="32"/>
                <w:highlight w:val="none"/>
                <w:u w:val="none"/>
              </w:rPr>
              <w:t>S</w:t>
            </w:r>
            <w:r>
              <w:rPr>
                <w:rFonts w:hint="default" w:ascii="Times New Roman" w:hAnsi="Times New Roman" w:eastAsia="仿宋_GB2312" w:cs="Times New Roman"/>
                <w:color w:val="000000"/>
                <w:spacing w:val="-3"/>
                <w:sz w:val="32"/>
                <w:szCs w:val="32"/>
                <w:highlight w:val="none"/>
                <w:u w:val="none"/>
                <w:lang w:eastAsia="zh-CN"/>
              </w:rPr>
              <w:t>≥</w:t>
            </w:r>
            <w:r>
              <w:rPr>
                <w:rFonts w:hint="default" w:ascii="Times New Roman" w:hAnsi="Times New Roman" w:eastAsia="仿宋_GB2312" w:cs="Times New Roman"/>
                <w:color w:val="000000"/>
                <w:spacing w:val="-3"/>
                <w:sz w:val="32"/>
                <w:szCs w:val="32"/>
                <w:highlight w:val="none"/>
                <w:u w:val="none"/>
              </w:rPr>
              <w:t>30</w:t>
            </w:r>
          </w:p>
        </w:tc>
      </w:tr>
      <w:tr w14:paraId="19EC61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8" w:hRule="atLeast"/>
          <w:jc w:val="center"/>
        </w:trPr>
        <w:tc>
          <w:tcPr>
            <w:tcW w:w="1603" w:type="dxa"/>
            <w:noWrap w:val="0"/>
            <w:vAlign w:val="center"/>
          </w:tcPr>
          <w:p w14:paraId="0E99DC9C">
            <w:pPr>
              <w:pStyle w:val="4"/>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Times New Roman"/>
                <w:color w:val="000000"/>
                <w:sz w:val="32"/>
                <w:szCs w:val="32"/>
                <w:highlight w:val="none"/>
                <w:u w:val="none"/>
              </w:rPr>
            </w:pPr>
            <w:r>
              <w:rPr>
                <w:rFonts w:hint="eastAsia" w:ascii="Times New Roman" w:hAnsi="Times New Roman" w:eastAsia="仿宋_GB2312" w:cs="Times New Roman"/>
                <w:color w:val="000000"/>
                <w:spacing w:val="-3"/>
                <w:sz w:val="32"/>
                <w:szCs w:val="32"/>
                <w:highlight w:val="none"/>
                <w:u w:val="none"/>
                <w:lang w:eastAsia="zh-CN"/>
              </w:rPr>
              <w:t>35</w:t>
            </w:r>
            <w:r>
              <w:rPr>
                <w:rFonts w:hint="default" w:ascii="Times New Roman" w:hAnsi="Times New Roman" w:eastAsia="仿宋_GB2312" w:cs="Times New Roman"/>
                <w:color w:val="000000"/>
                <w:spacing w:val="-3"/>
                <w:sz w:val="32"/>
                <w:szCs w:val="32"/>
                <w:highlight w:val="none"/>
                <w:u w:val="none"/>
              </w:rPr>
              <w:t>kV</w:t>
            </w:r>
          </w:p>
        </w:tc>
        <w:tc>
          <w:tcPr>
            <w:tcW w:w="3276" w:type="dxa"/>
            <w:noWrap w:val="0"/>
            <w:vAlign w:val="center"/>
          </w:tcPr>
          <w:p w14:paraId="781C0CEE">
            <w:pPr>
              <w:pStyle w:val="4"/>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Times New Roman"/>
                <w:color w:val="000000"/>
                <w:sz w:val="32"/>
                <w:szCs w:val="32"/>
                <w:highlight w:val="none"/>
                <w:u w:val="none"/>
              </w:rPr>
            </w:pPr>
            <w:r>
              <w:rPr>
                <w:rFonts w:hint="default" w:ascii="Times New Roman" w:hAnsi="Times New Roman" w:eastAsia="仿宋_GB2312" w:cs="Times New Roman"/>
                <w:color w:val="000000"/>
                <w:spacing w:val="8"/>
                <w:sz w:val="32"/>
                <w:szCs w:val="32"/>
                <w:highlight w:val="none"/>
                <w:u w:val="none"/>
              </w:rPr>
              <w:t>专线</w:t>
            </w:r>
          </w:p>
        </w:tc>
        <w:tc>
          <w:tcPr>
            <w:tcW w:w="3987" w:type="dxa"/>
            <w:noWrap w:val="0"/>
            <w:vAlign w:val="center"/>
          </w:tcPr>
          <w:p w14:paraId="4C42A1F7">
            <w:pPr>
              <w:pStyle w:val="4"/>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Times New Roman"/>
                <w:color w:val="000000"/>
                <w:sz w:val="32"/>
                <w:szCs w:val="32"/>
                <w:highlight w:val="none"/>
                <w:u w:val="none"/>
              </w:rPr>
            </w:pPr>
            <w:r>
              <w:rPr>
                <w:rFonts w:hint="default" w:ascii="Times New Roman" w:hAnsi="Times New Roman" w:eastAsia="仿宋_GB2312" w:cs="Times New Roman"/>
                <w:color w:val="000000"/>
                <w:spacing w:val="-4"/>
                <w:sz w:val="32"/>
                <w:szCs w:val="32"/>
                <w:highlight w:val="none"/>
                <w:u w:val="none"/>
              </w:rPr>
              <w:t>10&lt;S</w:t>
            </w:r>
            <w:r>
              <w:rPr>
                <w:rFonts w:hint="default" w:ascii="Times New Roman" w:hAnsi="Times New Roman" w:eastAsia="仿宋_GB2312" w:cs="Times New Roman"/>
                <w:color w:val="000000"/>
                <w:spacing w:val="-4"/>
                <w:sz w:val="32"/>
                <w:szCs w:val="32"/>
                <w:highlight w:val="none"/>
                <w:u w:val="none"/>
                <w:lang w:eastAsia="zh-CN"/>
              </w:rPr>
              <w:t>≤</w:t>
            </w:r>
            <w:r>
              <w:rPr>
                <w:rFonts w:hint="default" w:ascii="Times New Roman" w:hAnsi="Times New Roman" w:eastAsia="仿宋_GB2312" w:cs="Times New Roman"/>
                <w:color w:val="000000"/>
                <w:spacing w:val="-4"/>
                <w:sz w:val="32"/>
                <w:szCs w:val="32"/>
                <w:highlight w:val="none"/>
                <w:u w:val="none"/>
              </w:rPr>
              <w:t>40</w:t>
            </w:r>
          </w:p>
        </w:tc>
      </w:tr>
      <w:tr w14:paraId="101FF6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2" w:hRule="atLeast"/>
          <w:jc w:val="center"/>
        </w:trPr>
        <w:tc>
          <w:tcPr>
            <w:tcW w:w="1603" w:type="dxa"/>
            <w:vMerge w:val="restart"/>
            <w:tcBorders>
              <w:bottom w:val="nil"/>
            </w:tcBorders>
            <w:noWrap w:val="0"/>
            <w:vAlign w:val="center"/>
          </w:tcPr>
          <w:p w14:paraId="44DD851B">
            <w:pPr>
              <w:pStyle w:val="4"/>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Times New Roman"/>
                <w:color w:val="000000"/>
                <w:sz w:val="32"/>
                <w:szCs w:val="32"/>
                <w:highlight w:val="none"/>
                <w:u w:val="none"/>
              </w:rPr>
            </w:pPr>
            <w:r>
              <w:rPr>
                <w:rFonts w:hint="default" w:ascii="Times New Roman" w:hAnsi="Times New Roman" w:eastAsia="仿宋_GB2312" w:cs="Times New Roman"/>
                <w:color w:val="000000"/>
                <w:spacing w:val="-6"/>
                <w:sz w:val="32"/>
                <w:szCs w:val="32"/>
                <w:highlight w:val="none"/>
                <w:u w:val="none"/>
              </w:rPr>
              <w:t>10kV</w:t>
            </w:r>
          </w:p>
        </w:tc>
        <w:tc>
          <w:tcPr>
            <w:tcW w:w="3276" w:type="dxa"/>
            <w:noWrap w:val="0"/>
            <w:vAlign w:val="center"/>
          </w:tcPr>
          <w:p w14:paraId="5F7F6740">
            <w:pPr>
              <w:pStyle w:val="4"/>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Times New Roman"/>
                <w:color w:val="000000"/>
                <w:sz w:val="32"/>
                <w:szCs w:val="32"/>
                <w:highlight w:val="none"/>
                <w:u w:val="none"/>
              </w:rPr>
            </w:pPr>
            <w:r>
              <w:rPr>
                <w:rFonts w:hint="default" w:ascii="Times New Roman" w:hAnsi="Times New Roman" w:eastAsia="仿宋_GB2312" w:cs="Times New Roman"/>
                <w:color w:val="000000"/>
                <w:spacing w:val="2"/>
                <w:sz w:val="32"/>
                <w:szCs w:val="32"/>
                <w:highlight w:val="none"/>
                <w:u w:val="none"/>
              </w:rPr>
              <w:t>专线或综合线</w:t>
            </w:r>
          </w:p>
        </w:tc>
        <w:tc>
          <w:tcPr>
            <w:tcW w:w="3987" w:type="dxa"/>
            <w:noWrap w:val="0"/>
            <w:vAlign w:val="center"/>
          </w:tcPr>
          <w:p w14:paraId="43FBE94F">
            <w:pPr>
              <w:pStyle w:val="4"/>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Times New Roman"/>
                <w:color w:val="000000"/>
                <w:sz w:val="32"/>
                <w:szCs w:val="32"/>
                <w:highlight w:val="none"/>
                <w:u w:val="none"/>
              </w:rPr>
            </w:pPr>
            <w:r>
              <w:rPr>
                <w:rFonts w:hint="default" w:ascii="Times New Roman" w:hAnsi="Times New Roman" w:eastAsia="仿宋_GB2312" w:cs="Times New Roman"/>
                <w:color w:val="000000"/>
                <w:spacing w:val="-4"/>
                <w:sz w:val="32"/>
                <w:szCs w:val="32"/>
                <w:highlight w:val="none"/>
                <w:u w:val="none"/>
              </w:rPr>
              <w:t>10&lt;S</w:t>
            </w:r>
            <w:r>
              <w:rPr>
                <w:rFonts w:hint="eastAsia" w:ascii="Times New Roman" w:hAnsi="Times New Roman" w:eastAsia="仿宋_GB2312" w:cs="Times New Roman"/>
                <w:color w:val="000000"/>
                <w:spacing w:val="-4"/>
                <w:sz w:val="32"/>
                <w:szCs w:val="32"/>
                <w:highlight w:val="none"/>
                <w:u w:val="none"/>
                <w:lang w:eastAsia="zh-CN"/>
              </w:rPr>
              <w:t>&lt;</w:t>
            </w:r>
            <w:r>
              <w:rPr>
                <w:rFonts w:hint="default" w:ascii="Times New Roman" w:hAnsi="Times New Roman" w:eastAsia="仿宋_GB2312" w:cs="Times New Roman"/>
                <w:color w:val="000000"/>
                <w:spacing w:val="-4"/>
                <w:sz w:val="32"/>
                <w:szCs w:val="32"/>
                <w:highlight w:val="none"/>
                <w:u w:val="none"/>
              </w:rPr>
              <w:t>30</w:t>
            </w:r>
          </w:p>
        </w:tc>
      </w:tr>
      <w:tr w14:paraId="19D6EA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4" w:hRule="atLeast"/>
          <w:jc w:val="center"/>
        </w:trPr>
        <w:tc>
          <w:tcPr>
            <w:tcW w:w="1603" w:type="dxa"/>
            <w:vMerge w:val="continue"/>
            <w:tcBorders>
              <w:top w:val="nil"/>
            </w:tcBorders>
            <w:noWrap w:val="0"/>
            <w:vAlign w:val="top"/>
          </w:tcPr>
          <w:p w14:paraId="53844C80">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default" w:ascii="Times New Roman" w:hAnsi="Times New Roman" w:eastAsia="仿宋_GB2312" w:cs="Times New Roman"/>
                <w:color w:val="000000"/>
                <w:sz w:val="32"/>
                <w:szCs w:val="32"/>
                <w:highlight w:val="none"/>
                <w:u w:val="none"/>
              </w:rPr>
            </w:pPr>
          </w:p>
        </w:tc>
        <w:tc>
          <w:tcPr>
            <w:tcW w:w="3276" w:type="dxa"/>
            <w:noWrap w:val="0"/>
            <w:vAlign w:val="center"/>
          </w:tcPr>
          <w:p w14:paraId="13144AA5">
            <w:pPr>
              <w:pStyle w:val="4"/>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Times New Roman"/>
                <w:color w:val="000000"/>
                <w:sz w:val="32"/>
                <w:szCs w:val="32"/>
                <w:highlight w:val="none"/>
                <w:u w:val="none"/>
              </w:rPr>
            </w:pPr>
            <w:r>
              <w:rPr>
                <w:rFonts w:hint="default" w:ascii="Times New Roman" w:hAnsi="Times New Roman" w:eastAsia="仿宋_GB2312" w:cs="Times New Roman"/>
                <w:color w:val="000000"/>
                <w:spacing w:val="1"/>
                <w:sz w:val="32"/>
                <w:szCs w:val="32"/>
                <w:highlight w:val="none"/>
                <w:u w:val="none"/>
              </w:rPr>
              <w:t>公用环网单元或公用架空线</w:t>
            </w:r>
          </w:p>
        </w:tc>
        <w:tc>
          <w:tcPr>
            <w:tcW w:w="3987" w:type="dxa"/>
            <w:noWrap w:val="0"/>
            <w:vAlign w:val="center"/>
          </w:tcPr>
          <w:p w14:paraId="6A0939C7">
            <w:pPr>
              <w:pStyle w:val="4"/>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Times New Roman"/>
                <w:color w:val="000000"/>
                <w:sz w:val="32"/>
                <w:szCs w:val="32"/>
                <w:highlight w:val="none"/>
                <w:u w:val="none"/>
              </w:rPr>
            </w:pPr>
            <w:r>
              <w:rPr>
                <w:rFonts w:hint="default" w:ascii="Times New Roman" w:hAnsi="Times New Roman" w:eastAsia="仿宋_GB2312" w:cs="Times New Roman"/>
                <w:color w:val="000000"/>
                <w:spacing w:val="-3"/>
                <w:sz w:val="32"/>
                <w:szCs w:val="32"/>
                <w:highlight w:val="none"/>
                <w:u w:val="none"/>
              </w:rPr>
              <w:t>S</w:t>
            </w:r>
            <w:r>
              <w:rPr>
                <w:rFonts w:hint="default" w:ascii="Times New Roman" w:hAnsi="Times New Roman" w:eastAsia="仿宋_GB2312" w:cs="Times New Roman"/>
                <w:color w:val="000000"/>
                <w:spacing w:val="-3"/>
                <w:sz w:val="32"/>
                <w:szCs w:val="32"/>
                <w:highlight w:val="none"/>
                <w:u w:val="none"/>
                <w:lang w:eastAsia="zh-CN"/>
              </w:rPr>
              <w:t>≤</w:t>
            </w:r>
            <w:r>
              <w:rPr>
                <w:rFonts w:hint="default" w:ascii="Times New Roman" w:hAnsi="Times New Roman" w:eastAsia="仿宋_GB2312" w:cs="Times New Roman"/>
                <w:color w:val="000000"/>
                <w:spacing w:val="-3"/>
                <w:sz w:val="32"/>
                <w:szCs w:val="32"/>
                <w:highlight w:val="none"/>
                <w:u w:val="none"/>
              </w:rPr>
              <w:t>10</w:t>
            </w:r>
          </w:p>
        </w:tc>
      </w:tr>
    </w:tbl>
    <w:p w14:paraId="21A9764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color w:val="000000"/>
          <w:sz w:val="32"/>
          <w:szCs w:val="32"/>
          <w:highlight w:val="none"/>
          <w:u w:val="none"/>
        </w:rPr>
      </w:pPr>
      <w:r>
        <w:rPr>
          <w:rFonts w:hint="default" w:ascii="Times New Roman" w:hAnsi="Times New Roman" w:eastAsia="黑体" w:cs="Times New Roman"/>
          <w:color w:val="000000"/>
          <w:sz w:val="32"/>
          <w:szCs w:val="32"/>
          <w:highlight w:val="none"/>
          <w:u w:val="none"/>
        </w:rPr>
        <w:t>三、工业用地</w:t>
      </w:r>
    </w:p>
    <w:p w14:paraId="241790C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highlight w:val="none"/>
          <w:u w:val="none"/>
        </w:rPr>
      </w:pPr>
      <w:r>
        <w:rPr>
          <w:rFonts w:hint="default" w:ascii="Times New Roman" w:hAnsi="Times New Roman" w:eastAsia="仿宋_GB2312" w:cs="Times New Roman"/>
          <w:color w:val="000000"/>
          <w:sz w:val="32"/>
          <w:szCs w:val="32"/>
          <w:highlight w:val="none"/>
          <w:u w:val="none"/>
        </w:rPr>
        <w:t>工业用地项目供电标准</w:t>
      </w:r>
      <w:r>
        <w:rPr>
          <w:rFonts w:hint="default" w:ascii="Times New Roman" w:hAnsi="Times New Roman" w:eastAsia="仿宋_GB2312" w:cs="Times New Roman"/>
          <w:color w:val="000000"/>
          <w:sz w:val="32"/>
          <w:szCs w:val="32"/>
          <w:highlight w:val="none"/>
          <w:u w:val="none"/>
          <w:lang w:eastAsia="zh-CN"/>
        </w:rPr>
        <w:t>（</w:t>
      </w:r>
      <w:r>
        <w:rPr>
          <w:rFonts w:hint="default" w:ascii="Times New Roman" w:hAnsi="Times New Roman" w:eastAsia="仿宋_GB2312" w:cs="Times New Roman"/>
          <w:color w:val="000000"/>
          <w:sz w:val="32"/>
          <w:szCs w:val="32"/>
          <w:highlight w:val="none"/>
          <w:u w:val="none"/>
        </w:rPr>
        <w:t>供电电压等级、接入方式等</w:t>
      </w:r>
      <w:r>
        <w:rPr>
          <w:rFonts w:hint="default" w:ascii="Times New Roman" w:hAnsi="Times New Roman" w:eastAsia="仿宋_GB2312" w:cs="Times New Roman"/>
          <w:color w:val="000000"/>
          <w:sz w:val="32"/>
          <w:szCs w:val="32"/>
          <w:highlight w:val="none"/>
          <w:u w:val="none"/>
          <w:lang w:eastAsia="zh-CN"/>
        </w:rPr>
        <w:t>）</w:t>
      </w:r>
      <w:r>
        <w:rPr>
          <w:rFonts w:hint="default" w:ascii="Times New Roman" w:hAnsi="Times New Roman" w:eastAsia="仿宋_GB2312" w:cs="Times New Roman"/>
          <w:color w:val="000000"/>
          <w:sz w:val="32"/>
          <w:szCs w:val="32"/>
          <w:highlight w:val="none"/>
          <w:u w:val="none"/>
        </w:rPr>
        <w:t>应根据工业产业类别</w:t>
      </w:r>
      <w:r>
        <w:rPr>
          <w:rFonts w:hint="default" w:ascii="Times New Roman" w:hAnsi="Times New Roman" w:eastAsia="仿宋_GB2312" w:cs="Times New Roman"/>
          <w:color w:val="000000"/>
          <w:sz w:val="32"/>
          <w:szCs w:val="32"/>
          <w:highlight w:val="none"/>
          <w:u w:val="none"/>
          <w:lang w:eastAsia="zh-CN"/>
        </w:rPr>
        <w:t>的</w:t>
      </w:r>
      <w:r>
        <w:rPr>
          <w:rFonts w:hint="default" w:ascii="Times New Roman" w:hAnsi="Times New Roman" w:eastAsia="仿宋_GB2312" w:cs="Times New Roman"/>
          <w:color w:val="000000"/>
          <w:sz w:val="32"/>
          <w:szCs w:val="32"/>
          <w:highlight w:val="none"/>
          <w:u w:val="none"/>
        </w:rPr>
        <w:t>实际情况，在储备土地</w:t>
      </w:r>
      <w:r>
        <w:rPr>
          <w:rFonts w:hint="default" w:ascii="Times New Roman" w:hAnsi="Times New Roman" w:eastAsia="仿宋_GB2312" w:cs="Times New Roman"/>
          <w:color w:val="000000"/>
          <w:sz w:val="32"/>
          <w:szCs w:val="32"/>
          <w:highlight w:val="none"/>
          <w:u w:val="none"/>
          <w:lang w:val="en-US" w:eastAsia="zh-CN"/>
        </w:rPr>
        <w:t>出让</w:t>
      </w:r>
      <w:r>
        <w:rPr>
          <w:rFonts w:hint="default" w:ascii="Times New Roman" w:hAnsi="Times New Roman" w:eastAsia="仿宋_GB2312" w:cs="Times New Roman"/>
          <w:color w:val="000000"/>
          <w:sz w:val="32"/>
          <w:szCs w:val="32"/>
          <w:highlight w:val="none"/>
          <w:u w:val="none"/>
        </w:rPr>
        <w:t>前由</w:t>
      </w:r>
      <w:r>
        <w:rPr>
          <w:rFonts w:hint="default" w:ascii="Times New Roman" w:hAnsi="Times New Roman" w:eastAsia="仿宋_GB2312" w:cs="Times New Roman"/>
          <w:color w:val="000000"/>
          <w:sz w:val="32"/>
          <w:szCs w:val="32"/>
          <w:highlight w:val="none"/>
          <w:u w:val="none"/>
          <w:lang w:val="en-US" w:eastAsia="zh-CN"/>
        </w:rPr>
        <w:t>实施机构</w:t>
      </w:r>
      <w:r>
        <w:rPr>
          <w:rFonts w:hint="default" w:ascii="Times New Roman" w:hAnsi="Times New Roman" w:eastAsia="仿宋_GB2312" w:cs="Times New Roman"/>
          <w:color w:val="000000"/>
          <w:sz w:val="32"/>
          <w:szCs w:val="32"/>
          <w:highlight w:val="none"/>
          <w:u w:val="none"/>
        </w:rPr>
        <w:t>会同供电企业等相关部门确定。</w:t>
      </w:r>
    </w:p>
    <w:p w14:paraId="42B8A13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color w:val="000000"/>
          <w:sz w:val="32"/>
          <w:szCs w:val="32"/>
          <w:highlight w:val="none"/>
          <w:u w:val="none"/>
        </w:rPr>
      </w:pPr>
      <w:r>
        <w:rPr>
          <w:rFonts w:hint="default" w:ascii="Times New Roman" w:hAnsi="Times New Roman" w:eastAsia="黑体" w:cs="Times New Roman"/>
          <w:color w:val="000000"/>
          <w:sz w:val="32"/>
          <w:szCs w:val="32"/>
          <w:highlight w:val="none"/>
          <w:u w:val="none"/>
        </w:rPr>
        <w:t>四、其他原则</w:t>
      </w:r>
    </w:p>
    <w:p w14:paraId="66547E9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000000"/>
          <w:sz w:val="32"/>
          <w:szCs w:val="32"/>
          <w:highlight w:val="none"/>
          <w:u w:val="none"/>
          <w:lang w:val="en-US" w:eastAsia="zh-CN"/>
        </w:rPr>
      </w:pPr>
      <w:r>
        <w:rPr>
          <w:rFonts w:hint="default" w:ascii="Times New Roman" w:hAnsi="Times New Roman" w:eastAsia="仿宋_GB2312" w:cs="Times New Roman"/>
          <w:color w:val="000000"/>
          <w:sz w:val="32"/>
          <w:szCs w:val="32"/>
          <w:highlight w:val="none"/>
          <w:u w:val="none"/>
        </w:rPr>
        <w:t>供电企业在制定电力接入方案时，应在保障电网安全稳定运行的前提下，就近接入公共电网。因电力接入工程引起的上级公共电网的建设改造等，由供电企业负责落实资金和实施。</w:t>
      </w:r>
    </w:p>
    <w:p w14:paraId="78337571">
      <w:pPr>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仿宋_GB2312" w:cs="Times New Roman"/>
          <w:color w:val="000000"/>
          <w:kern w:val="2"/>
          <w:sz w:val="32"/>
          <w:szCs w:val="32"/>
          <w:highlight w:val="none"/>
          <w:u w:val="none"/>
          <w:lang w:val="en-US" w:eastAsia="zh-CN" w:bidi="zh-TW"/>
        </w:rPr>
      </w:pPr>
      <w:r>
        <w:rPr>
          <w:rFonts w:hint="default" w:ascii="Times New Roman" w:hAnsi="Times New Roman" w:eastAsia="仿宋_GB2312" w:cs="Times New Roman"/>
          <w:color w:val="000000"/>
          <w:sz w:val="32"/>
          <w:szCs w:val="32"/>
          <w:highlight w:val="none"/>
          <w:u w:val="none"/>
        </w:rPr>
        <w:t>报装容量</w:t>
      </w:r>
      <w:r>
        <w:rPr>
          <w:rFonts w:hint="default" w:ascii="Times New Roman" w:hAnsi="Times New Roman" w:eastAsia="仿宋_GB2312" w:cs="Times New Roman"/>
          <w:color w:val="000000"/>
          <w:sz w:val="32"/>
          <w:szCs w:val="32"/>
          <w:highlight w:val="none"/>
          <w:u w:val="none"/>
          <w:lang w:val="en-US" w:eastAsia="zh-CN"/>
        </w:rPr>
        <w:t>160</w:t>
      </w:r>
      <w:r>
        <w:rPr>
          <w:rFonts w:hint="default" w:ascii="Times New Roman" w:hAnsi="Times New Roman" w:eastAsia="仿宋_GB2312" w:cs="Times New Roman"/>
          <w:color w:val="000000"/>
          <w:sz w:val="32"/>
          <w:szCs w:val="32"/>
          <w:highlight w:val="none"/>
          <w:u w:val="none"/>
        </w:rPr>
        <w:t>千</w:t>
      </w:r>
      <w:r>
        <w:rPr>
          <w:rFonts w:hint="default" w:ascii="Times New Roman" w:hAnsi="Times New Roman" w:eastAsia="仿宋_GB2312" w:cs="Times New Roman"/>
          <w:color w:val="000000"/>
          <w:sz w:val="32"/>
          <w:szCs w:val="32"/>
          <w:highlight w:val="none"/>
          <w:u w:val="none"/>
          <w:lang w:val="en-US" w:eastAsia="zh-CN"/>
        </w:rPr>
        <w:t>瓦</w:t>
      </w:r>
      <w:r>
        <w:rPr>
          <w:rFonts w:hint="default" w:ascii="Times New Roman" w:hAnsi="Times New Roman" w:eastAsia="仿宋_GB2312" w:cs="Times New Roman"/>
          <w:color w:val="000000"/>
          <w:sz w:val="32"/>
          <w:szCs w:val="32"/>
          <w:highlight w:val="none"/>
          <w:u w:val="none"/>
        </w:rPr>
        <w:t>及以下用户宜采用380</w:t>
      </w:r>
      <w:r>
        <w:rPr>
          <w:rFonts w:hint="default" w:ascii="Times New Roman" w:hAnsi="Times New Roman" w:eastAsia="仿宋_GB2312" w:cs="Times New Roman"/>
          <w:color w:val="000000"/>
          <w:sz w:val="32"/>
          <w:szCs w:val="32"/>
          <w:highlight w:val="none"/>
          <w:u w:val="none"/>
          <w:lang w:eastAsia="zh-CN"/>
        </w:rPr>
        <w:t>（</w:t>
      </w:r>
      <w:r>
        <w:rPr>
          <w:rFonts w:hint="default" w:ascii="Times New Roman" w:hAnsi="Times New Roman" w:eastAsia="仿宋_GB2312" w:cs="Times New Roman"/>
          <w:color w:val="000000"/>
          <w:sz w:val="32"/>
          <w:szCs w:val="32"/>
          <w:highlight w:val="none"/>
          <w:u w:val="none"/>
        </w:rPr>
        <w:t>220</w:t>
      </w:r>
      <w:r>
        <w:rPr>
          <w:rFonts w:hint="default" w:ascii="Times New Roman" w:hAnsi="Times New Roman" w:eastAsia="仿宋_GB2312" w:cs="Times New Roman"/>
          <w:color w:val="000000"/>
          <w:sz w:val="32"/>
          <w:szCs w:val="32"/>
          <w:highlight w:val="none"/>
          <w:u w:val="none"/>
          <w:lang w:eastAsia="zh-CN"/>
        </w:rPr>
        <w:t>）</w:t>
      </w:r>
      <w:r>
        <w:rPr>
          <w:rFonts w:hint="default" w:ascii="Times New Roman" w:hAnsi="Times New Roman" w:eastAsia="仿宋_GB2312" w:cs="Times New Roman"/>
          <w:color w:val="000000"/>
          <w:sz w:val="32"/>
          <w:szCs w:val="32"/>
          <w:highlight w:val="none"/>
          <w:u w:val="none"/>
        </w:rPr>
        <w:t>伏供电，其中南宁市城区</w:t>
      </w:r>
      <w:r>
        <w:rPr>
          <w:rFonts w:hint="default" w:ascii="Times New Roman" w:hAnsi="Times New Roman" w:eastAsia="仿宋_GB2312" w:cs="Times New Roman"/>
          <w:color w:val="000000"/>
          <w:sz w:val="32"/>
          <w:szCs w:val="32"/>
          <w:highlight w:val="none"/>
          <w:u w:val="none"/>
          <w:lang w:val="en-US" w:eastAsia="zh-CN"/>
        </w:rPr>
        <w:t>小微企业用户</w:t>
      </w:r>
      <w:r>
        <w:rPr>
          <w:rFonts w:hint="default" w:ascii="Times New Roman" w:hAnsi="Times New Roman" w:eastAsia="仿宋_GB2312" w:cs="Times New Roman"/>
          <w:color w:val="000000"/>
          <w:sz w:val="32"/>
          <w:szCs w:val="32"/>
          <w:highlight w:val="none"/>
          <w:u w:val="none"/>
        </w:rPr>
        <w:t>扩大为200千</w:t>
      </w:r>
      <w:r>
        <w:rPr>
          <w:rFonts w:hint="default" w:ascii="Times New Roman" w:hAnsi="Times New Roman" w:eastAsia="仿宋_GB2312" w:cs="Times New Roman"/>
          <w:color w:val="000000"/>
          <w:sz w:val="32"/>
          <w:szCs w:val="32"/>
          <w:highlight w:val="none"/>
          <w:u w:val="none"/>
          <w:lang w:val="en-US" w:eastAsia="zh-CN"/>
        </w:rPr>
        <w:t>瓦</w:t>
      </w:r>
      <w:r>
        <w:rPr>
          <w:rFonts w:hint="default" w:ascii="Times New Roman" w:hAnsi="Times New Roman" w:eastAsia="仿宋_GB2312" w:cs="Times New Roman"/>
          <w:color w:val="000000"/>
          <w:sz w:val="32"/>
          <w:szCs w:val="32"/>
          <w:highlight w:val="none"/>
          <w:u w:val="none"/>
          <w:lang w:eastAsia="zh-CN"/>
        </w:rPr>
        <w:t>，</w:t>
      </w:r>
      <w:r>
        <w:rPr>
          <w:rFonts w:hint="default" w:ascii="Times New Roman" w:hAnsi="Times New Roman" w:eastAsia="仿宋_GB2312" w:cs="Times New Roman"/>
          <w:color w:val="000000"/>
          <w:sz w:val="32"/>
          <w:szCs w:val="32"/>
          <w:highlight w:val="none"/>
          <w:u w:val="none"/>
        </w:rPr>
        <w:t>低压电力接入工程由供电企业承担。划拨用地项目的一般供电标准参照商服用地项目标准执行。施工用电项目的一般供电标准为单回路10千伏供电，接入方案应考虑与终期供电方案相结合，减少重复建设。因区域电网规划及接入条件限制等客观情况，无法按照一般供电标准供电的，“一事一议”论证供电标准及接入</w:t>
      </w:r>
      <w:r>
        <w:rPr>
          <w:rFonts w:hint="default" w:ascii="Times New Roman" w:hAnsi="Times New Roman" w:eastAsia="仿宋_GB2312" w:cs="Times New Roman"/>
          <w:color w:val="000000"/>
          <w:sz w:val="32"/>
          <w:szCs w:val="32"/>
          <w:highlight w:val="none"/>
          <w:u w:val="none"/>
          <w:lang w:eastAsia="zh-CN"/>
        </w:rPr>
        <w:t>。</w:t>
      </w:r>
      <w:r>
        <w:rPr>
          <w:rFonts w:hint="default" w:ascii="Times New Roman" w:hAnsi="Times New Roman" w:eastAsia="仿宋_GB2312" w:cs="Times New Roman"/>
          <w:color w:val="000000"/>
          <w:kern w:val="2"/>
          <w:sz w:val="32"/>
          <w:szCs w:val="32"/>
          <w:highlight w:val="none"/>
          <w:u w:val="none"/>
          <w:lang w:val="en-US" w:eastAsia="zh-CN" w:bidi="zh-TW"/>
        </w:rPr>
        <w:t>政府或供电企业已经投资建设到位或者正在建设中的电力接入工程，因用户原因造成电力接入工程废止或供电方案变更等引起新增电力接入工程的，由用户承担已投入的或新增的电力接入工程建设费用。</w:t>
      </w:r>
    </w:p>
    <w:p w14:paraId="574BA5AE">
      <w:pPr>
        <w:snapToGrid w:val="0"/>
        <w:jc w:val="both"/>
        <w:rPr>
          <w:rFonts w:hint="eastAsia"/>
          <w:sz w:val="24"/>
          <w:szCs w:val="24"/>
        </w:rPr>
      </w:pPr>
    </w:p>
    <w:p w14:paraId="20041BB6">
      <w:pPr>
        <w:snapToGrid w:val="0"/>
        <w:rPr>
          <w:rFonts w:hint="eastAsia" w:eastAsia="宋体"/>
          <w:sz w:val="32"/>
          <w:szCs w:val="32"/>
          <w:lang w:eastAsia="zh-CN"/>
        </w:rPr>
      </w:pPr>
    </w:p>
    <w:p w14:paraId="7847CCC5">
      <w:pPr>
        <w:snapToGrid w:val="0"/>
        <w:ind w:firstLine="420" w:firstLineChars="200"/>
        <w:rPr>
          <w:rFonts w:hint="eastAsia" w:eastAsia="仿宋_GB2312"/>
          <w:szCs w:val="21"/>
        </w:rPr>
      </w:pPr>
    </w:p>
    <w:p w14:paraId="53A9BA25">
      <w:pPr>
        <w:snapToGrid w:val="0"/>
        <w:ind w:left="1072" w:leftChars="152" w:hanging="753" w:hangingChars="250"/>
        <w:rPr>
          <w:rFonts w:hint="eastAsia" w:eastAsia="楷体_GB2312"/>
          <w:b/>
          <w:sz w:val="30"/>
          <w:szCs w:val="30"/>
          <w:lang w:eastAsia="zh-CN"/>
        </w:rPr>
      </w:pPr>
    </w:p>
    <w:p w14:paraId="501321C2"/>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2273499"/>
    <w:rsid w:val="122734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paragraph" w:customStyle="1" w:styleId="4">
    <w:name w:val="Table Text"/>
    <w:basedOn w:val="1"/>
    <w:semiHidden/>
    <w:qFormat/>
    <w:uiPriority w:val="0"/>
    <w:rPr>
      <w:rFonts w:ascii="宋体" w:hAnsi="宋体" w:eastAsia="宋体" w:cs="宋体"/>
      <w:sz w:val="24"/>
      <w:szCs w:val="24"/>
      <w:lang w:val="en-US" w:eastAsia="en-US" w:bidi="ar-SA"/>
    </w:rPr>
  </w:style>
  <w:style w:type="table" w:customStyle="1" w:styleId="5">
    <w:name w:val="Table Normal"/>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Office_12.1.0.22215_F1E327BC-269C-435d-A152-05C5408002CA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2025-08-08T02:42:00Z</dcterms:created>
  <dc:creator>。。。</dc:creator>
  <cp:lastModifiedBy>。。。</cp:lastModifiedBy>
  <dcterms:modified xsi:type="dcterms:W3CDTF">2025-08-08T02:43:03Z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2052-12.1.0.22215</vt:lpwstr>
  </property>
  <property fmtid="{D5CDD505-2E9C-101B-9397-08002B2CF9AE}" pid="3" name="ICV">
    <vt:lpwstr>10AB0B71578C4C5DA9C901C2133CF4CB_11</vt:lpwstr>
  </property>
  <property fmtid="{D5CDD505-2E9C-101B-9397-08002B2CF9AE}" pid="4" name="KSOTemplateDocerSaveRecord">
    <vt:lpwstr>eyJoZGlkIjoiZjM4ZmNmZDM5OTgxNzE5NDJmYWU0MTg3MTY3NDhlZWYiLCJ1c2VySWQiOiIzMzQzNTkyNzYifQ==</vt:lpwstr>
  </property>
</Properties>
</file>