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kinsoku/>
        <w:wordWrap/>
        <w:overflowPunct/>
        <w:topLinePunct w:val="0"/>
        <w:autoSpaceDE/>
        <w:autoSpaceDN/>
        <w:bidi w:val="0"/>
        <w:adjustRightInd/>
        <w:snapToGrid/>
        <w:spacing w:after="0" w:line="600" w:lineRule="exact"/>
        <w:jc w:val="center"/>
        <w:textAlignment w:val="auto"/>
        <w:rPr>
          <w:rFonts w:hint="eastAsia" w:ascii="方正小标宋简体" w:hAnsi="方正小标宋简体" w:eastAsia="方正小标宋简体" w:cs="方正小标宋简体"/>
          <w:b w:val="0"/>
          <w:bCs w:val="0"/>
          <w:i w:val="0"/>
          <w:iCs w:val="0"/>
          <w:caps w:val="0"/>
          <w:color w:val="auto"/>
          <w:spacing w:val="0"/>
          <w:kern w:val="0"/>
          <w:sz w:val="44"/>
          <w:szCs w:val="44"/>
          <w:shd w:val="clear" w:color="auto" w:fill="FFFFFF"/>
          <w:lang w:val="en-US" w:eastAsia="zh-CN" w:bidi="ar"/>
        </w:rPr>
      </w:pPr>
      <w:r>
        <w:rPr>
          <w:rFonts w:hint="eastAsia" w:ascii="方正小标宋简体" w:hAnsi="方正小标宋简体" w:eastAsia="方正小标宋简体" w:cs="方正小标宋简体"/>
          <w:b w:val="0"/>
          <w:bCs w:val="0"/>
          <w:i w:val="0"/>
          <w:iCs w:val="0"/>
          <w:caps w:val="0"/>
          <w:color w:val="auto"/>
          <w:spacing w:val="0"/>
          <w:kern w:val="0"/>
          <w:sz w:val="44"/>
          <w:szCs w:val="44"/>
          <w:shd w:val="clear" w:color="auto" w:fill="FFFFFF"/>
          <w:lang w:val="en-US" w:eastAsia="zh-CN" w:bidi="ar"/>
        </w:rPr>
        <w:t>《抚州市产业集群提能升级三年行动方案</w:t>
      </w:r>
    </w:p>
    <w:p>
      <w:pPr>
        <w:keepNext w:val="0"/>
        <w:keepLines w:val="0"/>
        <w:pageBreakBefore w:val="0"/>
        <w:widowControl w:val="0"/>
        <w:suppressLineNumbers w:val="0"/>
        <w:kinsoku/>
        <w:wordWrap/>
        <w:overflowPunct/>
        <w:topLinePunct w:val="0"/>
        <w:autoSpaceDE/>
        <w:autoSpaceDN/>
        <w:bidi w:val="0"/>
        <w:adjustRightInd/>
        <w:snapToGrid/>
        <w:spacing w:after="0" w:line="600" w:lineRule="exact"/>
        <w:jc w:val="center"/>
        <w:textAlignment w:val="auto"/>
        <w:rPr>
          <w:rFonts w:hint="eastAsia" w:ascii="方正小标宋简体" w:hAnsi="方正小标宋简体" w:eastAsia="方正小标宋简体" w:cs="方正小标宋简体"/>
          <w:b w:val="0"/>
          <w:bCs w:val="0"/>
          <w:i w:val="0"/>
          <w:iCs w:val="0"/>
          <w:caps w:val="0"/>
          <w:color w:val="auto"/>
          <w:spacing w:val="0"/>
          <w:kern w:val="0"/>
          <w:sz w:val="44"/>
          <w:szCs w:val="44"/>
          <w:shd w:val="clear" w:color="auto" w:fill="FFFFFF"/>
          <w:lang w:val="en-US" w:eastAsia="zh-CN" w:bidi="ar"/>
        </w:rPr>
      </w:pPr>
      <w:r>
        <w:rPr>
          <w:rFonts w:hint="eastAsia" w:ascii="方正小标宋简体" w:hAnsi="方正小标宋简体" w:eastAsia="方正小标宋简体" w:cs="方正小标宋简体"/>
          <w:b w:val="0"/>
          <w:bCs w:val="0"/>
          <w:i w:val="0"/>
          <w:iCs w:val="0"/>
          <w:caps w:val="0"/>
          <w:color w:val="auto"/>
          <w:spacing w:val="0"/>
          <w:kern w:val="0"/>
          <w:sz w:val="44"/>
          <w:szCs w:val="44"/>
          <w:shd w:val="clear" w:color="auto" w:fill="FFFFFF"/>
          <w:lang w:val="en-US" w:eastAsia="zh-CN" w:bidi="ar"/>
        </w:rPr>
        <w:t>（2026-2028年）》起草说明</w:t>
      </w:r>
    </w:p>
    <w:p>
      <w:pPr>
        <w:keepNext w:val="0"/>
        <w:keepLines w:val="0"/>
        <w:pageBreakBefore w:val="0"/>
        <w:widowControl w:val="0"/>
        <w:suppressLineNumbers w:val="0"/>
        <w:kinsoku/>
        <w:wordWrap/>
        <w:overflowPunct/>
        <w:topLinePunct w:val="0"/>
        <w:autoSpaceDE/>
        <w:autoSpaceDN/>
        <w:bidi w:val="0"/>
        <w:adjustRightInd/>
        <w:snapToGrid/>
        <w:spacing w:after="0" w:line="600" w:lineRule="exact"/>
        <w:ind w:firstLine="480" w:firstLineChars="200"/>
        <w:jc w:val="both"/>
        <w:textAlignment w:val="auto"/>
        <w:rPr>
          <w:rFonts w:hint="eastAsia" w:ascii="黑体" w:hAnsi="黑体" w:eastAsia="黑体" w:cs="黑体"/>
          <w:b w:val="0"/>
          <w:bCs w:val="0"/>
          <w:i w:val="0"/>
          <w:iCs w:val="0"/>
          <w:caps w:val="0"/>
          <w:color w:val="auto"/>
          <w:spacing w:val="0"/>
          <w:kern w:val="0"/>
          <w:sz w:val="24"/>
          <w:szCs w:val="24"/>
          <w:shd w:val="clear" w:color="auto" w:fill="FFFFFF"/>
          <w:lang w:val="en-US" w:eastAsia="zh-CN" w:bidi="ar"/>
        </w:rPr>
      </w:pPr>
    </w:p>
    <w:p>
      <w:pPr>
        <w:keepNext w:val="0"/>
        <w:keepLines w:val="0"/>
        <w:pageBreakBefore w:val="0"/>
        <w:widowControl w:val="0"/>
        <w:suppressLineNumbers w:val="0"/>
        <w:kinsoku/>
        <w:wordWrap/>
        <w:overflowPunct w:val="0"/>
        <w:topLinePunct w:val="0"/>
        <w:autoSpaceDE/>
        <w:autoSpaceDN/>
        <w:bidi w:val="0"/>
        <w:adjustRightInd/>
        <w:snapToGrid/>
        <w:spacing w:after="0" w:line="560" w:lineRule="exact"/>
        <w:ind w:firstLine="640" w:firstLineChars="200"/>
        <w:jc w:val="both"/>
        <w:textAlignment w:val="auto"/>
        <w:rPr>
          <w:rFonts w:hint="eastAsia" w:ascii="黑体" w:hAnsi="黑体" w:eastAsia="黑体" w:cs="黑体"/>
          <w:b w:val="0"/>
          <w:bCs w:val="0"/>
          <w:color w:val="auto"/>
          <w:sz w:val="32"/>
          <w:szCs w:val="32"/>
        </w:rPr>
      </w:pPr>
      <w:r>
        <w:rPr>
          <w:rStyle w:val="7"/>
          <w:rFonts w:hint="eastAsia" w:ascii="黑体" w:hAnsi="黑体" w:eastAsia="黑体" w:cs="黑体"/>
          <w:b w:val="0"/>
          <w:bCs w:val="0"/>
          <w:i w:val="0"/>
          <w:iCs w:val="0"/>
          <w:caps w:val="0"/>
          <w:color w:val="auto"/>
          <w:spacing w:val="0"/>
          <w:kern w:val="0"/>
          <w:sz w:val="32"/>
          <w:szCs w:val="32"/>
          <w:shd w:val="clear" w:color="auto" w:fill="FFFFFF"/>
          <w:lang w:val="en-US" w:eastAsia="zh-CN" w:bidi="ar"/>
        </w:rPr>
        <w:t>一、起草背景</w:t>
      </w:r>
    </w:p>
    <w:p>
      <w:pPr>
        <w:pStyle w:val="2"/>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w w:val="100"/>
          <w:sz w:val="32"/>
          <w:szCs w:val="32"/>
          <w:lang w:val="en-US" w:eastAsia="zh-CN"/>
        </w:rPr>
      </w:pPr>
      <w:r>
        <w:rPr>
          <w:rFonts w:hint="eastAsia" w:ascii="仿宋_GB2312" w:hAnsi="仿宋_GB2312" w:eastAsia="仿宋_GB2312" w:cs="仿宋_GB2312"/>
          <w:w w:val="100"/>
          <w:sz w:val="32"/>
          <w:szCs w:val="32"/>
          <w:lang w:val="en-US" w:eastAsia="zh-CN"/>
        </w:rPr>
        <w:t>为贯彻落实省委、省政府关于建成一批在全国有较强影响力的产业集群的决策部署，依据《江西省产业集群提能升级三年行动方案》（赣工强省小组字〔2025〕4号）精神，并结合2026年初全省工业和信息化领域系列会议关于将产业集群作为工业高质量发展总牵引、总抓手，着力提升“五个一流”水平、全面推行“六个一”工作机制的具体要求，按照市委、市政府工作部署，市工信局在深入调研、立足本市实际的基础上，研究起草了《抚州市产业集群提能升级三年行动方案（2026—2028年）（征求意见稿）》</w:t>
      </w:r>
      <w:r>
        <w:rPr>
          <w:rFonts w:hint="default" w:ascii="仿宋_GB2312" w:hAnsi="仿宋_GB2312" w:eastAsia="仿宋_GB2312" w:cs="仿宋_GB2312"/>
          <w:b w:val="0"/>
          <w:bCs w:val="0"/>
          <w:i w:val="0"/>
          <w:iCs w:val="0"/>
          <w:caps w:val="0"/>
          <w:color w:val="auto"/>
          <w:spacing w:val="0"/>
          <w:w w:val="100"/>
          <w:kern w:val="0"/>
          <w:sz w:val="32"/>
          <w:szCs w:val="32"/>
          <w:shd w:val="clear" w:color="auto" w:fill="FFFFFF"/>
          <w:lang w:val="en-US" w:eastAsia="zh-CN" w:bidi="ar"/>
        </w:rPr>
        <w:t>（以下简称《</w:t>
      </w:r>
      <w:r>
        <w:rPr>
          <w:rFonts w:hint="eastAsia" w:ascii="仿宋_GB2312" w:hAnsi="仿宋_GB2312" w:eastAsia="仿宋_GB2312" w:cs="仿宋_GB2312"/>
          <w:b w:val="0"/>
          <w:bCs w:val="0"/>
          <w:i w:val="0"/>
          <w:iCs w:val="0"/>
          <w:caps w:val="0"/>
          <w:color w:val="auto"/>
          <w:spacing w:val="0"/>
          <w:w w:val="100"/>
          <w:kern w:val="0"/>
          <w:sz w:val="32"/>
          <w:szCs w:val="32"/>
          <w:shd w:val="clear" w:color="auto" w:fill="FFFFFF"/>
          <w:lang w:val="en-US" w:eastAsia="zh-CN" w:bidi="ar"/>
        </w:rPr>
        <w:t>行动</w:t>
      </w:r>
      <w:r>
        <w:rPr>
          <w:rFonts w:hint="default" w:ascii="仿宋_GB2312" w:hAnsi="仿宋_GB2312" w:eastAsia="仿宋_GB2312" w:cs="仿宋_GB2312"/>
          <w:b w:val="0"/>
          <w:bCs w:val="0"/>
          <w:i w:val="0"/>
          <w:iCs w:val="0"/>
          <w:caps w:val="0"/>
          <w:color w:val="auto"/>
          <w:spacing w:val="0"/>
          <w:w w:val="100"/>
          <w:kern w:val="0"/>
          <w:sz w:val="32"/>
          <w:szCs w:val="32"/>
          <w:shd w:val="clear" w:color="auto" w:fill="FFFFFF"/>
          <w:lang w:val="en-US" w:eastAsia="zh-CN" w:bidi="ar"/>
        </w:rPr>
        <w:t>方案》）</w:t>
      </w:r>
      <w:r>
        <w:rPr>
          <w:rFonts w:hint="eastAsia" w:ascii="仿宋_GB2312" w:hAnsi="仿宋_GB2312" w:eastAsia="仿宋_GB2312" w:cs="仿宋_GB2312"/>
          <w:w w:val="100"/>
          <w:sz w:val="32"/>
          <w:szCs w:val="32"/>
          <w:lang w:val="en-US" w:eastAsia="zh-CN"/>
        </w:rPr>
        <w:t>。</w:t>
      </w:r>
    </w:p>
    <w:p>
      <w:pPr>
        <w:keepNext w:val="0"/>
        <w:keepLines w:val="0"/>
        <w:pageBreakBefore w:val="0"/>
        <w:widowControl w:val="0"/>
        <w:suppressLineNumbers w:val="0"/>
        <w:kinsoku/>
        <w:wordWrap/>
        <w:overflowPunct w:val="0"/>
        <w:topLinePunct w:val="0"/>
        <w:autoSpaceDE/>
        <w:autoSpaceDN/>
        <w:bidi w:val="0"/>
        <w:adjustRightInd/>
        <w:snapToGrid/>
        <w:spacing w:after="0" w:line="560" w:lineRule="exact"/>
        <w:ind w:firstLine="640" w:firstLineChars="200"/>
        <w:jc w:val="both"/>
        <w:textAlignment w:val="auto"/>
        <w:rPr>
          <w:rStyle w:val="7"/>
          <w:rFonts w:hint="eastAsia" w:ascii="黑体" w:hAnsi="黑体" w:eastAsia="黑体" w:cs="黑体"/>
          <w:b w:val="0"/>
          <w:bCs w:val="0"/>
          <w:i w:val="0"/>
          <w:iCs w:val="0"/>
          <w:caps w:val="0"/>
          <w:color w:val="auto"/>
          <w:spacing w:val="0"/>
          <w:kern w:val="0"/>
          <w:sz w:val="32"/>
          <w:szCs w:val="32"/>
          <w:shd w:val="clear" w:color="auto" w:fill="FFFFFF"/>
          <w:lang w:val="en-US" w:eastAsia="zh-CN" w:bidi="ar"/>
        </w:rPr>
      </w:pPr>
      <w:r>
        <w:rPr>
          <w:rStyle w:val="7"/>
          <w:rFonts w:hint="eastAsia" w:ascii="黑体" w:hAnsi="黑体" w:eastAsia="黑体" w:cs="黑体"/>
          <w:b w:val="0"/>
          <w:bCs w:val="0"/>
          <w:i w:val="0"/>
          <w:iCs w:val="0"/>
          <w:caps w:val="0"/>
          <w:color w:val="auto"/>
          <w:spacing w:val="0"/>
          <w:kern w:val="0"/>
          <w:sz w:val="32"/>
          <w:szCs w:val="32"/>
          <w:shd w:val="clear" w:color="auto" w:fill="FFFFFF"/>
          <w:lang w:val="en-US" w:eastAsia="zh-CN" w:bidi="ar"/>
        </w:rPr>
        <w:t>二、起草过程</w:t>
      </w:r>
    </w:p>
    <w:p>
      <w:pPr>
        <w:keepNext w:val="0"/>
        <w:keepLines w:val="0"/>
        <w:pageBreakBefore w:val="0"/>
        <w:widowControl w:val="0"/>
        <w:suppressLineNumbers w:val="0"/>
        <w:kinsoku/>
        <w:wordWrap/>
        <w:overflowPunct w:val="0"/>
        <w:topLinePunct w:val="0"/>
        <w:autoSpaceDE/>
        <w:autoSpaceDN/>
        <w:bidi w:val="0"/>
        <w:adjustRightInd/>
        <w:snapToGrid/>
        <w:spacing w:after="0" w:line="560" w:lineRule="exact"/>
        <w:ind w:firstLine="640" w:firstLineChars="200"/>
        <w:jc w:val="both"/>
        <w:textAlignment w:val="auto"/>
        <w:rPr>
          <w:rFonts w:hint="default" w:ascii="仿宋_GB2312" w:hAnsi="仿宋_GB2312" w:eastAsia="仿宋_GB2312" w:cs="仿宋_GB2312"/>
          <w:w w:val="100"/>
          <w:kern w:val="2"/>
          <w:sz w:val="32"/>
          <w:szCs w:val="32"/>
          <w:lang w:val="en-US" w:eastAsia="zh-CN" w:bidi="ar-SA"/>
        </w:rPr>
      </w:pPr>
      <w:r>
        <w:rPr>
          <w:rFonts w:hint="eastAsia" w:ascii="仿宋_GB2312" w:hAnsi="仿宋_GB2312" w:eastAsia="仿宋_GB2312" w:cs="仿宋_GB2312"/>
          <w:w w:val="100"/>
          <w:kern w:val="2"/>
          <w:sz w:val="32"/>
          <w:szCs w:val="32"/>
          <w:lang w:val="en-US" w:eastAsia="zh-CN" w:bidi="ar-SA"/>
        </w:rPr>
        <w:t>我局牵头组织起草形成初步方案，并充分衔接“十五五”新型工业化发展规划，依据省领导来抚调研精神，对集群体系进行了调整优化，将崇仁输变电、大健康食品两个集群纳入省级先进制造业集群培育体系。方案经过多轮修改，并发函征求了各县（区）、相关市直部门的意见建议，均已采纳吸收，使《行动方案》内容不断完善,形成本稿.</w:t>
      </w:r>
      <w:bookmarkStart w:id="0" w:name="_GoBack"/>
      <w:bookmarkEnd w:id="0"/>
    </w:p>
    <w:p>
      <w:pPr>
        <w:keepNext w:val="0"/>
        <w:keepLines w:val="0"/>
        <w:pageBreakBefore w:val="0"/>
        <w:widowControl w:val="0"/>
        <w:suppressLineNumbers w:val="0"/>
        <w:kinsoku/>
        <w:wordWrap/>
        <w:overflowPunct w:val="0"/>
        <w:topLinePunct w:val="0"/>
        <w:autoSpaceDE/>
        <w:autoSpaceDN/>
        <w:bidi w:val="0"/>
        <w:adjustRightInd/>
        <w:snapToGrid/>
        <w:spacing w:after="0" w:line="560" w:lineRule="exact"/>
        <w:ind w:firstLine="640" w:firstLineChars="200"/>
        <w:jc w:val="both"/>
        <w:textAlignment w:val="auto"/>
        <w:rPr>
          <w:rStyle w:val="7"/>
          <w:rFonts w:hint="eastAsia" w:ascii="黑体" w:hAnsi="黑体" w:eastAsia="黑体" w:cs="黑体"/>
          <w:b w:val="0"/>
          <w:bCs w:val="0"/>
          <w:i w:val="0"/>
          <w:iCs w:val="0"/>
          <w:caps w:val="0"/>
          <w:color w:val="auto"/>
          <w:spacing w:val="0"/>
          <w:kern w:val="0"/>
          <w:sz w:val="32"/>
          <w:szCs w:val="32"/>
          <w:shd w:val="clear" w:color="auto" w:fill="FFFFFF"/>
          <w:lang w:val="en-US" w:eastAsia="zh-CN" w:bidi="ar"/>
        </w:rPr>
      </w:pPr>
      <w:r>
        <w:rPr>
          <w:rStyle w:val="7"/>
          <w:rFonts w:hint="eastAsia" w:ascii="黑体" w:hAnsi="黑体" w:eastAsia="黑体" w:cs="黑体"/>
          <w:b w:val="0"/>
          <w:bCs w:val="0"/>
          <w:i w:val="0"/>
          <w:iCs w:val="0"/>
          <w:caps w:val="0"/>
          <w:color w:val="auto"/>
          <w:spacing w:val="0"/>
          <w:kern w:val="0"/>
          <w:sz w:val="32"/>
          <w:szCs w:val="32"/>
          <w:shd w:val="clear" w:color="auto" w:fill="FFFFFF"/>
          <w:lang w:val="en-US" w:eastAsia="zh-CN" w:bidi="ar"/>
        </w:rPr>
        <w:t>三、主要内容</w:t>
      </w:r>
    </w:p>
    <w:p>
      <w:pPr>
        <w:keepNext w:val="0"/>
        <w:keepLines w:val="0"/>
        <w:pageBreakBefore w:val="0"/>
        <w:widowControl w:val="0"/>
        <w:suppressLineNumbers w:val="0"/>
        <w:kinsoku/>
        <w:wordWrap/>
        <w:overflowPunct w:val="0"/>
        <w:topLinePunct w:val="0"/>
        <w:autoSpaceDE/>
        <w:autoSpaceDN/>
        <w:bidi w:val="0"/>
        <w:adjustRightInd/>
        <w:snapToGrid/>
        <w:spacing w:after="0" w:line="560" w:lineRule="exact"/>
        <w:ind w:firstLine="640" w:firstLineChars="200"/>
        <w:jc w:val="both"/>
        <w:textAlignment w:val="auto"/>
        <w:rPr>
          <w:rFonts w:hint="default" w:ascii="仿宋_GB2312" w:hAnsi="仿宋_GB2312" w:eastAsia="仿宋_GB2312" w:cs="仿宋_GB2312"/>
          <w:w w:val="100"/>
          <w:kern w:val="2"/>
          <w:sz w:val="32"/>
          <w:szCs w:val="32"/>
          <w:lang w:val="en-US" w:eastAsia="zh-CN" w:bidi="ar-SA"/>
        </w:rPr>
      </w:pPr>
      <w:r>
        <w:rPr>
          <w:rFonts w:hint="default" w:ascii="仿宋_GB2312" w:hAnsi="仿宋_GB2312" w:eastAsia="仿宋_GB2312" w:cs="仿宋_GB2312"/>
          <w:w w:val="100"/>
          <w:kern w:val="2"/>
          <w:sz w:val="32"/>
          <w:szCs w:val="32"/>
          <w:lang w:val="en-US" w:eastAsia="zh-CN" w:bidi="ar-SA"/>
        </w:rPr>
        <w:t>《</w:t>
      </w:r>
      <w:r>
        <w:rPr>
          <w:rFonts w:hint="eastAsia" w:ascii="仿宋_GB2312" w:hAnsi="仿宋_GB2312" w:eastAsia="仿宋_GB2312" w:cs="仿宋_GB2312"/>
          <w:w w:val="100"/>
          <w:kern w:val="2"/>
          <w:sz w:val="32"/>
          <w:szCs w:val="32"/>
          <w:lang w:val="en-US" w:eastAsia="zh-CN" w:bidi="ar-SA"/>
        </w:rPr>
        <w:t>行动</w:t>
      </w:r>
      <w:r>
        <w:rPr>
          <w:rFonts w:hint="default" w:ascii="仿宋_GB2312" w:hAnsi="仿宋_GB2312" w:eastAsia="仿宋_GB2312" w:cs="仿宋_GB2312"/>
          <w:w w:val="100"/>
          <w:kern w:val="2"/>
          <w:sz w:val="32"/>
          <w:szCs w:val="32"/>
          <w:lang w:val="en-US" w:eastAsia="zh-CN" w:bidi="ar-SA"/>
        </w:rPr>
        <w:t>方案》包括总体要求及目标、</w:t>
      </w:r>
      <w:r>
        <w:rPr>
          <w:rFonts w:hint="eastAsia" w:ascii="仿宋_GB2312" w:hAnsi="仿宋_GB2312" w:eastAsia="仿宋_GB2312" w:cs="仿宋_GB2312"/>
          <w:w w:val="100"/>
          <w:kern w:val="2"/>
          <w:sz w:val="32"/>
          <w:szCs w:val="32"/>
          <w:lang w:val="en-US" w:eastAsia="zh-CN" w:bidi="ar-SA"/>
        </w:rPr>
        <w:t>重点任务、重点工作和组织实施四</w:t>
      </w:r>
      <w:r>
        <w:rPr>
          <w:rFonts w:hint="default" w:ascii="仿宋_GB2312" w:hAnsi="仿宋_GB2312" w:eastAsia="仿宋_GB2312" w:cs="仿宋_GB2312"/>
          <w:w w:val="100"/>
          <w:kern w:val="2"/>
          <w:sz w:val="32"/>
          <w:szCs w:val="32"/>
          <w:lang w:val="en-US" w:eastAsia="zh-CN" w:bidi="ar-SA"/>
        </w:rPr>
        <w:t>部分。</w:t>
      </w:r>
    </w:p>
    <w:p>
      <w:pPr>
        <w:pStyle w:val="2"/>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i w:val="0"/>
          <w:iCs w:val="0"/>
          <w:caps w:val="0"/>
          <w:color w:val="auto"/>
          <w:spacing w:val="0"/>
          <w:kern w:val="0"/>
          <w:sz w:val="32"/>
          <w:szCs w:val="32"/>
          <w:shd w:val="clear" w:color="auto" w:fill="FFFFFF"/>
          <w:lang w:val="en-US" w:eastAsia="zh-CN" w:bidi="ar"/>
        </w:rPr>
      </w:pPr>
      <w:r>
        <w:rPr>
          <w:rFonts w:hint="eastAsia" w:ascii="楷体_GB2312" w:hAnsi="楷体_GB2312" w:eastAsia="楷体_GB2312" w:cs="楷体_GB2312"/>
          <w:b w:val="0"/>
          <w:bCs w:val="0"/>
          <w:i w:val="0"/>
          <w:iCs w:val="0"/>
          <w:caps w:val="0"/>
          <w:color w:val="auto"/>
          <w:spacing w:val="0"/>
          <w:kern w:val="0"/>
          <w:sz w:val="32"/>
          <w:szCs w:val="32"/>
          <w:shd w:val="clear" w:color="auto" w:fill="FFFFFF"/>
          <w:lang w:val="en-US" w:eastAsia="zh-CN" w:bidi="ar"/>
        </w:rPr>
        <w:t>第一部分：</w:t>
      </w:r>
      <w:r>
        <w:rPr>
          <w:rFonts w:hint="default" w:ascii="楷体_GB2312" w:hAnsi="楷体_GB2312" w:eastAsia="楷体_GB2312" w:cs="楷体_GB2312"/>
          <w:b w:val="0"/>
          <w:bCs w:val="0"/>
          <w:i w:val="0"/>
          <w:iCs w:val="0"/>
          <w:caps w:val="0"/>
          <w:color w:val="auto"/>
          <w:spacing w:val="0"/>
          <w:kern w:val="0"/>
          <w:sz w:val="32"/>
          <w:szCs w:val="32"/>
          <w:shd w:val="clear" w:color="auto" w:fill="FFFFFF"/>
          <w:lang w:val="en-US" w:eastAsia="zh-CN" w:bidi="ar"/>
        </w:rPr>
        <w:t>总体要求及目标</w:t>
      </w:r>
      <w:r>
        <w:rPr>
          <w:rFonts w:hint="eastAsia" w:ascii="楷体_GB2312" w:hAnsi="楷体_GB2312" w:eastAsia="楷体_GB2312" w:cs="楷体_GB2312"/>
          <w:b w:val="0"/>
          <w:bCs w:val="0"/>
          <w:i w:val="0"/>
          <w:iCs w:val="0"/>
          <w:caps w:val="0"/>
          <w:color w:val="auto"/>
          <w:spacing w:val="0"/>
          <w:kern w:val="0"/>
          <w:sz w:val="32"/>
          <w:szCs w:val="32"/>
          <w:shd w:val="clear" w:color="auto" w:fill="FFFFFF"/>
          <w:lang w:val="en-US" w:eastAsia="zh-CN" w:bidi="ar"/>
        </w:rPr>
        <w:t>。</w:t>
      </w:r>
      <w:r>
        <w:rPr>
          <w:rFonts w:hint="eastAsia"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明确将产业集群作为全市工业高质量发展的总牵引和总抓手，提出以提升“五个一流”水平为核心，全面推行“六个一”工作机制。明确到2028年构建“1+5+X”先进制造业集群体系的总体目标，具体包括打造2个千亿级、4个三百亿级及一批百亿级产业集群，形成规模壮大、层次分明、竞争力强的集群发展新格局。</w:t>
      </w:r>
    </w:p>
    <w:p>
      <w:pPr>
        <w:pStyle w:val="2"/>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i w:val="0"/>
          <w:iCs w:val="0"/>
          <w:caps w:val="0"/>
          <w:color w:val="auto"/>
          <w:spacing w:val="0"/>
          <w:kern w:val="0"/>
          <w:sz w:val="32"/>
          <w:szCs w:val="32"/>
          <w:shd w:val="clear" w:color="auto" w:fill="FFFFFF"/>
          <w:lang w:val="en-US" w:eastAsia="zh-CN" w:bidi="ar"/>
        </w:rPr>
      </w:pPr>
      <w:r>
        <w:rPr>
          <w:rFonts w:hint="eastAsia" w:ascii="楷体_GB2312" w:hAnsi="楷体_GB2312" w:eastAsia="楷体_GB2312" w:cs="楷体_GB2312"/>
          <w:b w:val="0"/>
          <w:bCs w:val="0"/>
          <w:i w:val="0"/>
          <w:iCs w:val="0"/>
          <w:caps w:val="0"/>
          <w:color w:val="auto"/>
          <w:spacing w:val="0"/>
          <w:kern w:val="0"/>
          <w:sz w:val="32"/>
          <w:szCs w:val="32"/>
          <w:shd w:val="clear" w:color="auto" w:fill="FFFFFF"/>
          <w:lang w:val="en-US" w:eastAsia="zh-CN" w:bidi="ar"/>
        </w:rPr>
        <w:t>第二部分：重点任务。</w:t>
      </w:r>
      <w:r>
        <w:rPr>
          <w:rFonts w:hint="eastAsia"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围绕“1+5+X”梯度培育体系展开。一是聚焦铜基新材料国家级先进制造业集群，着力提升综合竞争力与区域协同水平。二是着力培育新能源汽车及零部件、轻合金材料及应用、高端精密制造、大健康食品、崇仁输变电设备5个省级先进制造业集群，明确各集群的核心区域、主攻方向与发展路径。三是引导各县（区）立足特色资源，差异化培育高新、东乡生物医药，南城、黎川、资溪现代家具（教育装备），金溪香精香料，黎川陶瓷，宜黄高分子材料，宜黄、南城高端线路板，南丰、资溪、广昌绿色食品，乐安锂电新能源、广昌服装新材料等一批市级先进制造业集群，形成多点支撑、特色发展的生动局面。</w:t>
      </w:r>
    </w:p>
    <w:p>
      <w:pPr>
        <w:pStyle w:val="2"/>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pPr>
      <w:r>
        <w:rPr>
          <w:rFonts w:hint="eastAsia" w:ascii="楷体_GB2312" w:hAnsi="楷体_GB2312" w:eastAsia="楷体_GB2312" w:cs="楷体_GB2312"/>
          <w:b w:val="0"/>
          <w:bCs w:val="0"/>
          <w:i w:val="0"/>
          <w:iCs w:val="0"/>
          <w:caps w:val="0"/>
          <w:color w:val="auto"/>
          <w:spacing w:val="0"/>
          <w:kern w:val="0"/>
          <w:sz w:val="32"/>
          <w:szCs w:val="32"/>
          <w:shd w:val="clear" w:color="auto" w:fill="FFFFFF"/>
          <w:lang w:val="en-US" w:eastAsia="zh-CN" w:bidi="ar"/>
        </w:rPr>
        <w:t>第三部分：重点工作。</w:t>
      </w:r>
      <w:r>
        <w:rPr>
          <w:rFonts w:hint="eastAsia"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提出了五个方面18项具体举措，是《行动方案》的核心操作部分。</w:t>
      </w:r>
      <w:r>
        <w:rPr>
          <w:rFonts w:hint="eastAsia" w:ascii="仿宋_GB2312" w:hAnsi="仿宋_GB2312" w:eastAsia="仿宋_GB2312" w:cs="仿宋_GB2312"/>
          <w:b/>
          <w:bCs/>
          <w:i w:val="0"/>
          <w:iCs w:val="0"/>
          <w:caps w:val="0"/>
          <w:color w:val="auto"/>
          <w:spacing w:val="0"/>
          <w:kern w:val="0"/>
          <w:sz w:val="32"/>
          <w:szCs w:val="32"/>
          <w:shd w:val="clear" w:color="auto" w:fill="FFFFFF"/>
          <w:lang w:val="en-US" w:eastAsia="zh-CN" w:bidi="ar"/>
        </w:rPr>
        <w:t>一是招引培优并举，壮大集群发展规模。</w:t>
      </w:r>
      <w:r>
        <w:rPr>
          <w:rFonts w:hint="eastAsia"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从提升招商质效、壮大企业矩阵、加大项目建设力度三个方面，着力扩大集群总量。全面梳理各集群重点产业链的关键与缺失环节，精准引进上下游配套企业。各县（区）在全面梳理集群产业链图谱的基础上，聚焦1-2条新兴产业细分赛道，深入开展链式招商。制订“链主”企业筛选及培育管理办法和专项政策，加快打造链主和龙头骨干优质企业矩阵。强化项目服务保障，开展产业集群企业规模化技改。</w:t>
      </w:r>
      <w:r>
        <w:rPr>
          <w:rFonts w:hint="eastAsia" w:ascii="仿宋_GB2312" w:hAnsi="仿宋_GB2312" w:eastAsia="仿宋_GB2312" w:cs="仿宋_GB2312"/>
          <w:b/>
          <w:bCs/>
          <w:i w:val="0"/>
          <w:iCs w:val="0"/>
          <w:caps w:val="0"/>
          <w:color w:val="auto"/>
          <w:spacing w:val="0"/>
          <w:kern w:val="0"/>
          <w:sz w:val="32"/>
          <w:szCs w:val="32"/>
          <w:shd w:val="clear" w:color="auto" w:fill="FFFFFF"/>
          <w:lang w:val="en-US" w:eastAsia="zh-CN" w:bidi="ar"/>
        </w:rPr>
        <w:t>二是深化“两创”融合，激活集群发展动能。</w:t>
      </w:r>
      <w:r>
        <w:rPr>
          <w:rFonts w:hint="eastAsia"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通过推动成果转化、打造创新平台、攻关关键技术、提升质量品牌四项措施，强化科技创新对集群升级的核心驱动作用。精准摸排产业发展短板和企业技术需求，推动一批产业化项目和中试项目在抚转化落地。坚持把科创平台建立在产业链上，建立在链主及龙头骨干企业上，打造一批高能级实体化的创新平台。引导集群企业加快创新投入，通过“科技定向邀榜”方式参与市级科技计划项目。</w:t>
      </w:r>
      <w:r>
        <w:rPr>
          <w:rFonts w:hint="eastAsia" w:ascii="仿宋_GB2312" w:hAnsi="仿宋_GB2312" w:eastAsia="仿宋_GB2312" w:cs="仿宋_GB2312"/>
          <w:b/>
          <w:bCs/>
          <w:i w:val="0"/>
          <w:iCs w:val="0"/>
          <w:caps w:val="0"/>
          <w:color w:val="auto"/>
          <w:spacing w:val="0"/>
          <w:kern w:val="0"/>
          <w:sz w:val="32"/>
          <w:szCs w:val="32"/>
          <w:shd w:val="clear" w:color="auto" w:fill="FFFFFF"/>
          <w:lang w:val="en-US" w:eastAsia="zh-CN" w:bidi="ar"/>
        </w:rPr>
        <w:t>三是强化资金投入，夯实集群金融支撑。</w:t>
      </w:r>
      <w:r>
        <w:rPr>
          <w:rFonts w:hint="eastAsia"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围绕推进科创金融扩面、增强金融服务供给、强化科创金融支撑三个层面，构建覆盖科技型企业全生命周期的多元化金融支持体系。深化科技金融改革试点建设，全力争创科创金融改革试验区。增强金融服务供给，做大做强科技金融信贷产品，推广创新积分制，构建风险共担增信机制。切实抓好“一产一基金”产业发展引导基金体系建设，推广“投贷联动”、知识产权证券化等融资模式。</w:t>
      </w:r>
      <w:r>
        <w:rPr>
          <w:rFonts w:hint="eastAsia" w:ascii="仿宋_GB2312" w:hAnsi="仿宋_GB2312" w:eastAsia="仿宋_GB2312" w:cs="仿宋_GB2312"/>
          <w:b/>
          <w:bCs/>
          <w:i w:val="0"/>
          <w:iCs w:val="0"/>
          <w:caps w:val="0"/>
          <w:color w:val="auto"/>
          <w:spacing w:val="0"/>
          <w:kern w:val="0"/>
          <w:sz w:val="32"/>
          <w:szCs w:val="32"/>
          <w:shd w:val="clear" w:color="auto" w:fill="FFFFFF"/>
          <w:lang w:val="en-US" w:eastAsia="zh-CN" w:bidi="ar"/>
        </w:rPr>
        <w:t>四是加快数改绿转，提升集群融合发展水平。</w:t>
      </w:r>
      <w:r>
        <w:rPr>
          <w:rFonts w:hint="eastAsia"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部署了深化数字化改造、加快AI赋能、提升绿色化水平、深化供需对接四项任务，推动集群向智能化、绿色化、协同化方向转型。实施新一轮数转智改计划，推动链群共转，建成一批省级“数智标杆”企业，引领带动产业集群整体数字化转型。加快AI赋能，实施“人工智能+制造”行动，加速制造业大模型运用和人工智能场景运用。严格执行碳排放“双控”制度，加快构建绿色制造体系。深化集群供需对接，每年分产业开展产销对接活动。</w:t>
      </w:r>
      <w:r>
        <w:rPr>
          <w:rFonts w:hint="eastAsia" w:ascii="仿宋_GB2312" w:hAnsi="仿宋_GB2312" w:eastAsia="仿宋_GB2312" w:cs="仿宋_GB2312"/>
          <w:b/>
          <w:bCs/>
          <w:i w:val="0"/>
          <w:iCs w:val="0"/>
          <w:caps w:val="0"/>
          <w:color w:val="auto"/>
          <w:spacing w:val="0"/>
          <w:kern w:val="0"/>
          <w:sz w:val="32"/>
          <w:szCs w:val="32"/>
          <w:shd w:val="clear" w:color="auto" w:fill="FFFFFF"/>
          <w:lang w:val="en-US" w:eastAsia="zh-CN" w:bidi="ar"/>
        </w:rPr>
        <w:t>五是强化生态建设，提升集群治理效能。</w:t>
      </w:r>
      <w:r>
        <w:rPr>
          <w:rFonts w:hint="eastAsia"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从完善政策体系、提升园区承载能力、提升专业治理水平、强化人才引育四个维度，优化集群发展的软硬件环境和治理能力。</w:t>
      </w:r>
      <w:r>
        <w:rPr>
          <w:rFonts w:hint="default"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加大财政资金支持，市级工业创新发展专项资金重点用于支持集群提能升级</w:t>
      </w:r>
      <w:r>
        <w:rPr>
          <w:rFonts w:hint="eastAsia"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w:t>
      </w:r>
      <w:r>
        <w:rPr>
          <w:rFonts w:hint="default"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各县（区）精心编制产业集群发展规划，研究出台支持产业集群发展的集成政策</w:t>
      </w:r>
      <w:r>
        <w:rPr>
          <w:rFonts w:hint="eastAsia"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w:t>
      </w:r>
      <w:r>
        <w:rPr>
          <w:rFonts w:hint="default"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夯实开发区作为集群建设的承载阵地，推进高标准数字园区建设</w:t>
      </w:r>
      <w:r>
        <w:rPr>
          <w:rFonts w:hint="eastAsia"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w:t>
      </w:r>
      <w:r>
        <w:rPr>
          <w:rFonts w:hint="default"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推动集群成立专业化促进组织、组建产业联盟、行业协会等社会团体</w:t>
      </w:r>
      <w:r>
        <w:rPr>
          <w:rFonts w:hint="eastAsia"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w:t>
      </w:r>
      <w:r>
        <w:rPr>
          <w:rFonts w:hint="default"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持续深化“双招双引”，更大力度引进和培养集群“高精尖缺”人才和团队。</w:t>
      </w:r>
    </w:p>
    <w:p>
      <w:pPr>
        <w:pStyle w:val="2"/>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pPr>
      <w:r>
        <w:rPr>
          <w:rFonts w:hint="eastAsia" w:ascii="楷体_GB2312" w:hAnsi="楷体_GB2312" w:eastAsia="楷体_GB2312" w:cs="楷体_GB2312"/>
          <w:b w:val="0"/>
          <w:bCs w:val="0"/>
          <w:i w:val="0"/>
          <w:iCs w:val="0"/>
          <w:caps w:val="0"/>
          <w:color w:val="auto"/>
          <w:spacing w:val="0"/>
          <w:kern w:val="0"/>
          <w:sz w:val="32"/>
          <w:szCs w:val="32"/>
          <w:shd w:val="clear" w:color="auto" w:fill="FFFFFF"/>
          <w:lang w:val="en-US" w:eastAsia="zh-CN" w:bidi="ar"/>
        </w:rPr>
        <w:t>第四部分：组织实施。</w:t>
      </w:r>
      <w:r>
        <w:rPr>
          <w:rFonts w:hint="eastAsia" w:ascii="仿宋_GB2312" w:hAnsi="仿宋_GB2312" w:eastAsia="仿宋_GB2312" w:cs="仿宋_GB2312"/>
          <w:b w:val="0"/>
          <w:bCs w:val="0"/>
          <w:i w:val="0"/>
          <w:iCs w:val="0"/>
          <w:caps w:val="0"/>
          <w:color w:val="auto"/>
          <w:spacing w:val="0"/>
          <w:kern w:val="0"/>
          <w:sz w:val="32"/>
          <w:szCs w:val="32"/>
          <w:shd w:val="clear" w:color="auto" w:fill="FFFFFF"/>
          <w:lang w:val="en-US" w:eastAsia="zh-CN" w:bidi="ar"/>
        </w:rPr>
        <w:t>明确由市工业强市建设和开放发展工作领导小组实施统筹领导，市工信局会同市直相关部门协同推进产业集群发展，各县（区）、管委会切实承担起集群提能升级的主体责任，构建起上下联动、部门协同、齐抓共管的工作推进机制，确保各项任务落实落地、取得实效。</w:t>
      </w:r>
    </w:p>
    <w:sectPr>
      <w:footerReference r:id="rId3" w:type="default"/>
      <w:pgSz w:w="11906" w:h="16838"/>
      <w:pgMar w:top="2098" w:right="1474" w:bottom="1984" w:left="1587" w:header="851" w:footer="1417"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803070505020304"/>
    <w:charset w:val="01"/>
    <w:family w:val="auto"/>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Noto Sans Ethiopic"/>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Sans Ethiopic"/>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EB0C26"/>
    <w:rsid w:val="16B43F12"/>
    <w:rsid w:val="25EF9122"/>
    <w:rsid w:val="36B3D331"/>
    <w:rsid w:val="375FB63E"/>
    <w:rsid w:val="3EEE5984"/>
    <w:rsid w:val="3FBF535D"/>
    <w:rsid w:val="5175E6E9"/>
    <w:rsid w:val="57EB0C26"/>
    <w:rsid w:val="5E879600"/>
    <w:rsid w:val="5FE7540A"/>
    <w:rsid w:val="67BFC030"/>
    <w:rsid w:val="6BFF6B48"/>
    <w:rsid w:val="6C6E27B7"/>
    <w:rsid w:val="6F7F1708"/>
    <w:rsid w:val="703AADFE"/>
    <w:rsid w:val="787BE2D9"/>
    <w:rsid w:val="79E2F296"/>
    <w:rsid w:val="79F6231D"/>
    <w:rsid w:val="7B6E0076"/>
    <w:rsid w:val="7BF6027B"/>
    <w:rsid w:val="7BF70256"/>
    <w:rsid w:val="7DFE60B2"/>
    <w:rsid w:val="7F7BDABB"/>
    <w:rsid w:val="7FBD1C83"/>
    <w:rsid w:val="7FD94336"/>
    <w:rsid w:val="7FEF474A"/>
    <w:rsid w:val="7FEFC304"/>
    <w:rsid w:val="A3DCB718"/>
    <w:rsid w:val="A77E4114"/>
    <w:rsid w:val="AFEFAB97"/>
    <w:rsid w:val="B3F724CE"/>
    <w:rsid w:val="B7DF8E6D"/>
    <w:rsid w:val="D7F8BF9E"/>
    <w:rsid w:val="DF0D3DBC"/>
    <w:rsid w:val="DF5319A8"/>
    <w:rsid w:val="EEEFB135"/>
    <w:rsid w:val="EFEAF38A"/>
    <w:rsid w:val="F75BF278"/>
    <w:rsid w:val="FBF69711"/>
    <w:rsid w:val="FF7B0C3A"/>
    <w:rsid w:val="FFF7AC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PlainText"/>
    <w:basedOn w:val="1"/>
    <w:qFormat/>
    <w:uiPriority w:val="0"/>
    <w:rPr>
      <w:rFonts w:ascii="宋体" w:hAnsi="Courier New"/>
      <w:szCs w:val="21"/>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Office_11.8.2.11929_F1E327BC-269C-435d-A152-05C5408002CA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2026-02-04T23:57:00Z</dcterms:created>
  <dc:creator>user</dc:creator>
  <cp:lastModifiedBy>user</cp:lastModifiedBy>
  <dcterms:modified xsi:type="dcterms:W3CDTF">2026-02-04T17:06:56Z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2052-11.8.2.11929</vt:lpwstr>
  </property>
  <property fmtid="{D5CDD505-2E9C-101B-9397-08002B2CF9AE}" pid="3" name="ICV">
    <vt:lpwstr>738AE4E1A721ABE558AA8169A2CE492F</vt:lpwstr>
  </property>
</Properties>
</file>