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rPr>
          <w:rFonts w:hint="default" w:ascii="Times New Roman" w:hAnsi="Times New Roman" w:cs="Times New Roman"/>
          <w:color w:val="auto"/>
          <w:sz w:val="30"/>
          <w:highlight w:val="none"/>
        </w:rPr>
      </w:pPr>
      <w:bookmarkStart w:id="0" w:name="_GoBack"/>
      <w:bookmarkEnd w:id="0"/>
    </w:p>
    <w:p>
      <w:pPr>
        <w:spacing w:line="360" w:lineRule="auto"/>
        <w:rPr>
          <w:rFonts w:hint="default" w:ascii="Times New Roman" w:hAnsi="Times New Roman" w:cs="Times New Roman"/>
          <w:color w:val="auto"/>
          <w:sz w:val="30"/>
          <w:highlight w:val="none"/>
        </w:rPr>
      </w:pPr>
      <w:r>
        <w:rPr>
          <w:rFonts w:hint="default" w:ascii="Times New Roman" w:hAnsi="Times New Roman" w:cs="Times New Roman"/>
          <w:color w:val="auto"/>
          <w:sz w:val="30"/>
          <w:highlight w:val="none"/>
        </w:rPr>
        <w:t xml:space="preserve">                                       </w:t>
      </w:r>
    </w:p>
    <w:p>
      <w:pPr>
        <w:spacing w:line="360" w:lineRule="auto"/>
        <w:rPr>
          <w:rFonts w:hint="default" w:ascii="Times New Roman" w:hAnsi="Times New Roman" w:cs="Times New Roman"/>
          <w:color w:val="auto"/>
          <w:sz w:val="28"/>
          <w:highlight w:val="none"/>
        </w:rPr>
      </w:pPr>
    </w:p>
    <w:p>
      <w:pPr>
        <w:spacing w:line="360" w:lineRule="auto"/>
        <w:jc w:val="center"/>
        <w:rPr>
          <w:rFonts w:hint="default" w:ascii="Times New Roman" w:hAnsi="Times New Roman" w:eastAsia="黑体" w:cs="Times New Roman"/>
          <w:b w:val="0"/>
          <w:bCs/>
          <w:color w:val="auto"/>
          <w:sz w:val="52"/>
          <w:szCs w:val="52"/>
          <w:highlight w:val="none"/>
        </w:rPr>
      </w:pPr>
      <w:r>
        <w:rPr>
          <w:rFonts w:hint="default" w:ascii="Times New Roman" w:hAnsi="Times New Roman" w:eastAsia="黑体" w:cs="Times New Roman"/>
          <w:b w:val="0"/>
          <w:bCs/>
          <w:color w:val="auto"/>
          <w:sz w:val="52"/>
          <w:szCs w:val="52"/>
          <w:highlight w:val="none"/>
        </w:rPr>
        <w:t>绿色工厂自评价报告</w:t>
      </w:r>
    </w:p>
    <w:p>
      <w:pPr>
        <w:spacing w:line="360" w:lineRule="auto"/>
        <w:rPr>
          <w:rFonts w:hint="default" w:ascii="Times New Roman" w:hAnsi="Times New Roman" w:cs="Times New Roman"/>
          <w:b/>
          <w:color w:val="auto"/>
          <w:sz w:val="32"/>
          <w:szCs w:val="32"/>
          <w:highlight w:val="none"/>
        </w:rPr>
      </w:pPr>
    </w:p>
    <w:p>
      <w:pPr>
        <w:pStyle w:val="2"/>
        <w:rPr>
          <w:rFonts w:hint="default"/>
        </w:rPr>
      </w:pPr>
    </w:p>
    <w:p>
      <w:pPr>
        <w:spacing w:line="360" w:lineRule="auto"/>
        <w:rPr>
          <w:rFonts w:hint="default" w:ascii="Times New Roman" w:hAnsi="Times New Roman" w:eastAsia="仿宋_GB2312" w:cs="Times New Roman"/>
          <w:b/>
          <w:color w:val="auto"/>
          <w:sz w:val="44"/>
          <w:szCs w:val="44"/>
          <w:highlight w:val="none"/>
        </w:rPr>
      </w:pPr>
    </w:p>
    <w:p>
      <w:pPr>
        <w:pStyle w:val="2"/>
        <w:rPr>
          <w:rFonts w:hint="default" w:ascii="Times New Roman" w:hAnsi="Times New Roman" w:eastAsia="仿宋_GB2312" w:cs="Times New Roman"/>
          <w:b/>
          <w:color w:val="auto"/>
          <w:sz w:val="44"/>
          <w:szCs w:val="44"/>
          <w:highlight w:val="none"/>
        </w:rPr>
      </w:pPr>
    </w:p>
    <w:p>
      <w:pPr>
        <w:pStyle w:val="2"/>
        <w:rPr>
          <w:rFonts w:hint="default" w:ascii="Times New Roman" w:hAnsi="Times New Roman" w:eastAsia="仿宋_GB2312" w:cs="Times New Roman"/>
          <w:b/>
          <w:color w:val="auto"/>
          <w:sz w:val="44"/>
          <w:szCs w:val="44"/>
          <w:highlight w:val="none"/>
        </w:rPr>
      </w:pPr>
    </w:p>
    <w:p>
      <w:pPr>
        <w:pStyle w:val="2"/>
        <w:rPr>
          <w:rFonts w:hint="default"/>
        </w:rPr>
      </w:pPr>
    </w:p>
    <w:p>
      <w:pPr>
        <w:spacing w:line="360" w:lineRule="auto"/>
        <w:ind w:firstLine="1417" w:firstLineChars="443"/>
        <w:rPr>
          <w:rFonts w:hint="default" w:ascii="Times New Roman" w:hAnsi="Times New Roman" w:eastAsia="仿宋_GB2312" w:cs="Times New Roman"/>
          <w:b w:val="0"/>
          <w:bCs w:val="0"/>
          <w:color w:val="auto"/>
          <w:sz w:val="32"/>
          <w:szCs w:val="32"/>
          <w:highlight w:val="none"/>
          <w:u w:val="single"/>
        </w:rPr>
      </w:pPr>
      <w:r>
        <w:rPr>
          <w:rFonts w:hint="default" w:ascii="Times New Roman" w:hAnsi="Times New Roman" w:eastAsia="仿宋_GB2312" w:cs="Times New Roman"/>
          <w:b w:val="0"/>
          <w:bCs w:val="0"/>
          <w:color w:val="auto"/>
          <w:sz w:val="32"/>
          <w:szCs w:val="32"/>
          <w:highlight w:val="none"/>
        </w:rPr>
        <w:t>申报企业名称：</w:t>
      </w:r>
      <w:r>
        <w:rPr>
          <w:rFonts w:hint="default" w:ascii="Times New Roman" w:hAnsi="Times New Roman" w:eastAsia="仿宋_GB2312" w:cs="Times New Roman"/>
          <w:b w:val="0"/>
          <w:bCs w:val="0"/>
          <w:color w:val="auto"/>
          <w:sz w:val="32"/>
          <w:szCs w:val="32"/>
          <w:highlight w:val="none"/>
          <w:u w:val="single"/>
        </w:rPr>
        <w:t xml:space="preserve">                      </w:t>
      </w:r>
    </w:p>
    <w:p>
      <w:pPr>
        <w:spacing w:line="360" w:lineRule="auto"/>
        <w:ind w:firstLine="1417" w:firstLineChars="443"/>
        <w:rPr>
          <w:rFonts w:hint="default" w:ascii="Times New Roman" w:hAnsi="Times New Roman" w:eastAsia="仿宋_GB2312" w:cs="Times New Roman"/>
          <w:b w:val="0"/>
          <w:bCs w:val="0"/>
          <w:color w:val="auto"/>
          <w:sz w:val="32"/>
          <w:szCs w:val="32"/>
          <w:highlight w:val="none"/>
          <w:u w:val="single"/>
        </w:rPr>
      </w:pPr>
    </w:p>
    <w:p>
      <w:pPr>
        <w:spacing w:line="360" w:lineRule="auto"/>
        <w:ind w:firstLine="1417" w:firstLineChars="443"/>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所在县（区）：</w:t>
      </w:r>
      <w:r>
        <w:rPr>
          <w:rFonts w:hint="default" w:ascii="Times New Roman" w:hAnsi="Times New Roman" w:eastAsia="仿宋_GB2312" w:cs="Times New Roman"/>
          <w:b w:val="0"/>
          <w:bCs w:val="0"/>
          <w:color w:val="auto"/>
          <w:sz w:val="32"/>
          <w:szCs w:val="32"/>
          <w:highlight w:val="none"/>
          <w:u w:val="single"/>
        </w:rPr>
        <w:t xml:space="preserve">                       </w:t>
      </w:r>
    </w:p>
    <w:p>
      <w:pPr>
        <w:spacing w:line="360" w:lineRule="auto"/>
        <w:ind w:firstLine="1920" w:firstLineChars="600"/>
        <w:rPr>
          <w:rFonts w:hint="default" w:ascii="Times New Roman" w:hAnsi="Times New Roman" w:eastAsia="仿宋_GB2312" w:cs="Times New Roman"/>
          <w:b w:val="0"/>
          <w:bCs w:val="0"/>
          <w:color w:val="auto"/>
          <w:sz w:val="32"/>
          <w:szCs w:val="32"/>
          <w:highlight w:val="none"/>
        </w:rPr>
      </w:pPr>
    </w:p>
    <w:p>
      <w:pPr>
        <w:spacing w:line="360" w:lineRule="auto"/>
        <w:rPr>
          <w:rFonts w:hint="default" w:ascii="Times New Roman" w:hAnsi="Times New Roman" w:eastAsia="仿宋_GB2312" w:cs="Times New Roman"/>
          <w:b w:val="0"/>
          <w:bCs w:val="0"/>
          <w:color w:val="auto"/>
          <w:sz w:val="32"/>
          <w:szCs w:val="32"/>
          <w:highlight w:val="none"/>
        </w:rPr>
      </w:pPr>
    </w:p>
    <w:p>
      <w:pPr>
        <w:pStyle w:val="6"/>
        <w:rPr>
          <w:rFonts w:hint="default" w:ascii="Times New Roman" w:hAnsi="Times New Roman" w:eastAsia="仿宋_GB2312" w:cs="Times New Roman"/>
          <w:b w:val="0"/>
          <w:bCs w:val="0"/>
          <w:color w:val="auto"/>
          <w:sz w:val="32"/>
          <w:szCs w:val="32"/>
          <w:highlight w:val="none"/>
        </w:rPr>
      </w:pPr>
    </w:p>
    <w:p>
      <w:pPr>
        <w:pStyle w:val="6"/>
        <w:rPr>
          <w:rFonts w:hint="default" w:ascii="Times New Roman" w:hAnsi="Times New Roman" w:eastAsia="仿宋_GB2312" w:cs="Times New Roman"/>
          <w:b w:val="0"/>
          <w:bCs w:val="0"/>
          <w:color w:val="auto"/>
          <w:sz w:val="32"/>
          <w:szCs w:val="32"/>
          <w:highlight w:val="none"/>
        </w:rPr>
      </w:pPr>
    </w:p>
    <w:p>
      <w:pPr>
        <w:spacing w:line="360" w:lineRule="auto"/>
        <w:jc w:val="center"/>
        <w:rPr>
          <w:rFonts w:hint="eastAsia"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eastAsia="仿宋_GB2312" w:cs="Times New Roman"/>
          <w:b w:val="0"/>
          <w:bCs w:val="0"/>
          <w:color w:val="auto"/>
          <w:sz w:val="32"/>
          <w:szCs w:val="32"/>
          <w:highlight w:val="none"/>
          <w:lang w:val="en-US" w:eastAsia="zh-CN"/>
        </w:rPr>
        <w:t>秦皇岛市</w:t>
      </w:r>
      <w:r>
        <w:rPr>
          <w:rFonts w:hint="default" w:ascii="Times New Roman" w:hAnsi="Times New Roman" w:eastAsia="仿宋_GB2312" w:cs="Times New Roman"/>
          <w:b w:val="0"/>
          <w:bCs w:val="0"/>
          <w:color w:val="auto"/>
          <w:sz w:val="32"/>
          <w:szCs w:val="32"/>
          <w:highlight w:val="none"/>
        </w:rPr>
        <w:t>工业和信息化局</w:t>
      </w:r>
      <w:r>
        <w:rPr>
          <w:rFonts w:hint="eastAsia" w:ascii="Times New Roman" w:hAnsi="Times New Roman" w:eastAsia="仿宋_GB2312" w:cs="Times New Roman"/>
          <w:b w:val="0"/>
          <w:bCs w:val="0"/>
          <w:color w:val="auto"/>
          <w:sz w:val="32"/>
          <w:szCs w:val="32"/>
          <w:highlight w:val="none"/>
          <w:lang w:val="en-US" w:eastAsia="zh-CN"/>
        </w:rPr>
        <w:t>制</w:t>
      </w:r>
    </w:p>
    <w:p>
      <w:pPr>
        <w:spacing w:line="360" w:lineRule="auto"/>
        <w:jc w:val="center"/>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 xml:space="preserve">  </w:t>
      </w:r>
      <w:r>
        <w:rPr>
          <w:rFonts w:hint="eastAsia" w:ascii="Times New Roman" w:hAnsi="Times New Roman" w:eastAsia="仿宋_GB2312" w:cs="Times New Roman"/>
          <w:b w:val="0"/>
          <w:bCs w:val="0"/>
          <w:color w:val="auto"/>
          <w:sz w:val="32"/>
          <w:szCs w:val="32"/>
          <w:highlight w:val="none"/>
          <w:lang w:val="en-US" w:eastAsia="zh-CN"/>
        </w:rPr>
        <w:t xml:space="preserve">20  </w:t>
      </w:r>
      <w:r>
        <w:rPr>
          <w:rFonts w:hint="default" w:ascii="Times New Roman" w:hAnsi="Times New Roman" w:eastAsia="仿宋_GB2312" w:cs="Times New Roman"/>
          <w:b w:val="0"/>
          <w:bCs w:val="0"/>
          <w:color w:val="auto"/>
          <w:sz w:val="32"/>
          <w:szCs w:val="32"/>
          <w:highlight w:val="none"/>
        </w:rPr>
        <w:t>年    月    日</w:t>
      </w:r>
    </w:p>
    <w:p>
      <w:pPr>
        <w:spacing w:line="360" w:lineRule="auto"/>
        <w:rPr>
          <w:rFonts w:hint="default" w:ascii="Times New Roman" w:hAnsi="Times New Roman" w:eastAsia="仿宋_GB2312" w:cs="Times New Roman"/>
          <w:b w:val="0"/>
          <w:bCs w:val="0"/>
          <w:color w:val="auto"/>
          <w:sz w:val="32"/>
          <w:szCs w:val="32"/>
          <w:highlight w:val="none"/>
        </w:rPr>
        <w:sectPr>
          <w:footerReference r:id="rId4" w:type="default"/>
          <w:pgSz w:w="11906" w:h="16838"/>
          <w:pgMar w:top="1440" w:right="1800" w:bottom="1440" w:left="1800" w:header="851" w:footer="992" w:gutter="0"/>
          <w:pgBorders>
            <w:top w:val="none" w:color="auto" w:sz="0" w:space="0"/>
            <w:left w:val="none" w:color="auto" w:sz="0" w:space="0"/>
            <w:bottom w:val="none" w:color="auto" w:sz="0" w:space="0"/>
            <w:right w:val="none" w:color="auto" w:sz="0" w:space="0"/>
          </w:pgBorders>
          <w:cols w:space="720" w:num="1"/>
          <w:titlePg/>
          <w:docGrid w:type="lines" w:linePitch="312" w:charSpace="0"/>
        </w:sectPr>
      </w:pPr>
    </w:p>
    <w:p>
      <w:pPr>
        <w:spacing w:line="360" w:lineRule="auto"/>
        <w:jc w:val="center"/>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填 写 说 明</w:t>
      </w:r>
    </w:p>
    <w:p>
      <w:pPr>
        <w:spacing w:line="360" w:lineRule="auto"/>
        <w:rPr>
          <w:rFonts w:hint="default" w:ascii="Times New Roman" w:hAnsi="Times New Roman" w:eastAsia="仿宋_GB2312" w:cs="Times New Roman"/>
          <w:b/>
          <w:color w:val="auto"/>
          <w:sz w:val="36"/>
          <w:szCs w:val="36"/>
          <w:highlight w:val="none"/>
        </w:rPr>
      </w:pPr>
    </w:p>
    <w:p>
      <w:pPr>
        <w:tabs>
          <w:tab w:val="left" w:pos="1152"/>
        </w:tabs>
        <w:spacing w:line="580" w:lineRule="exact"/>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一、申请企业应当准确、如实填报。</w:t>
      </w:r>
    </w:p>
    <w:p>
      <w:pPr>
        <w:tabs>
          <w:tab w:val="left" w:pos="1152"/>
        </w:tabs>
        <w:spacing w:line="580" w:lineRule="exact"/>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二、所属行业请依据GB/T 4754-2017《国民经济行业分类》填写；单位性质依据营业执照中的类型填写。</w:t>
      </w:r>
    </w:p>
    <w:p>
      <w:pPr>
        <w:tabs>
          <w:tab w:val="left" w:pos="1152"/>
        </w:tabs>
        <w:spacing w:line="580" w:lineRule="exact"/>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三、有关项目页面不够时，可加附页。</w:t>
      </w:r>
    </w:p>
    <w:p>
      <w:pPr>
        <w:pStyle w:val="6"/>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四、自评价报告应按照规定格式填写，并使用A4纸打印装订（双面打印），封面加盖单位印章，</w:t>
      </w:r>
      <w:r>
        <w:rPr>
          <w:rFonts w:hint="eastAsia" w:ascii="Times New Roman" w:hAnsi="Times New Roman" w:eastAsia="仿宋_GB2312" w:cs="Times New Roman"/>
          <w:color w:val="auto"/>
          <w:kern w:val="0"/>
          <w:sz w:val="32"/>
          <w:szCs w:val="32"/>
          <w:highlight w:val="none"/>
          <w:lang w:val="en-US" w:eastAsia="zh-CN"/>
        </w:rPr>
        <w:t>书脊标注申报单位名称，</w:t>
      </w:r>
      <w:r>
        <w:rPr>
          <w:rFonts w:hint="default" w:ascii="Times New Roman" w:hAnsi="Times New Roman" w:eastAsia="仿宋_GB2312" w:cs="Times New Roman"/>
          <w:color w:val="auto"/>
          <w:kern w:val="0"/>
          <w:sz w:val="32"/>
          <w:szCs w:val="32"/>
          <w:highlight w:val="none"/>
        </w:rPr>
        <w:t>正文选用合适的字体字号，内容要逻辑清晰、层次分明，不同部分之间可采用隔页纸分开。证明材料</w:t>
      </w:r>
      <w:r>
        <w:rPr>
          <w:rFonts w:hint="eastAsia" w:ascii="Times New Roman" w:hAnsi="Times New Roman" w:eastAsia="仿宋_GB2312" w:cs="Times New Roman"/>
          <w:color w:val="auto"/>
          <w:kern w:val="0"/>
          <w:sz w:val="32"/>
          <w:szCs w:val="32"/>
          <w:highlight w:val="none"/>
          <w:lang w:val="en-US" w:eastAsia="zh-CN"/>
        </w:rPr>
        <w:t>复印件</w:t>
      </w:r>
      <w:r>
        <w:rPr>
          <w:rFonts w:hint="default" w:ascii="Times New Roman" w:hAnsi="Times New Roman" w:eastAsia="仿宋_GB2312" w:cs="Times New Roman"/>
          <w:color w:val="auto"/>
          <w:kern w:val="0"/>
          <w:sz w:val="32"/>
          <w:szCs w:val="32"/>
          <w:highlight w:val="none"/>
        </w:rPr>
        <w:t>清晰。</w:t>
      </w:r>
    </w:p>
    <w:p>
      <w:pPr>
        <w:spacing w:line="360" w:lineRule="auto"/>
        <w:jc w:val="center"/>
        <w:rPr>
          <w:rFonts w:hint="default" w:ascii="Times New Roman" w:hAnsi="Times New Roman" w:eastAsia="仿宋_GB2312" w:cs="Times New Roman"/>
          <w:color w:val="auto"/>
          <w:sz w:val="32"/>
          <w:szCs w:val="32"/>
          <w:highlight w:val="none"/>
        </w:rPr>
      </w:pPr>
    </w:p>
    <w:p>
      <w:pPr>
        <w:spacing w:line="360" w:lineRule="auto"/>
        <w:jc w:val="center"/>
        <w:rPr>
          <w:rFonts w:hint="default" w:ascii="Times New Roman" w:hAnsi="Times New Roman" w:eastAsia="仿宋" w:cs="Times New Roman"/>
          <w:color w:val="auto"/>
          <w:sz w:val="32"/>
          <w:szCs w:val="32"/>
          <w:highlight w:val="none"/>
        </w:rPr>
      </w:pPr>
    </w:p>
    <w:p>
      <w:pPr>
        <w:spacing w:line="360" w:lineRule="auto"/>
        <w:jc w:val="center"/>
        <w:rPr>
          <w:rFonts w:hint="default" w:ascii="Times New Roman" w:hAnsi="Times New Roman" w:eastAsia="仿宋" w:cs="Times New Roman"/>
          <w:color w:val="auto"/>
          <w:sz w:val="32"/>
          <w:szCs w:val="32"/>
          <w:highlight w:val="none"/>
        </w:rPr>
      </w:pPr>
    </w:p>
    <w:p>
      <w:pPr>
        <w:spacing w:line="360" w:lineRule="auto"/>
        <w:jc w:val="center"/>
        <w:rPr>
          <w:rFonts w:hint="default" w:ascii="Times New Roman" w:hAnsi="Times New Roman" w:eastAsia="仿宋" w:cs="Times New Roman"/>
          <w:color w:val="auto"/>
          <w:sz w:val="32"/>
          <w:szCs w:val="32"/>
          <w:highlight w:val="none"/>
        </w:rPr>
      </w:pPr>
    </w:p>
    <w:p>
      <w:pPr>
        <w:spacing w:line="360" w:lineRule="auto"/>
        <w:jc w:val="center"/>
        <w:rPr>
          <w:rFonts w:hint="default" w:ascii="Times New Roman" w:hAnsi="Times New Roman" w:eastAsia="仿宋" w:cs="Times New Roman"/>
          <w:color w:val="auto"/>
          <w:sz w:val="32"/>
          <w:szCs w:val="32"/>
          <w:highlight w:val="none"/>
        </w:rPr>
      </w:pPr>
    </w:p>
    <w:p>
      <w:pPr>
        <w:spacing w:line="360" w:lineRule="auto"/>
        <w:jc w:val="center"/>
        <w:rPr>
          <w:rFonts w:hint="default" w:ascii="Times New Roman" w:hAnsi="Times New Roman" w:eastAsia="仿宋" w:cs="Times New Roman"/>
          <w:color w:val="auto"/>
          <w:sz w:val="32"/>
          <w:szCs w:val="32"/>
          <w:highlight w:val="none"/>
        </w:rPr>
      </w:pPr>
    </w:p>
    <w:p>
      <w:pPr>
        <w:spacing w:line="360" w:lineRule="auto"/>
        <w:jc w:val="center"/>
        <w:rPr>
          <w:rFonts w:hint="default" w:ascii="Times New Roman" w:hAnsi="Times New Roman" w:eastAsia="仿宋" w:cs="Times New Roman"/>
          <w:color w:val="auto"/>
          <w:sz w:val="32"/>
          <w:szCs w:val="32"/>
          <w:highlight w:val="none"/>
        </w:rPr>
      </w:pPr>
    </w:p>
    <w:p>
      <w:pPr>
        <w:spacing w:line="360" w:lineRule="auto"/>
        <w:jc w:val="center"/>
        <w:rPr>
          <w:rFonts w:hint="default" w:ascii="Times New Roman" w:hAnsi="Times New Roman" w:eastAsia="仿宋" w:cs="Times New Roman"/>
          <w:color w:val="auto"/>
          <w:sz w:val="32"/>
          <w:szCs w:val="32"/>
          <w:highlight w:val="none"/>
        </w:rPr>
      </w:pPr>
    </w:p>
    <w:p>
      <w:pPr>
        <w:spacing w:line="360" w:lineRule="auto"/>
        <w:jc w:val="center"/>
        <w:rPr>
          <w:rFonts w:hint="default" w:ascii="Times New Roman" w:hAnsi="Times New Roman" w:eastAsia="仿宋" w:cs="Times New Roman"/>
          <w:color w:val="auto"/>
          <w:sz w:val="32"/>
          <w:szCs w:val="32"/>
          <w:highlight w:val="none"/>
        </w:rPr>
      </w:pPr>
    </w:p>
    <w:p>
      <w:pPr>
        <w:spacing w:line="360" w:lineRule="auto"/>
        <w:jc w:val="center"/>
        <w:rPr>
          <w:rFonts w:hint="default" w:ascii="Times New Roman" w:hAnsi="Times New Roman" w:eastAsia="仿宋" w:cs="Times New Roman"/>
          <w:color w:val="auto"/>
          <w:sz w:val="32"/>
          <w:szCs w:val="32"/>
          <w:highlight w:val="none"/>
        </w:rPr>
      </w:pPr>
    </w:p>
    <w:p>
      <w:pPr>
        <w:spacing w:line="360" w:lineRule="auto"/>
        <w:jc w:val="center"/>
        <w:rPr>
          <w:rFonts w:hint="default" w:ascii="Times New Roman" w:hAnsi="Times New Roman" w:eastAsia="仿宋" w:cs="Times New Roman"/>
          <w:color w:val="auto"/>
          <w:sz w:val="32"/>
          <w:szCs w:val="32"/>
          <w:highlight w:val="none"/>
        </w:rPr>
      </w:pPr>
    </w:p>
    <w:p>
      <w:pPr>
        <w:spacing w:line="360" w:lineRule="auto"/>
        <w:jc w:val="center"/>
        <w:rPr>
          <w:rFonts w:hint="default" w:ascii="Times New Roman" w:hAnsi="Times New Roman" w:eastAsia="仿宋" w:cs="Times New Roman"/>
          <w:color w:val="auto"/>
          <w:sz w:val="32"/>
          <w:szCs w:val="32"/>
          <w:highlight w:val="none"/>
        </w:rPr>
      </w:pPr>
    </w:p>
    <w:p>
      <w:pPr>
        <w:widowControl w:val="0"/>
        <w:wordWrap/>
        <w:adjustRightInd/>
        <w:snapToGrid/>
        <w:spacing w:after="200"/>
        <w:jc w:val="center"/>
        <w:textAlignment w:val="auto"/>
        <w:rPr>
          <w:rFonts w:hint="default" w:ascii="Times New Roman" w:hAnsi="Times New Roman" w:eastAsia="黑体" w:cs="Times New Roman"/>
          <w:color w:val="auto"/>
          <w:sz w:val="30"/>
          <w:szCs w:val="30"/>
          <w:highlight w:val="none"/>
        </w:rPr>
      </w:pPr>
      <w:r>
        <w:rPr>
          <w:rFonts w:hint="default" w:ascii="Times New Roman" w:hAnsi="Times New Roman" w:eastAsia="黑体" w:cs="Times New Roman"/>
          <w:color w:val="auto"/>
          <w:sz w:val="30"/>
          <w:szCs w:val="30"/>
          <w:highlight w:val="none"/>
        </w:rPr>
        <w:t>基本信息表</w:t>
      </w:r>
    </w:p>
    <w:tbl>
      <w:tblPr>
        <w:tblStyle w:val="14"/>
        <w:tblW w:w="853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90"/>
        <w:gridCol w:w="3075"/>
        <w:gridCol w:w="1395"/>
        <w:gridCol w:w="237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567" w:hRule="atLeast"/>
          <w:jc w:val="center"/>
        </w:trPr>
        <w:tc>
          <w:tcPr>
            <w:tcW w:w="169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lang w:val="en-US" w:eastAsia="zh-CN"/>
              </w:rPr>
              <w:t>工厂名称</w:t>
            </w:r>
          </w:p>
        </w:tc>
        <w:tc>
          <w:tcPr>
            <w:tcW w:w="6842" w:type="dxa"/>
            <w:gridSpan w:val="3"/>
            <w:tcBorders>
              <w:top w:val="single" w:color="000000" w:sz="4" w:space="0"/>
              <w:left w:val="single" w:color="000000" w:sz="4" w:space="0"/>
              <w:bottom w:val="single" w:color="000000" w:sz="4" w:space="0"/>
              <w:right w:val="single" w:color="000000" w:sz="4" w:space="0"/>
            </w:tcBorders>
            <w:vAlign w:val="center"/>
          </w:tcPr>
          <w:p>
            <w:pPr>
              <w:widowControl/>
              <w:rPr>
                <w:rFonts w:hint="default" w:ascii="Times New Roman" w:hAnsi="Times New Roman" w:eastAsia="仿宋_GB2312" w:cs="Times New Roman"/>
                <w:color w:val="auto"/>
                <w:kern w:val="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567" w:hRule="atLeast"/>
          <w:jc w:val="center"/>
        </w:trPr>
        <w:tc>
          <w:tcPr>
            <w:tcW w:w="169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lang w:val="en-US" w:eastAsia="zh-CN"/>
              </w:rPr>
              <w:t>工厂</w:t>
            </w:r>
            <w:r>
              <w:rPr>
                <w:rFonts w:hint="default" w:ascii="Times New Roman" w:hAnsi="Times New Roman" w:eastAsia="仿宋_GB2312" w:cs="Times New Roman"/>
                <w:color w:val="auto"/>
                <w:kern w:val="0"/>
                <w:sz w:val="24"/>
                <w:highlight w:val="none"/>
              </w:rPr>
              <w:t>地址</w:t>
            </w:r>
          </w:p>
        </w:tc>
        <w:tc>
          <w:tcPr>
            <w:tcW w:w="6842" w:type="dxa"/>
            <w:gridSpan w:val="3"/>
            <w:tcBorders>
              <w:top w:val="single" w:color="000000" w:sz="4" w:space="0"/>
              <w:left w:val="single" w:color="000000" w:sz="4" w:space="0"/>
              <w:bottom w:val="single" w:color="000000" w:sz="4" w:space="0"/>
              <w:right w:val="single" w:color="000000" w:sz="4" w:space="0"/>
            </w:tcBorders>
            <w:vAlign w:val="center"/>
          </w:tcPr>
          <w:p>
            <w:pPr>
              <w:widowControl/>
              <w:rPr>
                <w:rFonts w:hint="default" w:ascii="Times New Roman" w:hAnsi="Times New Roman" w:eastAsia="仿宋_GB2312" w:cs="Times New Roman"/>
                <w:color w:val="auto"/>
                <w:kern w:val="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567" w:hRule="atLeast"/>
          <w:jc w:val="center"/>
        </w:trPr>
        <w:tc>
          <w:tcPr>
            <w:tcW w:w="169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所属行业</w:t>
            </w:r>
          </w:p>
        </w:tc>
        <w:tc>
          <w:tcPr>
            <w:tcW w:w="3075" w:type="dxa"/>
            <w:tcBorders>
              <w:top w:val="single" w:color="000000" w:sz="4" w:space="0"/>
              <w:left w:val="single" w:color="000000" w:sz="4" w:space="0"/>
              <w:bottom w:val="single" w:color="000000" w:sz="4" w:space="0"/>
              <w:right w:val="single" w:color="000000" w:sz="4" w:space="0"/>
            </w:tcBorders>
            <w:vAlign w:val="center"/>
          </w:tcPr>
          <w:p>
            <w:pPr>
              <w:widowControl/>
              <w:rPr>
                <w:rFonts w:hint="default" w:ascii="Times New Roman" w:hAnsi="Times New Roman" w:eastAsia="仿宋_GB2312" w:cs="Times New Roman"/>
                <w:color w:val="auto"/>
                <w:kern w:val="0"/>
                <w:sz w:val="24"/>
                <w:highlight w:val="none"/>
              </w:rPr>
            </w:pPr>
          </w:p>
        </w:tc>
        <w:tc>
          <w:tcPr>
            <w:tcW w:w="1395" w:type="dxa"/>
            <w:tcBorders>
              <w:top w:val="single" w:color="000000" w:sz="4" w:space="0"/>
              <w:left w:val="single" w:color="000000" w:sz="4" w:space="0"/>
              <w:bottom w:val="single" w:color="000000" w:sz="4" w:space="0"/>
              <w:right w:val="single" w:color="000000" w:sz="4" w:space="0"/>
            </w:tcBorders>
            <w:vAlign w:val="center"/>
          </w:tcPr>
          <w:p>
            <w:pPr>
              <w:widowControl/>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主要产品</w:t>
            </w:r>
          </w:p>
        </w:tc>
        <w:tc>
          <w:tcPr>
            <w:tcW w:w="2372" w:type="dxa"/>
            <w:tcBorders>
              <w:top w:val="single" w:color="000000" w:sz="4" w:space="0"/>
              <w:left w:val="single" w:color="000000" w:sz="4" w:space="0"/>
              <w:bottom w:val="single" w:color="000000" w:sz="4" w:space="0"/>
              <w:right w:val="single" w:color="000000" w:sz="4" w:space="0"/>
            </w:tcBorders>
            <w:vAlign w:val="center"/>
          </w:tcPr>
          <w:p>
            <w:pPr>
              <w:widowControl/>
              <w:rPr>
                <w:rFonts w:hint="default" w:ascii="Times New Roman" w:hAnsi="Times New Roman" w:eastAsia="仿宋_GB2312" w:cs="Times New Roman"/>
                <w:color w:val="auto"/>
                <w:kern w:val="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567" w:hRule="atLeast"/>
          <w:jc w:val="center"/>
        </w:trPr>
        <w:tc>
          <w:tcPr>
            <w:tcW w:w="169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单位性质</w:t>
            </w:r>
          </w:p>
        </w:tc>
        <w:tc>
          <w:tcPr>
            <w:tcW w:w="6842" w:type="dxa"/>
            <w:gridSpan w:val="3"/>
            <w:tcBorders>
              <w:top w:val="single" w:color="000000" w:sz="4" w:space="0"/>
              <w:left w:val="single" w:color="000000" w:sz="4" w:space="0"/>
              <w:bottom w:val="single" w:color="000000" w:sz="4" w:space="0"/>
              <w:right w:val="single" w:color="000000" w:sz="4" w:space="0"/>
            </w:tcBorders>
            <w:vAlign w:val="center"/>
          </w:tcPr>
          <w:p>
            <w:pPr>
              <w:widowControl/>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内资（□国有□集体□民营）□中外合资□港澳台□外商独资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567" w:hRule="atLeast"/>
          <w:jc w:val="center"/>
        </w:trPr>
        <w:tc>
          <w:tcPr>
            <w:tcW w:w="169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统一社会</w:t>
            </w:r>
          </w:p>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信用代码</w:t>
            </w:r>
          </w:p>
        </w:tc>
        <w:tc>
          <w:tcPr>
            <w:tcW w:w="307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hint="default" w:ascii="Times New Roman" w:hAnsi="Times New Roman" w:eastAsia="仿宋_GB2312" w:cs="Times New Roman"/>
                <w:color w:val="auto"/>
                <w:kern w:val="0"/>
                <w:sz w:val="24"/>
                <w:highlight w:val="none"/>
              </w:rPr>
            </w:pPr>
          </w:p>
        </w:tc>
        <w:tc>
          <w:tcPr>
            <w:tcW w:w="139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注册机关</w:t>
            </w:r>
          </w:p>
        </w:tc>
        <w:tc>
          <w:tcPr>
            <w:tcW w:w="2372"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hint="default" w:ascii="Times New Roman" w:hAnsi="Times New Roman" w:eastAsia="仿宋_GB2312" w:cs="Times New Roman"/>
                <w:color w:val="auto"/>
                <w:kern w:val="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567" w:hRule="atLeast"/>
          <w:jc w:val="center"/>
        </w:trPr>
        <w:tc>
          <w:tcPr>
            <w:tcW w:w="169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成立日期</w:t>
            </w:r>
          </w:p>
        </w:tc>
        <w:tc>
          <w:tcPr>
            <w:tcW w:w="3075" w:type="dxa"/>
            <w:tcBorders>
              <w:top w:val="single" w:color="000000" w:sz="4" w:space="0"/>
              <w:left w:val="single" w:color="000000" w:sz="4" w:space="0"/>
              <w:bottom w:val="single" w:color="000000" w:sz="4" w:space="0"/>
              <w:right w:val="single" w:color="000000" w:sz="4" w:space="0"/>
            </w:tcBorders>
            <w:vAlign w:val="center"/>
          </w:tcPr>
          <w:p>
            <w:pPr>
              <w:jc w:val="left"/>
              <w:rPr>
                <w:rFonts w:hint="default" w:ascii="Times New Roman" w:hAnsi="Times New Roman" w:eastAsia="仿宋_GB2312" w:cs="Times New Roman"/>
                <w:color w:val="auto"/>
                <w:highlight w:val="none"/>
              </w:rPr>
            </w:pPr>
          </w:p>
        </w:tc>
        <w:tc>
          <w:tcPr>
            <w:tcW w:w="139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注册资本</w:t>
            </w:r>
          </w:p>
        </w:tc>
        <w:tc>
          <w:tcPr>
            <w:tcW w:w="2372" w:type="dxa"/>
            <w:tcBorders>
              <w:top w:val="single" w:color="000000" w:sz="4" w:space="0"/>
              <w:left w:val="single" w:color="000000" w:sz="4" w:space="0"/>
              <w:bottom w:val="single" w:color="000000" w:sz="4" w:space="0"/>
              <w:right w:val="single" w:color="000000" w:sz="4" w:space="0"/>
            </w:tcBorders>
            <w:vAlign w:val="center"/>
          </w:tcPr>
          <w:p>
            <w:pPr>
              <w:widowControl/>
              <w:rPr>
                <w:rFonts w:hint="default" w:ascii="Times New Roman" w:hAnsi="Times New Roman" w:eastAsia="仿宋_GB2312" w:cs="Times New Roman"/>
                <w:color w:val="auto"/>
                <w:kern w:val="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567" w:hRule="atLeast"/>
          <w:jc w:val="center"/>
        </w:trPr>
        <w:tc>
          <w:tcPr>
            <w:tcW w:w="169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法定代表人</w:t>
            </w:r>
          </w:p>
        </w:tc>
        <w:tc>
          <w:tcPr>
            <w:tcW w:w="3075" w:type="dxa"/>
            <w:tcBorders>
              <w:top w:val="single" w:color="000000" w:sz="4" w:space="0"/>
              <w:left w:val="single" w:color="000000" w:sz="4" w:space="0"/>
              <w:bottom w:val="single" w:color="000000" w:sz="4" w:space="0"/>
              <w:right w:val="single" w:color="000000" w:sz="4" w:space="0"/>
            </w:tcBorders>
            <w:vAlign w:val="center"/>
          </w:tcPr>
          <w:p>
            <w:pPr>
              <w:widowControl/>
              <w:rPr>
                <w:rFonts w:hint="default" w:ascii="Times New Roman" w:hAnsi="Times New Roman" w:eastAsia="仿宋_GB2312" w:cs="Times New Roman"/>
                <w:color w:val="auto"/>
                <w:kern w:val="0"/>
                <w:sz w:val="24"/>
                <w:highlight w:val="none"/>
              </w:rPr>
            </w:pPr>
          </w:p>
        </w:tc>
        <w:tc>
          <w:tcPr>
            <w:tcW w:w="139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法人代表联系电话</w:t>
            </w:r>
          </w:p>
        </w:tc>
        <w:tc>
          <w:tcPr>
            <w:tcW w:w="2372" w:type="dxa"/>
            <w:tcBorders>
              <w:top w:val="single" w:color="000000" w:sz="4" w:space="0"/>
              <w:left w:val="single" w:color="000000" w:sz="4" w:space="0"/>
              <w:bottom w:val="single" w:color="000000" w:sz="4" w:space="0"/>
              <w:right w:val="single" w:color="000000" w:sz="4" w:space="0"/>
            </w:tcBorders>
            <w:vAlign w:val="center"/>
          </w:tcPr>
          <w:p>
            <w:pPr>
              <w:widowControl/>
              <w:rPr>
                <w:rFonts w:hint="default" w:ascii="Times New Roman" w:hAnsi="Times New Roman" w:eastAsia="仿宋_GB2312" w:cs="Times New Roman"/>
                <w:color w:val="auto"/>
                <w:kern w:val="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567" w:hRule="atLeast"/>
          <w:jc w:val="center"/>
        </w:trPr>
        <w:tc>
          <w:tcPr>
            <w:tcW w:w="169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申报工作</w:t>
            </w:r>
          </w:p>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联系部门</w:t>
            </w:r>
          </w:p>
        </w:tc>
        <w:tc>
          <w:tcPr>
            <w:tcW w:w="3075"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hint="default" w:ascii="Times New Roman" w:hAnsi="Times New Roman" w:eastAsia="仿宋_GB2312" w:cs="Times New Roman"/>
                <w:color w:val="auto"/>
                <w:kern w:val="0"/>
                <w:sz w:val="24"/>
                <w:highlight w:val="none"/>
              </w:rPr>
            </w:pPr>
          </w:p>
        </w:tc>
        <w:tc>
          <w:tcPr>
            <w:tcW w:w="139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联系人</w:t>
            </w:r>
          </w:p>
        </w:tc>
        <w:tc>
          <w:tcPr>
            <w:tcW w:w="2372" w:type="dxa"/>
            <w:tcBorders>
              <w:top w:val="single" w:color="000000" w:sz="4" w:space="0"/>
              <w:left w:val="single" w:color="000000" w:sz="4" w:space="0"/>
              <w:bottom w:val="single" w:color="000000" w:sz="4" w:space="0"/>
              <w:right w:val="single" w:color="000000" w:sz="4" w:space="0"/>
            </w:tcBorders>
            <w:vAlign w:val="center"/>
          </w:tcPr>
          <w:p>
            <w:pPr>
              <w:widowControl/>
              <w:rPr>
                <w:rFonts w:hint="default" w:ascii="Times New Roman" w:hAnsi="Times New Roman" w:eastAsia="仿宋_GB2312" w:cs="Times New Roman"/>
                <w:color w:val="auto"/>
                <w:kern w:val="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567" w:hRule="atLeast"/>
          <w:jc w:val="center"/>
        </w:trPr>
        <w:tc>
          <w:tcPr>
            <w:tcW w:w="169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联系电话</w:t>
            </w:r>
          </w:p>
        </w:tc>
        <w:tc>
          <w:tcPr>
            <w:tcW w:w="3075"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hint="default" w:ascii="Times New Roman" w:hAnsi="Times New Roman" w:eastAsia="仿宋_GB2312" w:cs="Times New Roman"/>
                <w:color w:val="auto"/>
                <w:kern w:val="0"/>
                <w:sz w:val="24"/>
                <w:highlight w:val="none"/>
              </w:rPr>
            </w:pPr>
          </w:p>
        </w:tc>
        <w:tc>
          <w:tcPr>
            <w:tcW w:w="139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手机</w:t>
            </w:r>
          </w:p>
        </w:tc>
        <w:tc>
          <w:tcPr>
            <w:tcW w:w="2372" w:type="dxa"/>
            <w:tcBorders>
              <w:top w:val="single" w:color="000000" w:sz="4" w:space="0"/>
              <w:left w:val="single" w:color="000000" w:sz="4" w:space="0"/>
              <w:bottom w:val="single" w:color="000000" w:sz="4" w:space="0"/>
              <w:right w:val="single" w:color="000000" w:sz="4" w:space="0"/>
            </w:tcBorders>
            <w:vAlign w:val="center"/>
          </w:tcPr>
          <w:p>
            <w:pPr>
              <w:widowControl/>
              <w:rPr>
                <w:rFonts w:hint="default" w:ascii="Times New Roman" w:hAnsi="Times New Roman" w:eastAsia="仿宋_GB2312" w:cs="Times New Roman"/>
                <w:color w:val="auto"/>
                <w:kern w:val="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3619" w:hRule="atLeast"/>
          <w:jc w:val="center"/>
        </w:trPr>
        <w:tc>
          <w:tcPr>
            <w:tcW w:w="169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单位简介</w:t>
            </w:r>
          </w:p>
        </w:tc>
        <w:tc>
          <w:tcPr>
            <w:tcW w:w="6842" w:type="dxa"/>
            <w:gridSpan w:val="3"/>
            <w:tcBorders>
              <w:top w:val="single" w:color="000000" w:sz="4" w:space="0"/>
              <w:left w:val="single" w:color="000000" w:sz="4" w:space="0"/>
              <w:bottom w:val="single" w:color="000000" w:sz="4" w:space="0"/>
              <w:right w:val="single" w:color="000000" w:sz="4" w:space="0"/>
            </w:tcBorders>
            <w:vAlign w:val="center"/>
          </w:tcPr>
          <w:p>
            <w:pPr>
              <w:widowControl/>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（至少应包含：企业的主营业务介绍、生产情况、所获荣誉情况等）</w:t>
            </w:r>
          </w:p>
          <w:p>
            <w:pPr>
              <w:widowControl/>
              <w:rPr>
                <w:rFonts w:hint="default" w:ascii="Times New Roman" w:hAnsi="Times New Roman" w:eastAsia="仿宋_GB2312" w:cs="Times New Roman"/>
                <w:color w:val="auto"/>
                <w:kern w:val="0"/>
                <w:sz w:val="24"/>
                <w:highlight w:val="none"/>
              </w:rPr>
            </w:pPr>
          </w:p>
          <w:p>
            <w:pPr>
              <w:widowControl/>
              <w:rPr>
                <w:rFonts w:hint="default" w:ascii="Times New Roman" w:hAnsi="Times New Roman" w:eastAsia="仿宋_GB2312" w:cs="Times New Roman"/>
                <w:color w:val="auto"/>
                <w:kern w:val="0"/>
                <w:sz w:val="24"/>
                <w:highlight w:val="none"/>
              </w:rPr>
            </w:pPr>
          </w:p>
          <w:p>
            <w:pPr>
              <w:widowControl/>
              <w:rPr>
                <w:rFonts w:hint="default" w:ascii="Times New Roman" w:hAnsi="Times New Roman" w:eastAsia="仿宋_GB2312" w:cs="Times New Roman"/>
                <w:color w:val="auto"/>
                <w:kern w:val="0"/>
                <w:sz w:val="24"/>
                <w:highlight w:val="none"/>
              </w:rPr>
            </w:pPr>
          </w:p>
          <w:p>
            <w:pPr>
              <w:widowControl/>
              <w:rPr>
                <w:rFonts w:hint="default" w:ascii="Times New Roman" w:hAnsi="Times New Roman" w:eastAsia="仿宋_GB2312" w:cs="Times New Roman"/>
                <w:color w:val="auto"/>
                <w:kern w:val="0"/>
                <w:sz w:val="24"/>
                <w:highlight w:val="none"/>
              </w:rPr>
            </w:pPr>
          </w:p>
          <w:p>
            <w:pPr>
              <w:widowControl/>
              <w:rPr>
                <w:rFonts w:hint="default" w:ascii="Times New Roman" w:hAnsi="Times New Roman" w:eastAsia="仿宋_GB2312" w:cs="Times New Roman"/>
                <w:color w:val="auto"/>
                <w:kern w:val="0"/>
                <w:sz w:val="24"/>
                <w:highlight w:val="none"/>
              </w:rPr>
            </w:pPr>
          </w:p>
          <w:p>
            <w:pPr>
              <w:widowControl/>
              <w:rPr>
                <w:rFonts w:hint="default" w:ascii="Times New Roman" w:hAnsi="Times New Roman" w:eastAsia="仿宋_GB2312" w:cs="Times New Roman"/>
                <w:color w:val="auto"/>
                <w:kern w:val="0"/>
                <w:sz w:val="24"/>
                <w:highlight w:val="none"/>
              </w:rPr>
            </w:pPr>
          </w:p>
          <w:p>
            <w:pPr>
              <w:widowControl/>
              <w:rPr>
                <w:rFonts w:hint="default" w:ascii="Times New Roman" w:hAnsi="Times New Roman" w:eastAsia="仿宋_GB2312" w:cs="Times New Roman"/>
                <w:color w:val="auto"/>
                <w:kern w:val="0"/>
                <w:sz w:val="24"/>
                <w:highlight w:val="none"/>
              </w:rPr>
            </w:pPr>
          </w:p>
          <w:p>
            <w:pPr>
              <w:widowControl/>
              <w:rPr>
                <w:rFonts w:hint="default" w:ascii="Times New Roman" w:hAnsi="Times New Roman" w:eastAsia="仿宋_GB2312" w:cs="Times New Roman"/>
                <w:color w:val="auto"/>
                <w:kern w:val="0"/>
                <w:sz w:val="24"/>
                <w:highlight w:val="none"/>
              </w:rPr>
            </w:pPr>
          </w:p>
          <w:p>
            <w:pPr>
              <w:widowControl/>
              <w:rPr>
                <w:rFonts w:hint="default" w:ascii="Times New Roman" w:hAnsi="Times New Roman" w:eastAsia="仿宋_GB2312" w:cs="Times New Roman"/>
                <w:color w:val="auto"/>
                <w:kern w:val="0"/>
                <w:sz w:val="24"/>
                <w:highlight w:val="none"/>
              </w:rPr>
            </w:pPr>
          </w:p>
          <w:p>
            <w:pPr>
              <w:widowControl/>
              <w:rPr>
                <w:rFonts w:hint="default" w:ascii="Times New Roman" w:hAnsi="Times New Roman" w:eastAsia="仿宋_GB2312" w:cs="Times New Roman"/>
                <w:color w:val="auto"/>
                <w:kern w:val="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2400" w:hRule="atLeast"/>
          <w:jc w:val="center"/>
        </w:trPr>
        <w:tc>
          <w:tcPr>
            <w:tcW w:w="8532" w:type="dxa"/>
            <w:gridSpan w:val="4"/>
            <w:tcBorders>
              <w:top w:val="single" w:color="000000" w:sz="4" w:space="0"/>
              <w:left w:val="single" w:color="000000" w:sz="4" w:space="0"/>
              <w:bottom w:val="single" w:color="000000" w:sz="4" w:space="0"/>
              <w:right w:val="single" w:color="000000" w:sz="4" w:space="0"/>
            </w:tcBorders>
            <w:vAlign w:val="center"/>
          </w:tcPr>
          <w:p>
            <w:pPr>
              <w:widowControl/>
              <w:rPr>
                <w:rFonts w:hint="default" w:ascii="Times New Roman" w:hAnsi="Times New Roman" w:eastAsia="仿宋_GB2312" w:cs="Times New Roman"/>
                <w:b/>
                <w:color w:val="auto"/>
                <w:kern w:val="0"/>
                <w:sz w:val="24"/>
                <w:highlight w:val="none"/>
              </w:rPr>
            </w:pPr>
          </w:p>
          <w:p>
            <w:pPr>
              <w:widowControl/>
              <w:rPr>
                <w:rFonts w:hint="default" w:ascii="Times New Roman" w:hAnsi="Times New Roman" w:eastAsia="仿宋_GB2312" w:cs="Times New Roman"/>
                <w:b/>
                <w:color w:val="auto"/>
                <w:kern w:val="0"/>
                <w:sz w:val="24"/>
                <w:highlight w:val="none"/>
              </w:rPr>
            </w:pPr>
            <w:r>
              <w:rPr>
                <w:rFonts w:hint="default" w:ascii="Times New Roman" w:hAnsi="Times New Roman" w:eastAsia="仿宋_GB2312" w:cs="Times New Roman"/>
                <w:b/>
                <w:color w:val="auto"/>
                <w:kern w:val="0"/>
                <w:sz w:val="24"/>
                <w:highlight w:val="none"/>
              </w:rPr>
              <w:t>材料真实性承诺:</w:t>
            </w:r>
          </w:p>
          <w:p>
            <w:pPr>
              <w:widowControl/>
              <w:ind w:firstLine="496" w:firstLineChars="207"/>
              <w:rPr>
                <w:rFonts w:hint="default" w:ascii="Times New Roman" w:hAnsi="Times New Roman" w:eastAsia="仿宋_GB2312" w:cs="Times New Roman"/>
                <w:color w:val="auto"/>
                <w:kern w:val="0"/>
                <w:sz w:val="24"/>
                <w:highlight w:val="none"/>
              </w:rPr>
            </w:pPr>
          </w:p>
          <w:p>
            <w:pPr>
              <w:widowControl/>
              <w:ind w:firstLine="480" w:firstLineChars="200"/>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我单位郑重承诺：本次申报绿色工厂示范所提交的相关数据和信息均真实、有效，愿接受并积极配合主管部门的监督抽查和核验。如有违反，愿承担由此产生的相应责任。</w:t>
            </w:r>
          </w:p>
          <w:p>
            <w:pPr>
              <w:widowControl/>
              <w:ind w:firstLine="496" w:firstLineChars="207"/>
              <w:rPr>
                <w:rFonts w:hint="default" w:ascii="Times New Roman" w:hAnsi="Times New Roman" w:eastAsia="仿宋_GB2312" w:cs="Times New Roman"/>
                <w:color w:val="auto"/>
                <w:kern w:val="0"/>
                <w:sz w:val="24"/>
                <w:highlight w:val="none"/>
              </w:rPr>
            </w:pPr>
          </w:p>
          <w:p>
            <w:pPr>
              <w:widowControl/>
              <w:wordWrap w:val="0"/>
              <w:jc w:val="center"/>
              <w:rPr>
                <w:rFonts w:hint="default" w:ascii="Times New Roman" w:hAnsi="Times New Roman" w:eastAsia="仿宋_GB2312" w:cs="Times New Roman"/>
                <w:b/>
                <w:color w:val="auto"/>
                <w:kern w:val="0"/>
                <w:sz w:val="24"/>
                <w:highlight w:val="none"/>
              </w:rPr>
            </w:pPr>
            <w:r>
              <w:rPr>
                <w:rFonts w:hint="default" w:ascii="Times New Roman" w:hAnsi="Times New Roman" w:eastAsia="仿宋_GB2312" w:cs="Times New Roman"/>
                <w:b/>
                <w:color w:val="auto"/>
                <w:kern w:val="0"/>
                <w:sz w:val="24"/>
                <w:highlight w:val="none"/>
              </w:rPr>
              <w:t xml:space="preserve">                           法人或单位负责人签字：          </w:t>
            </w:r>
          </w:p>
          <w:p>
            <w:pPr>
              <w:widowControl/>
              <w:rPr>
                <w:rFonts w:hint="default" w:ascii="Times New Roman" w:hAnsi="Times New Roman" w:eastAsia="仿宋_GB2312" w:cs="Times New Roman"/>
                <w:b/>
                <w:color w:val="auto"/>
                <w:kern w:val="0"/>
                <w:sz w:val="24"/>
                <w:highlight w:val="none"/>
              </w:rPr>
            </w:pPr>
            <w:r>
              <w:rPr>
                <w:rFonts w:hint="default" w:ascii="Times New Roman" w:hAnsi="Times New Roman" w:eastAsia="仿宋_GB2312" w:cs="Times New Roman"/>
                <w:b/>
                <w:color w:val="auto"/>
                <w:kern w:val="0"/>
                <w:sz w:val="24"/>
                <w:highlight w:val="none"/>
              </w:rPr>
              <w:t xml:space="preserve">                                            （公章）</w:t>
            </w:r>
          </w:p>
          <w:p>
            <w:pPr>
              <w:widowControl/>
              <w:wordWrap w:val="0"/>
              <w:jc w:val="center"/>
              <w:rPr>
                <w:rFonts w:hint="default" w:ascii="Times New Roman" w:hAnsi="Times New Roman" w:eastAsia="仿宋_GB2312" w:cs="Times New Roman"/>
                <w:b/>
                <w:color w:val="auto"/>
                <w:kern w:val="0"/>
                <w:sz w:val="24"/>
                <w:highlight w:val="none"/>
              </w:rPr>
            </w:pPr>
            <w:r>
              <w:rPr>
                <w:rFonts w:hint="default" w:ascii="Times New Roman" w:hAnsi="Times New Roman" w:eastAsia="仿宋_GB2312" w:cs="Times New Roman"/>
                <w:b/>
                <w:color w:val="auto"/>
                <w:kern w:val="0"/>
                <w:sz w:val="24"/>
                <w:highlight w:val="none"/>
              </w:rPr>
              <w:t xml:space="preserve">                                            日期：           </w:t>
            </w:r>
          </w:p>
          <w:p>
            <w:pPr>
              <w:widowControl/>
              <w:jc w:val="both"/>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b/>
                <w:color w:val="auto"/>
                <w:kern w:val="0"/>
                <w:sz w:val="24"/>
                <w:highlight w:val="none"/>
              </w:rPr>
              <w:t xml:space="preserve">         </w:t>
            </w:r>
          </w:p>
        </w:tc>
      </w:tr>
    </w:tbl>
    <w:p>
      <w:pPr>
        <w:spacing w:line="360" w:lineRule="auto"/>
        <w:jc w:val="center"/>
        <w:rPr>
          <w:rFonts w:hint="default" w:ascii="Times New Roman" w:hAnsi="Times New Roman" w:eastAsia="仿宋_GB2312" w:cs="Times New Roman"/>
          <w:color w:val="auto"/>
          <w:sz w:val="32"/>
          <w:szCs w:val="32"/>
          <w:highlight w:val="none"/>
        </w:rPr>
      </w:pPr>
    </w:p>
    <w:p>
      <w:pPr>
        <w:widowControl w:val="0"/>
        <w:wordWrap/>
        <w:adjustRightInd/>
        <w:snapToGrid/>
        <w:spacing w:line="480" w:lineRule="exact"/>
        <w:ind w:left="0" w:leftChars="0" w:right="0"/>
        <w:jc w:val="both"/>
        <w:textAlignment w:val="auto"/>
        <w:outlineLvl w:val="9"/>
        <w:rPr>
          <w:rFonts w:hint="default" w:ascii="Times New Roman" w:hAnsi="Times New Roman" w:eastAsia="黑体" w:cs="Times New Roman"/>
          <w:bCs/>
          <w:color w:val="auto"/>
          <w:sz w:val="30"/>
          <w:szCs w:val="30"/>
          <w:highlight w:val="none"/>
        </w:rPr>
      </w:pPr>
      <w:r>
        <w:rPr>
          <w:rFonts w:hint="default" w:ascii="Times New Roman" w:hAnsi="Times New Roman" w:eastAsia="黑体" w:cs="Times New Roman"/>
          <w:bCs/>
          <w:color w:val="auto"/>
          <w:sz w:val="30"/>
          <w:szCs w:val="30"/>
          <w:highlight w:val="none"/>
        </w:rPr>
        <w:t>一、工厂基本情况</w:t>
      </w:r>
    </w:p>
    <w:p>
      <w:pPr>
        <w:pStyle w:val="17"/>
        <w:widowControl w:val="0"/>
        <w:wordWrap/>
        <w:adjustRightInd/>
        <w:snapToGrid/>
        <w:spacing w:line="480" w:lineRule="exact"/>
        <w:ind w:left="0" w:leftChars="0" w:right="0" w:firstLine="640"/>
        <w:jc w:val="both"/>
        <w:textAlignment w:val="auto"/>
        <w:outlineLvl w:val="9"/>
        <w:rPr>
          <w:rFonts w:hint="default" w:ascii="Times New Roman" w:hAnsi="Times New Roman" w:eastAsia="仿宋_GB2312" w:cs="Times New Roman"/>
          <w:color w:val="auto"/>
          <w:kern w:val="0"/>
          <w:sz w:val="30"/>
          <w:szCs w:val="30"/>
          <w:highlight w:val="none"/>
        </w:rPr>
      </w:pPr>
      <w:r>
        <w:rPr>
          <w:rFonts w:hint="default" w:ascii="Times New Roman" w:hAnsi="Times New Roman" w:eastAsia="仿宋_GB2312" w:cs="Times New Roman"/>
          <w:color w:val="auto"/>
          <w:kern w:val="0"/>
          <w:sz w:val="30"/>
          <w:szCs w:val="30"/>
          <w:highlight w:val="none"/>
        </w:rPr>
        <w:t>概述工厂的基本信息、发展现状、工艺产品、生产经营状况以及在绿色发展方面开展的重点工作及取得的成绩等。</w:t>
      </w:r>
    </w:p>
    <w:p>
      <w:pPr>
        <w:widowControl w:val="0"/>
        <w:wordWrap/>
        <w:adjustRightInd/>
        <w:snapToGrid/>
        <w:spacing w:line="480" w:lineRule="exact"/>
        <w:ind w:left="0" w:leftChars="0" w:right="0"/>
        <w:jc w:val="both"/>
        <w:textAlignment w:val="auto"/>
        <w:outlineLvl w:val="9"/>
        <w:rPr>
          <w:rFonts w:hint="default" w:ascii="Times New Roman" w:hAnsi="Times New Roman" w:eastAsia="黑体" w:cs="Times New Roman"/>
          <w:bCs/>
          <w:color w:val="auto"/>
          <w:sz w:val="30"/>
          <w:szCs w:val="30"/>
          <w:highlight w:val="none"/>
        </w:rPr>
      </w:pPr>
      <w:r>
        <w:rPr>
          <w:rFonts w:hint="default" w:ascii="Times New Roman" w:hAnsi="Times New Roman" w:eastAsia="黑体" w:cs="Times New Roman"/>
          <w:bCs/>
          <w:color w:val="auto"/>
          <w:sz w:val="30"/>
          <w:szCs w:val="30"/>
          <w:highlight w:val="none"/>
        </w:rPr>
        <w:t>二、绿色工厂创建情况</w:t>
      </w:r>
    </w:p>
    <w:p>
      <w:pPr>
        <w:pStyle w:val="17"/>
        <w:widowControl w:val="0"/>
        <w:wordWrap/>
        <w:adjustRightInd/>
        <w:snapToGrid/>
        <w:spacing w:line="480" w:lineRule="exact"/>
        <w:ind w:left="0" w:leftChars="0" w:right="0" w:firstLine="640"/>
        <w:jc w:val="both"/>
        <w:textAlignment w:val="auto"/>
        <w:outlineLvl w:val="9"/>
        <w:rPr>
          <w:rFonts w:hint="default" w:ascii="Times New Roman" w:hAnsi="Times New Roman" w:eastAsia="仿宋_GB2312" w:cs="Times New Roman"/>
          <w:color w:val="auto"/>
          <w:kern w:val="0"/>
          <w:sz w:val="30"/>
          <w:szCs w:val="30"/>
          <w:highlight w:val="none"/>
        </w:rPr>
      </w:pPr>
      <w:r>
        <w:rPr>
          <w:rFonts w:hint="default" w:ascii="Times New Roman" w:hAnsi="Times New Roman" w:eastAsia="仿宋_GB2312" w:cs="Times New Roman"/>
          <w:color w:val="auto"/>
          <w:kern w:val="0"/>
          <w:sz w:val="30"/>
          <w:szCs w:val="30"/>
          <w:highlight w:val="none"/>
        </w:rPr>
        <w:t xml:space="preserve">对照《绿色工厂评价要求》主要对工厂的基础设施、管理体系、能源资源投入、产品、环境排放、绩效指标等内容进行情况描述。  </w:t>
      </w:r>
    </w:p>
    <w:p>
      <w:pPr>
        <w:pStyle w:val="17"/>
        <w:widowControl w:val="0"/>
        <w:wordWrap/>
        <w:adjustRightInd/>
        <w:snapToGrid/>
        <w:spacing w:line="480" w:lineRule="exact"/>
        <w:ind w:left="0" w:leftChars="0" w:right="0" w:firstLine="640"/>
        <w:jc w:val="both"/>
        <w:textAlignment w:val="auto"/>
        <w:outlineLvl w:val="9"/>
        <w:rPr>
          <w:rFonts w:hint="default" w:ascii="Times New Roman" w:hAnsi="Times New Roman" w:eastAsia="仿宋_GB2312" w:cs="Times New Roman"/>
          <w:color w:val="auto"/>
          <w:kern w:val="0"/>
          <w:sz w:val="30"/>
          <w:szCs w:val="30"/>
          <w:highlight w:val="none"/>
        </w:rPr>
      </w:pPr>
      <w:r>
        <w:rPr>
          <w:rFonts w:hint="default" w:ascii="Times New Roman" w:hAnsi="Times New Roman" w:eastAsia="仿宋_GB2312" w:cs="Times New Roman"/>
          <w:color w:val="auto"/>
          <w:kern w:val="0"/>
          <w:sz w:val="30"/>
          <w:szCs w:val="30"/>
          <w:highlight w:val="none"/>
          <w:lang w:val="en-US" w:eastAsia="zh-CN"/>
        </w:rPr>
        <w:t>1、</w:t>
      </w:r>
      <w:r>
        <w:rPr>
          <w:rFonts w:hint="default" w:ascii="Times New Roman" w:hAnsi="Times New Roman" w:eastAsia="仿宋_GB2312" w:cs="Times New Roman"/>
          <w:color w:val="auto"/>
          <w:kern w:val="0"/>
          <w:sz w:val="30"/>
          <w:szCs w:val="30"/>
          <w:highlight w:val="none"/>
        </w:rPr>
        <w:t>基础设施情况。主要描述工厂的建筑、照明、设备设施（包括专用设备、通用设备、计量设备及污染物处理设备设施等）情况，以及相关标准落实情况。</w:t>
      </w:r>
    </w:p>
    <w:p>
      <w:pPr>
        <w:pStyle w:val="17"/>
        <w:widowControl w:val="0"/>
        <w:wordWrap/>
        <w:adjustRightInd/>
        <w:snapToGrid/>
        <w:spacing w:line="480" w:lineRule="exact"/>
        <w:ind w:left="0" w:leftChars="0" w:right="0" w:firstLine="640"/>
        <w:jc w:val="both"/>
        <w:textAlignment w:val="auto"/>
        <w:outlineLvl w:val="9"/>
        <w:rPr>
          <w:rFonts w:hint="default" w:ascii="Times New Roman" w:hAnsi="Times New Roman" w:eastAsia="仿宋_GB2312" w:cs="Times New Roman"/>
          <w:color w:val="auto"/>
          <w:kern w:val="0"/>
          <w:sz w:val="30"/>
          <w:szCs w:val="30"/>
          <w:highlight w:val="none"/>
        </w:rPr>
      </w:pPr>
      <w:r>
        <w:rPr>
          <w:rFonts w:hint="default" w:ascii="Times New Roman" w:hAnsi="Times New Roman" w:eastAsia="仿宋_GB2312" w:cs="Times New Roman"/>
          <w:color w:val="auto"/>
          <w:kern w:val="0"/>
          <w:sz w:val="30"/>
          <w:szCs w:val="30"/>
          <w:highlight w:val="none"/>
          <w:lang w:val="en-US" w:eastAsia="zh-CN"/>
        </w:rPr>
        <w:t>2、</w:t>
      </w:r>
      <w:r>
        <w:rPr>
          <w:rFonts w:hint="default" w:ascii="Times New Roman" w:hAnsi="Times New Roman" w:eastAsia="仿宋_GB2312" w:cs="Times New Roman"/>
          <w:color w:val="auto"/>
          <w:kern w:val="0"/>
          <w:sz w:val="30"/>
          <w:szCs w:val="30"/>
          <w:highlight w:val="none"/>
        </w:rPr>
        <w:t>管理体系情况。主要描述工厂管理体系建设情况。</w:t>
      </w:r>
    </w:p>
    <w:p>
      <w:pPr>
        <w:pStyle w:val="17"/>
        <w:widowControl w:val="0"/>
        <w:wordWrap/>
        <w:adjustRightInd/>
        <w:snapToGrid/>
        <w:spacing w:line="480" w:lineRule="exact"/>
        <w:ind w:left="0" w:leftChars="0" w:right="0" w:firstLine="640"/>
        <w:jc w:val="both"/>
        <w:textAlignment w:val="auto"/>
        <w:outlineLvl w:val="9"/>
        <w:rPr>
          <w:rFonts w:hint="default" w:ascii="Times New Roman" w:hAnsi="Times New Roman" w:eastAsia="仿宋_GB2312" w:cs="Times New Roman"/>
          <w:color w:val="auto"/>
          <w:kern w:val="0"/>
          <w:sz w:val="30"/>
          <w:szCs w:val="30"/>
          <w:highlight w:val="none"/>
        </w:rPr>
      </w:pPr>
      <w:r>
        <w:rPr>
          <w:rFonts w:hint="default" w:ascii="Times New Roman" w:hAnsi="Times New Roman" w:eastAsia="仿宋_GB2312" w:cs="Times New Roman"/>
          <w:color w:val="auto"/>
          <w:kern w:val="0"/>
          <w:sz w:val="30"/>
          <w:szCs w:val="30"/>
          <w:highlight w:val="none"/>
          <w:lang w:val="en-US" w:eastAsia="zh-CN"/>
        </w:rPr>
        <w:t>3、</w:t>
      </w:r>
      <w:r>
        <w:rPr>
          <w:rFonts w:hint="default" w:ascii="Times New Roman" w:hAnsi="Times New Roman" w:eastAsia="仿宋_GB2312" w:cs="Times New Roman"/>
          <w:color w:val="auto"/>
          <w:kern w:val="0"/>
          <w:sz w:val="30"/>
          <w:szCs w:val="30"/>
          <w:highlight w:val="none"/>
        </w:rPr>
        <w:t>能源资源投入情况。主要描述能源投入、资源投入、采购等方面的现状，以及目前正在实施建设的节约能源资源投入的项目。</w:t>
      </w:r>
    </w:p>
    <w:p>
      <w:pPr>
        <w:pStyle w:val="17"/>
        <w:widowControl w:val="0"/>
        <w:wordWrap/>
        <w:adjustRightInd/>
        <w:snapToGrid/>
        <w:spacing w:line="480" w:lineRule="exact"/>
        <w:ind w:left="0" w:leftChars="0" w:right="0" w:firstLine="640"/>
        <w:jc w:val="both"/>
        <w:textAlignment w:val="auto"/>
        <w:outlineLvl w:val="9"/>
        <w:rPr>
          <w:rFonts w:hint="default" w:ascii="Times New Roman" w:hAnsi="Times New Roman" w:eastAsia="仿宋_GB2312" w:cs="Times New Roman"/>
          <w:color w:val="auto"/>
          <w:kern w:val="0"/>
          <w:sz w:val="30"/>
          <w:szCs w:val="30"/>
          <w:highlight w:val="none"/>
        </w:rPr>
      </w:pPr>
      <w:r>
        <w:rPr>
          <w:rFonts w:hint="default" w:ascii="Times New Roman" w:hAnsi="Times New Roman" w:eastAsia="仿宋_GB2312" w:cs="Times New Roman"/>
          <w:color w:val="auto"/>
          <w:kern w:val="0"/>
          <w:sz w:val="30"/>
          <w:szCs w:val="30"/>
          <w:highlight w:val="none"/>
          <w:lang w:val="en-US" w:eastAsia="zh-CN"/>
        </w:rPr>
        <w:t>4、</w:t>
      </w:r>
      <w:r>
        <w:rPr>
          <w:rFonts w:hint="default" w:ascii="Times New Roman" w:hAnsi="Times New Roman" w:eastAsia="仿宋_GB2312" w:cs="Times New Roman"/>
          <w:color w:val="auto"/>
          <w:kern w:val="0"/>
          <w:sz w:val="30"/>
          <w:szCs w:val="30"/>
          <w:highlight w:val="none"/>
        </w:rPr>
        <w:t>产品情况。主要描述产品的生态设计、有害物质使用、节能、减碳以及可回收利用等情况，以及相关标准落实情况。</w:t>
      </w:r>
    </w:p>
    <w:p>
      <w:pPr>
        <w:pStyle w:val="17"/>
        <w:widowControl w:val="0"/>
        <w:wordWrap/>
        <w:adjustRightInd/>
        <w:snapToGrid/>
        <w:spacing w:line="480" w:lineRule="exact"/>
        <w:ind w:left="0" w:leftChars="0" w:right="0" w:firstLine="640"/>
        <w:jc w:val="both"/>
        <w:textAlignment w:val="auto"/>
        <w:outlineLvl w:val="9"/>
        <w:rPr>
          <w:rFonts w:hint="default" w:ascii="Times New Roman" w:hAnsi="Times New Roman" w:eastAsia="仿宋_GB2312" w:cs="Times New Roman"/>
          <w:color w:val="auto"/>
          <w:kern w:val="0"/>
          <w:sz w:val="30"/>
          <w:szCs w:val="30"/>
          <w:highlight w:val="none"/>
        </w:rPr>
      </w:pPr>
      <w:r>
        <w:rPr>
          <w:rFonts w:hint="default" w:ascii="Times New Roman" w:hAnsi="Times New Roman" w:eastAsia="仿宋_GB2312" w:cs="Times New Roman"/>
          <w:color w:val="auto"/>
          <w:kern w:val="0"/>
          <w:sz w:val="30"/>
          <w:szCs w:val="30"/>
          <w:highlight w:val="none"/>
          <w:lang w:val="en-US" w:eastAsia="zh-CN"/>
        </w:rPr>
        <w:t>5、</w:t>
      </w:r>
      <w:r>
        <w:rPr>
          <w:rFonts w:hint="default" w:ascii="Times New Roman" w:hAnsi="Times New Roman" w:eastAsia="仿宋_GB2312" w:cs="Times New Roman"/>
          <w:color w:val="auto"/>
          <w:kern w:val="0"/>
          <w:sz w:val="30"/>
          <w:szCs w:val="30"/>
          <w:highlight w:val="none"/>
        </w:rPr>
        <w:t>环境排放情况。主要描述大气污染物、水体污染物、固体废弃物、噪声、温室气体的排放及管理现状，以及相关标准的落实情况。</w:t>
      </w:r>
    </w:p>
    <w:p>
      <w:pPr>
        <w:pStyle w:val="17"/>
        <w:widowControl w:val="0"/>
        <w:wordWrap/>
        <w:adjustRightInd/>
        <w:snapToGrid/>
        <w:spacing w:line="480" w:lineRule="exact"/>
        <w:ind w:left="0" w:leftChars="0" w:right="0" w:firstLine="640"/>
        <w:jc w:val="both"/>
        <w:textAlignment w:val="auto"/>
        <w:outlineLvl w:val="9"/>
        <w:rPr>
          <w:rFonts w:hint="default" w:ascii="Times New Roman" w:hAnsi="Times New Roman" w:eastAsia="仿宋_GB2312" w:cs="Times New Roman"/>
          <w:color w:val="auto"/>
          <w:kern w:val="0"/>
          <w:sz w:val="30"/>
          <w:szCs w:val="30"/>
          <w:highlight w:val="none"/>
        </w:rPr>
      </w:pPr>
      <w:r>
        <w:rPr>
          <w:rFonts w:hint="default" w:ascii="Times New Roman" w:hAnsi="Times New Roman" w:eastAsia="仿宋_GB2312" w:cs="Times New Roman"/>
          <w:color w:val="auto"/>
          <w:kern w:val="0"/>
          <w:sz w:val="30"/>
          <w:szCs w:val="30"/>
          <w:highlight w:val="none"/>
          <w:lang w:val="en-US" w:eastAsia="zh-CN"/>
        </w:rPr>
        <w:t>6、</w:t>
      </w:r>
      <w:r>
        <w:rPr>
          <w:rFonts w:hint="default" w:ascii="Times New Roman" w:hAnsi="Times New Roman" w:eastAsia="仿宋_GB2312" w:cs="Times New Roman"/>
          <w:color w:val="auto"/>
          <w:kern w:val="0"/>
          <w:sz w:val="30"/>
          <w:szCs w:val="30"/>
          <w:highlight w:val="none"/>
        </w:rPr>
        <w:t>绩效指标情况。主要描述绩效指标</w:t>
      </w:r>
      <w:r>
        <w:rPr>
          <w:rFonts w:hint="default" w:ascii="Times New Roman" w:hAnsi="Times New Roman" w:eastAsia="仿宋_GB2312" w:cs="Times New Roman"/>
          <w:color w:val="auto"/>
          <w:kern w:val="0"/>
          <w:sz w:val="30"/>
          <w:szCs w:val="30"/>
          <w:highlight w:val="none"/>
          <w:lang w:val="en-US" w:eastAsia="zh-CN"/>
        </w:rPr>
        <w:t>达成</w:t>
      </w:r>
      <w:r>
        <w:rPr>
          <w:rFonts w:hint="default" w:ascii="Times New Roman" w:hAnsi="Times New Roman" w:eastAsia="仿宋_GB2312" w:cs="Times New Roman"/>
          <w:color w:val="auto"/>
          <w:kern w:val="0"/>
          <w:sz w:val="30"/>
          <w:szCs w:val="30"/>
          <w:highlight w:val="none"/>
        </w:rPr>
        <w:t>情况。</w:t>
      </w:r>
    </w:p>
    <w:p>
      <w:pPr>
        <w:pStyle w:val="17"/>
        <w:widowControl w:val="0"/>
        <w:wordWrap/>
        <w:adjustRightInd/>
        <w:snapToGrid/>
        <w:spacing w:line="480" w:lineRule="exact"/>
        <w:ind w:left="0" w:leftChars="0" w:right="0" w:firstLine="640"/>
        <w:jc w:val="both"/>
        <w:textAlignment w:val="auto"/>
        <w:outlineLvl w:val="9"/>
        <w:rPr>
          <w:rFonts w:hint="default" w:ascii="Times New Roman" w:hAnsi="Times New Roman" w:eastAsia="仿宋_GB2312" w:cs="Times New Roman"/>
          <w:color w:val="auto"/>
          <w:kern w:val="0"/>
          <w:sz w:val="30"/>
          <w:szCs w:val="30"/>
          <w:highlight w:val="none"/>
        </w:rPr>
      </w:pPr>
    </w:p>
    <w:p>
      <w:pPr>
        <w:widowControl w:val="0"/>
        <w:wordWrap/>
        <w:adjustRightInd/>
        <w:snapToGrid/>
        <w:spacing w:line="480" w:lineRule="exact"/>
        <w:ind w:left="0" w:leftChars="0" w:right="0"/>
        <w:jc w:val="both"/>
        <w:textAlignment w:val="auto"/>
        <w:outlineLvl w:val="9"/>
        <w:rPr>
          <w:rFonts w:hint="default" w:ascii="Times New Roman" w:hAnsi="Times New Roman" w:eastAsia="黑体" w:cs="Times New Roman"/>
          <w:bCs/>
          <w:color w:val="auto"/>
          <w:sz w:val="30"/>
          <w:szCs w:val="30"/>
          <w:highlight w:val="none"/>
        </w:rPr>
      </w:pPr>
      <w:r>
        <w:rPr>
          <w:rFonts w:hint="default" w:ascii="Times New Roman" w:hAnsi="Times New Roman" w:eastAsia="黑体" w:cs="Times New Roman"/>
          <w:bCs/>
          <w:color w:val="auto"/>
          <w:sz w:val="30"/>
          <w:szCs w:val="30"/>
          <w:highlight w:val="none"/>
        </w:rPr>
        <w:t>三、下一步工作</w:t>
      </w:r>
    </w:p>
    <w:p>
      <w:pPr>
        <w:pStyle w:val="17"/>
        <w:widowControl w:val="0"/>
        <w:wordWrap/>
        <w:adjustRightInd/>
        <w:snapToGrid/>
        <w:spacing w:line="480" w:lineRule="exact"/>
        <w:ind w:left="0" w:leftChars="0" w:right="0" w:firstLine="640"/>
        <w:jc w:val="both"/>
        <w:textAlignment w:val="auto"/>
        <w:outlineLvl w:val="9"/>
        <w:rPr>
          <w:rFonts w:hint="default" w:ascii="Times New Roman" w:hAnsi="Times New Roman" w:eastAsia="仿宋_GB2312" w:cs="Times New Roman"/>
          <w:color w:val="auto"/>
          <w:kern w:val="0"/>
          <w:sz w:val="30"/>
          <w:szCs w:val="30"/>
          <w:highlight w:val="none"/>
        </w:rPr>
      </w:pPr>
      <w:r>
        <w:rPr>
          <w:rFonts w:hint="default" w:ascii="Times New Roman" w:hAnsi="Times New Roman" w:eastAsia="仿宋_GB2312" w:cs="Times New Roman"/>
          <w:color w:val="auto"/>
          <w:kern w:val="0"/>
          <w:sz w:val="30"/>
          <w:szCs w:val="30"/>
          <w:highlight w:val="none"/>
        </w:rPr>
        <w:t>说明工厂在持续推进绿色工厂建设方面拟开展的重点工作，拟实施的重大项目情况等。</w:t>
      </w:r>
    </w:p>
    <w:p>
      <w:pPr>
        <w:widowControl w:val="0"/>
        <w:wordWrap/>
        <w:adjustRightInd/>
        <w:snapToGrid/>
        <w:spacing w:line="480" w:lineRule="exact"/>
        <w:ind w:left="0" w:leftChars="0" w:right="0"/>
        <w:jc w:val="both"/>
        <w:textAlignment w:val="auto"/>
        <w:outlineLvl w:val="9"/>
        <w:rPr>
          <w:rFonts w:hint="default" w:ascii="Times New Roman" w:hAnsi="Times New Roman" w:eastAsia="黑体" w:cs="Times New Roman"/>
          <w:bCs/>
          <w:color w:val="auto"/>
          <w:sz w:val="30"/>
          <w:szCs w:val="30"/>
          <w:highlight w:val="none"/>
        </w:rPr>
      </w:pPr>
      <w:r>
        <w:rPr>
          <w:rFonts w:hint="default" w:ascii="Times New Roman" w:hAnsi="Times New Roman" w:eastAsia="黑体" w:cs="Times New Roman"/>
          <w:bCs/>
          <w:color w:val="auto"/>
          <w:sz w:val="30"/>
          <w:szCs w:val="30"/>
          <w:highlight w:val="none"/>
        </w:rPr>
        <w:t>四、绿色工厂创建自评表</w:t>
      </w:r>
    </w:p>
    <w:p>
      <w:pPr>
        <w:pStyle w:val="17"/>
        <w:widowControl w:val="0"/>
        <w:wordWrap/>
        <w:adjustRightInd/>
        <w:snapToGrid/>
        <w:spacing w:line="480" w:lineRule="exact"/>
        <w:ind w:left="0" w:leftChars="0" w:right="0" w:firstLine="640"/>
        <w:jc w:val="both"/>
        <w:textAlignment w:val="auto"/>
        <w:outlineLvl w:val="9"/>
        <w:rPr>
          <w:rFonts w:hint="default" w:ascii="Times New Roman" w:hAnsi="Times New Roman" w:eastAsia="仿宋_GB2312" w:cs="Times New Roman"/>
          <w:i/>
          <w:iCs/>
          <w:color w:val="auto"/>
          <w:kern w:val="0"/>
          <w:sz w:val="30"/>
          <w:szCs w:val="30"/>
          <w:highlight w:val="none"/>
        </w:rPr>
      </w:pPr>
      <w:r>
        <w:rPr>
          <w:rFonts w:hint="default" w:ascii="Times New Roman" w:hAnsi="Times New Roman" w:eastAsia="仿宋_GB2312" w:cs="Times New Roman"/>
          <w:color w:val="auto"/>
          <w:kern w:val="0"/>
          <w:sz w:val="30"/>
          <w:szCs w:val="30"/>
          <w:highlight w:val="none"/>
        </w:rPr>
        <w:t>依据工厂情况和《绿色工厂评价要求》进行自评，并填写附表1.1和附表1.2。</w:t>
      </w:r>
    </w:p>
    <w:p>
      <w:pPr>
        <w:widowControl w:val="0"/>
        <w:wordWrap/>
        <w:adjustRightInd/>
        <w:snapToGrid/>
        <w:spacing w:line="480" w:lineRule="exact"/>
        <w:ind w:left="0" w:leftChars="0" w:right="0"/>
        <w:jc w:val="both"/>
        <w:textAlignment w:val="auto"/>
        <w:outlineLvl w:val="9"/>
        <w:rPr>
          <w:rFonts w:hint="default" w:ascii="Times New Roman" w:hAnsi="Times New Roman" w:eastAsia="黑体" w:cs="Times New Roman"/>
          <w:bCs/>
          <w:color w:val="auto"/>
          <w:sz w:val="30"/>
          <w:szCs w:val="30"/>
          <w:highlight w:val="none"/>
        </w:rPr>
      </w:pPr>
      <w:r>
        <w:rPr>
          <w:rFonts w:hint="default" w:ascii="Times New Roman" w:hAnsi="Times New Roman" w:eastAsia="黑体" w:cs="Times New Roman"/>
          <w:bCs/>
          <w:color w:val="auto"/>
          <w:sz w:val="30"/>
          <w:szCs w:val="30"/>
          <w:highlight w:val="none"/>
        </w:rPr>
        <w:t>五、相关</w:t>
      </w:r>
      <w:r>
        <w:rPr>
          <w:rFonts w:hint="default" w:ascii="Times New Roman" w:hAnsi="Times New Roman" w:eastAsia="黑体" w:cs="Times New Roman"/>
          <w:bCs/>
          <w:color w:val="auto"/>
          <w:sz w:val="30"/>
          <w:szCs w:val="30"/>
          <w:highlight w:val="none"/>
          <w:lang w:val="en-US" w:eastAsia="zh-CN"/>
        </w:rPr>
        <w:t>证明</w:t>
      </w:r>
      <w:r>
        <w:rPr>
          <w:rFonts w:hint="default" w:ascii="Times New Roman" w:hAnsi="Times New Roman" w:eastAsia="黑体" w:cs="Times New Roman"/>
          <w:bCs/>
          <w:color w:val="auto"/>
          <w:sz w:val="30"/>
          <w:szCs w:val="30"/>
          <w:highlight w:val="none"/>
        </w:rPr>
        <w:t>材料</w:t>
      </w:r>
    </w:p>
    <w:p>
      <w:pPr>
        <w:pStyle w:val="17"/>
        <w:widowControl w:val="0"/>
        <w:wordWrap/>
        <w:adjustRightInd/>
        <w:snapToGrid/>
        <w:spacing w:line="480" w:lineRule="exact"/>
        <w:ind w:left="0" w:leftChars="0" w:right="0" w:firstLine="640"/>
        <w:jc w:val="both"/>
        <w:textAlignment w:val="auto"/>
        <w:outlineLvl w:val="9"/>
        <w:rPr>
          <w:rFonts w:hint="default" w:ascii="Times New Roman" w:hAnsi="Times New Roman" w:eastAsia="仿宋_GB2312" w:cs="Times New Roman"/>
          <w:color w:val="auto"/>
          <w:kern w:val="0"/>
          <w:sz w:val="30"/>
          <w:szCs w:val="30"/>
          <w:highlight w:val="none"/>
        </w:rPr>
      </w:pPr>
      <w:r>
        <w:rPr>
          <w:rFonts w:hint="default" w:ascii="Times New Roman" w:hAnsi="Times New Roman" w:eastAsia="仿宋_GB2312" w:cs="Times New Roman"/>
          <w:color w:val="auto"/>
          <w:kern w:val="0"/>
          <w:sz w:val="30"/>
          <w:szCs w:val="30"/>
          <w:highlight w:val="none"/>
        </w:rPr>
        <w:t>相关</w:t>
      </w:r>
      <w:r>
        <w:rPr>
          <w:rFonts w:hint="default" w:ascii="Times New Roman" w:hAnsi="Times New Roman" w:eastAsia="仿宋_GB2312" w:cs="Times New Roman"/>
          <w:color w:val="auto"/>
          <w:kern w:val="0"/>
          <w:sz w:val="30"/>
          <w:szCs w:val="30"/>
          <w:highlight w:val="none"/>
          <w:lang w:val="en-US" w:eastAsia="zh-CN"/>
        </w:rPr>
        <w:t>证明材料</w:t>
      </w:r>
      <w:r>
        <w:rPr>
          <w:rFonts w:hint="default" w:ascii="Times New Roman" w:hAnsi="Times New Roman" w:eastAsia="仿宋_GB2312" w:cs="Times New Roman"/>
          <w:color w:val="auto"/>
          <w:kern w:val="0"/>
          <w:sz w:val="30"/>
          <w:szCs w:val="30"/>
          <w:highlight w:val="none"/>
        </w:rPr>
        <w:t>与附表1.1</w:t>
      </w:r>
      <w:r>
        <w:rPr>
          <w:rFonts w:hint="default" w:ascii="Times New Roman" w:hAnsi="Times New Roman" w:eastAsia="仿宋_GB2312" w:cs="Times New Roman"/>
          <w:color w:val="auto"/>
          <w:kern w:val="0"/>
          <w:sz w:val="30"/>
          <w:szCs w:val="30"/>
          <w:highlight w:val="none"/>
          <w:lang w:val="en-US" w:eastAsia="zh-CN"/>
        </w:rPr>
        <w:t>和</w:t>
      </w:r>
      <w:r>
        <w:rPr>
          <w:rFonts w:hint="default" w:ascii="Times New Roman" w:hAnsi="Times New Roman" w:eastAsia="仿宋_GB2312" w:cs="Times New Roman"/>
          <w:color w:val="auto"/>
          <w:kern w:val="0"/>
          <w:sz w:val="30"/>
          <w:szCs w:val="30"/>
          <w:highlight w:val="none"/>
        </w:rPr>
        <w:t>附表1.2的证明材料索引一栏对应</w:t>
      </w:r>
      <w:r>
        <w:rPr>
          <w:rFonts w:hint="default" w:ascii="Times New Roman" w:hAnsi="Times New Roman" w:eastAsia="仿宋_GB2312" w:cs="Times New Roman"/>
          <w:color w:val="auto"/>
          <w:kern w:val="0"/>
          <w:sz w:val="30"/>
          <w:szCs w:val="30"/>
          <w:highlight w:val="none"/>
          <w:lang w:val="en-US" w:eastAsia="zh-CN"/>
        </w:rPr>
        <w:t>,</w:t>
      </w:r>
      <w:r>
        <w:rPr>
          <w:rFonts w:hint="default" w:ascii="Times New Roman" w:hAnsi="Times New Roman" w:eastAsia="仿宋_GB2312" w:cs="Times New Roman"/>
          <w:color w:val="auto"/>
          <w:kern w:val="0"/>
          <w:sz w:val="30"/>
          <w:szCs w:val="30"/>
          <w:highlight w:val="none"/>
        </w:rPr>
        <w:t>包括但不限于以下材料：</w:t>
      </w:r>
    </w:p>
    <w:p>
      <w:pPr>
        <w:widowControl w:val="0"/>
        <w:wordWrap/>
        <w:adjustRightInd/>
        <w:snapToGrid/>
        <w:spacing w:line="480" w:lineRule="exact"/>
        <w:ind w:left="0" w:leftChars="0" w:right="0" w:firstLine="600" w:firstLineChars="200"/>
        <w:jc w:val="both"/>
        <w:textAlignment w:val="auto"/>
        <w:outlineLvl w:val="9"/>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1.企业营业执照复印件；</w:t>
      </w:r>
    </w:p>
    <w:p>
      <w:pPr>
        <w:widowControl w:val="0"/>
        <w:wordWrap/>
        <w:adjustRightInd/>
        <w:snapToGrid/>
        <w:spacing w:line="480" w:lineRule="exact"/>
        <w:ind w:left="0" w:leftChars="0" w:right="0" w:firstLine="600" w:firstLineChars="200"/>
        <w:jc w:val="both"/>
        <w:textAlignment w:val="auto"/>
        <w:outlineLvl w:val="9"/>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2.企业生产许可证复印件（适用时）；</w:t>
      </w:r>
    </w:p>
    <w:p>
      <w:pPr>
        <w:widowControl w:val="0"/>
        <w:wordWrap/>
        <w:adjustRightInd/>
        <w:snapToGrid/>
        <w:spacing w:line="480" w:lineRule="exact"/>
        <w:ind w:left="0" w:leftChars="0" w:right="0" w:firstLine="600" w:firstLineChars="200"/>
        <w:jc w:val="both"/>
        <w:textAlignment w:val="auto"/>
        <w:outlineLvl w:val="9"/>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3.CCC产品认证证书复印件（适用时）；</w:t>
      </w:r>
    </w:p>
    <w:p>
      <w:pPr>
        <w:widowControl w:val="0"/>
        <w:wordWrap/>
        <w:adjustRightInd/>
        <w:snapToGrid/>
        <w:spacing w:line="480" w:lineRule="exact"/>
        <w:ind w:left="0" w:leftChars="0" w:right="0" w:firstLine="600" w:firstLineChars="200"/>
        <w:jc w:val="both"/>
        <w:textAlignment w:val="auto"/>
        <w:outlineLvl w:val="9"/>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4.工厂建设批复文件复印件；</w:t>
      </w:r>
    </w:p>
    <w:p>
      <w:pPr>
        <w:widowControl w:val="0"/>
        <w:wordWrap/>
        <w:adjustRightInd/>
        <w:snapToGrid/>
        <w:spacing w:line="480" w:lineRule="exact"/>
        <w:ind w:left="0" w:leftChars="0" w:right="0" w:firstLine="600" w:firstLineChars="200"/>
        <w:jc w:val="both"/>
        <w:textAlignment w:val="auto"/>
        <w:outlineLvl w:val="9"/>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5.三同时验收文件复印件；</w:t>
      </w:r>
    </w:p>
    <w:p>
      <w:pPr>
        <w:widowControl w:val="0"/>
        <w:wordWrap/>
        <w:adjustRightInd/>
        <w:snapToGrid/>
        <w:spacing w:line="480" w:lineRule="exact"/>
        <w:ind w:left="0" w:leftChars="0" w:right="0" w:firstLine="600" w:firstLineChars="200"/>
        <w:jc w:val="both"/>
        <w:textAlignment w:val="auto"/>
        <w:outlineLvl w:val="9"/>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6.组织承诺或相关方要求及证据；</w:t>
      </w:r>
    </w:p>
    <w:p>
      <w:pPr>
        <w:widowControl w:val="0"/>
        <w:wordWrap/>
        <w:adjustRightInd/>
        <w:snapToGrid/>
        <w:spacing w:line="480" w:lineRule="exact"/>
        <w:ind w:left="0" w:leftChars="0" w:right="0" w:firstLine="600" w:firstLineChars="200"/>
        <w:jc w:val="both"/>
        <w:textAlignment w:val="auto"/>
        <w:outlineLvl w:val="9"/>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7.最高管理者承诺书（包括传达与资源）；</w:t>
      </w:r>
    </w:p>
    <w:p>
      <w:pPr>
        <w:widowControl w:val="0"/>
        <w:wordWrap/>
        <w:adjustRightInd/>
        <w:snapToGrid/>
        <w:spacing w:line="480" w:lineRule="exact"/>
        <w:ind w:left="0" w:leftChars="0" w:right="0" w:firstLine="600" w:firstLineChars="200"/>
        <w:jc w:val="both"/>
        <w:textAlignment w:val="auto"/>
        <w:outlineLvl w:val="9"/>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lang w:val="en-US" w:eastAsia="zh-CN"/>
        </w:rPr>
        <w:t>8</w:t>
      </w:r>
      <w:r>
        <w:rPr>
          <w:rFonts w:hint="default" w:ascii="Times New Roman" w:hAnsi="Times New Roman" w:eastAsia="仿宋_GB2312" w:cs="Times New Roman"/>
          <w:color w:val="auto"/>
          <w:sz w:val="30"/>
          <w:szCs w:val="30"/>
          <w:highlight w:val="none"/>
        </w:rPr>
        <w:t>.管理者代表授权书（包括4项职责）；</w:t>
      </w:r>
    </w:p>
    <w:p>
      <w:pPr>
        <w:widowControl w:val="0"/>
        <w:wordWrap/>
        <w:adjustRightInd/>
        <w:snapToGrid/>
        <w:spacing w:line="480" w:lineRule="exact"/>
        <w:ind w:left="0" w:leftChars="0" w:right="0" w:firstLine="600" w:firstLineChars="200"/>
        <w:jc w:val="both"/>
        <w:textAlignment w:val="auto"/>
        <w:outlineLvl w:val="9"/>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9.管理机构的组织及相关制度；</w:t>
      </w:r>
    </w:p>
    <w:p>
      <w:pPr>
        <w:widowControl w:val="0"/>
        <w:wordWrap/>
        <w:adjustRightInd/>
        <w:snapToGrid/>
        <w:spacing w:line="480" w:lineRule="exact"/>
        <w:ind w:left="0" w:leftChars="0" w:right="0" w:firstLine="600" w:firstLineChars="200"/>
        <w:jc w:val="both"/>
        <w:textAlignment w:val="auto"/>
        <w:outlineLvl w:val="9"/>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10.文件化的绿色工厂建设目标、指标、方案；</w:t>
      </w:r>
    </w:p>
    <w:p>
      <w:pPr>
        <w:widowControl w:val="0"/>
        <w:wordWrap/>
        <w:adjustRightInd/>
        <w:snapToGrid/>
        <w:spacing w:line="480" w:lineRule="exact"/>
        <w:ind w:left="0" w:leftChars="0" w:right="0" w:firstLine="600" w:firstLineChars="200"/>
        <w:jc w:val="both"/>
        <w:textAlignment w:val="auto"/>
        <w:outlineLvl w:val="9"/>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 xml:space="preserve">11.教育和培训记录; </w:t>
      </w:r>
    </w:p>
    <w:p>
      <w:pPr>
        <w:pStyle w:val="19"/>
        <w:widowControl w:val="0"/>
        <w:wordWrap/>
        <w:adjustRightInd/>
        <w:snapToGrid/>
        <w:spacing w:line="480" w:lineRule="exact"/>
        <w:ind w:left="0" w:leftChars="0" w:right="0" w:firstLine="600" w:firstLineChars="200"/>
        <w:jc w:val="both"/>
        <w:textAlignment w:val="auto"/>
        <w:outlineLvl w:val="9"/>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12.企业三年内安全、环保设备设施运行情况；</w:t>
      </w:r>
    </w:p>
    <w:p>
      <w:pPr>
        <w:pStyle w:val="19"/>
        <w:widowControl w:val="0"/>
        <w:wordWrap/>
        <w:adjustRightInd/>
        <w:snapToGrid/>
        <w:spacing w:line="480" w:lineRule="exact"/>
        <w:ind w:left="0" w:leftChars="0" w:right="0" w:firstLine="600" w:firstLineChars="200"/>
        <w:jc w:val="both"/>
        <w:textAlignment w:val="auto"/>
        <w:outlineLvl w:val="9"/>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13.相关管理体系认证证书；</w:t>
      </w:r>
    </w:p>
    <w:p>
      <w:pPr>
        <w:widowControl w:val="0"/>
        <w:wordWrap/>
        <w:adjustRightInd/>
        <w:snapToGrid/>
        <w:spacing w:line="480" w:lineRule="exact"/>
        <w:ind w:left="0" w:leftChars="0" w:right="0" w:firstLine="600" w:firstLineChars="200"/>
        <w:jc w:val="both"/>
        <w:textAlignment w:val="auto"/>
        <w:outlineLvl w:val="9"/>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14.厂房平面布置图（包括空间布局图、计量设备布置图，标明危险品仓库、有毒有害操作间、废弃物处理间位置）；</w:t>
      </w:r>
    </w:p>
    <w:p>
      <w:pPr>
        <w:widowControl w:val="0"/>
        <w:wordWrap/>
        <w:adjustRightInd/>
        <w:snapToGrid/>
        <w:spacing w:line="480" w:lineRule="exact"/>
        <w:ind w:left="0" w:leftChars="0" w:right="0" w:firstLine="600" w:firstLineChars="200"/>
        <w:jc w:val="both"/>
        <w:textAlignment w:val="auto"/>
        <w:outlineLvl w:val="9"/>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15.计量设备清单、用能设备清单、污染物处理设备清单、原材料清单等；</w:t>
      </w:r>
    </w:p>
    <w:p>
      <w:pPr>
        <w:pStyle w:val="19"/>
        <w:widowControl w:val="0"/>
        <w:wordWrap/>
        <w:adjustRightInd/>
        <w:snapToGrid/>
        <w:spacing w:line="480" w:lineRule="exact"/>
        <w:ind w:left="0" w:leftChars="0" w:right="0" w:firstLine="600" w:firstLineChars="200"/>
        <w:jc w:val="both"/>
        <w:textAlignment w:val="auto"/>
        <w:outlineLvl w:val="9"/>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16.合格供应商名录及其评价表、采购立项审批文件、程序文件、招投标文件等；</w:t>
      </w:r>
    </w:p>
    <w:p>
      <w:pPr>
        <w:pStyle w:val="19"/>
        <w:widowControl w:val="0"/>
        <w:wordWrap/>
        <w:adjustRightInd/>
        <w:snapToGrid/>
        <w:spacing w:line="480" w:lineRule="exact"/>
        <w:ind w:left="0" w:leftChars="0" w:right="0" w:firstLine="600" w:firstLineChars="200"/>
        <w:jc w:val="both"/>
        <w:textAlignment w:val="auto"/>
        <w:outlineLvl w:val="9"/>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17.已采用的余热利用、分布式供能、自然冷源、水循环利用、高效照明等技术的情况说明（包括技术说明、实施情况和现场照片）；</w:t>
      </w:r>
    </w:p>
    <w:p>
      <w:pPr>
        <w:pStyle w:val="19"/>
        <w:widowControl w:val="0"/>
        <w:wordWrap/>
        <w:adjustRightInd/>
        <w:snapToGrid/>
        <w:spacing w:line="480" w:lineRule="exact"/>
        <w:ind w:left="0" w:leftChars="0" w:right="0" w:firstLine="600" w:firstLineChars="200"/>
        <w:jc w:val="both"/>
        <w:textAlignment w:val="auto"/>
        <w:outlineLvl w:val="9"/>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18.能源消耗量、资源消耗量等绩效指标计算说明（包括使用的标准、计算边界、排放因数、计算过程等）；</w:t>
      </w:r>
    </w:p>
    <w:p>
      <w:pPr>
        <w:widowControl w:val="0"/>
        <w:wordWrap/>
        <w:adjustRightInd/>
        <w:snapToGrid/>
        <w:spacing w:line="480" w:lineRule="exact"/>
        <w:ind w:left="0" w:leftChars="0" w:right="0" w:firstLine="600" w:firstLineChars="200"/>
        <w:jc w:val="both"/>
        <w:textAlignment w:val="auto"/>
        <w:outlineLvl w:val="9"/>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19.申报工厂已获得的国家、地方、行业节能环保相关奖励证书等。</w:t>
      </w:r>
    </w:p>
    <w:p>
      <w:pPr>
        <w:pStyle w:val="6"/>
        <w:widowControl w:val="0"/>
        <w:wordWrap/>
        <w:adjustRightInd/>
        <w:snapToGrid/>
        <w:spacing w:after="0" w:line="480" w:lineRule="exact"/>
        <w:ind w:left="0" w:leftChars="0" w:right="0" w:firstLine="600" w:firstLineChars="200"/>
        <w:jc w:val="both"/>
        <w:textAlignment w:val="auto"/>
        <w:outlineLvl w:val="9"/>
        <w:rPr>
          <w:rFonts w:hint="default" w:ascii="Times New Roman" w:hAnsi="Times New Roman" w:eastAsia="仿宋_GB2312" w:cs="Times New Roman"/>
          <w:color w:val="auto"/>
          <w:sz w:val="30"/>
          <w:szCs w:val="30"/>
          <w:highlight w:val="none"/>
        </w:rPr>
      </w:pPr>
    </w:p>
    <w:p>
      <w:pPr>
        <w:pStyle w:val="6"/>
        <w:widowControl w:val="0"/>
        <w:wordWrap/>
        <w:adjustRightInd/>
        <w:snapToGrid/>
        <w:spacing w:after="0" w:line="480" w:lineRule="exact"/>
        <w:ind w:left="0" w:leftChars="0" w:right="0" w:firstLine="600" w:firstLineChars="200"/>
        <w:jc w:val="both"/>
        <w:textAlignment w:val="auto"/>
        <w:outlineLvl w:val="9"/>
        <w:rPr>
          <w:rFonts w:hint="default" w:ascii="Times New Roman" w:hAnsi="Times New Roman" w:eastAsia="仿宋_GB2312" w:cs="Times New Roman"/>
          <w:color w:val="auto"/>
          <w:sz w:val="30"/>
          <w:szCs w:val="30"/>
          <w:highlight w:val="none"/>
        </w:rPr>
      </w:pPr>
    </w:p>
    <w:p>
      <w:pPr>
        <w:widowControl w:val="0"/>
        <w:wordWrap/>
        <w:adjustRightInd/>
        <w:snapToGrid/>
        <w:spacing w:before="200" w:after="100" w:line="360" w:lineRule="auto"/>
        <w:textAlignment w:val="auto"/>
        <w:rPr>
          <w:rFonts w:hint="default" w:ascii="Times New Roman" w:hAnsi="Times New Roman" w:eastAsia="黑体" w:cs="Times New Roman"/>
          <w:bCs/>
          <w:color w:val="auto"/>
          <w:sz w:val="30"/>
          <w:szCs w:val="30"/>
          <w:highlight w:val="none"/>
          <w:lang w:val="en-US" w:eastAsia="zh-CN"/>
        </w:rPr>
      </w:pPr>
      <w:r>
        <w:rPr>
          <w:rFonts w:hint="default" w:ascii="Times New Roman" w:hAnsi="Times New Roman" w:eastAsia="黑体" w:cs="Times New Roman"/>
          <w:bCs/>
          <w:color w:val="auto"/>
          <w:sz w:val="30"/>
          <w:szCs w:val="30"/>
          <w:highlight w:val="none"/>
          <w:lang w:val="en-US" w:eastAsia="zh-CN"/>
        </w:rPr>
        <w:t>六、相关指标情况</w:t>
      </w:r>
    </w:p>
    <w:p>
      <w:pPr>
        <w:pStyle w:val="6"/>
        <w:widowControl w:val="0"/>
        <w:numPr>
          <w:numId w:val="0"/>
        </w:numPr>
        <w:wordWrap/>
        <w:adjustRightInd/>
        <w:snapToGrid/>
        <w:spacing w:after="0" w:line="360" w:lineRule="auto"/>
        <w:textAlignment w:val="auto"/>
        <w:rPr>
          <w:rFonts w:hint="default" w:ascii="Times New Roman" w:hAnsi="Times New Roman" w:eastAsia="仿宋_GB2312" w:cs="Times New Roman"/>
          <w:i w:val="0"/>
          <w:iCs w:val="0"/>
          <w:color w:val="auto"/>
          <w:sz w:val="30"/>
          <w:szCs w:val="30"/>
          <w:highlight w:val="none"/>
          <w:lang w:val="en-US" w:eastAsia="zh-CN"/>
        </w:rPr>
      </w:pPr>
      <w:r>
        <w:rPr>
          <w:rFonts w:hint="default" w:ascii="Times New Roman" w:hAnsi="Times New Roman" w:eastAsia="仿宋_GB2312" w:cs="Times New Roman"/>
          <w:i w:val="0"/>
          <w:iCs w:val="0"/>
          <w:color w:val="auto"/>
          <w:sz w:val="30"/>
          <w:szCs w:val="30"/>
          <w:highlight w:val="none"/>
          <w:lang w:val="en-US" w:eastAsia="zh-CN"/>
        </w:rPr>
        <w:t>1、经营指标</w:t>
      </w:r>
    </w:p>
    <w:tbl>
      <w:tblPr>
        <w:tblStyle w:val="14"/>
        <w:tblW w:w="8747" w:type="dxa"/>
        <w:tblInd w:w="-23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459"/>
        <w:gridCol w:w="1125"/>
        <w:gridCol w:w="1181"/>
        <w:gridCol w:w="1181"/>
        <w:gridCol w:w="1181"/>
        <w:gridCol w:w="16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245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b w:val="0"/>
                <w:bCs w:val="0"/>
                <w:i w:val="0"/>
                <w:iCs w:val="0"/>
                <w:color w:val="auto"/>
                <w:sz w:val="24"/>
                <w:szCs w:val="24"/>
                <w:highlight w:val="none"/>
                <w:u w:val="none"/>
              </w:rPr>
            </w:pPr>
            <w:r>
              <w:rPr>
                <w:rFonts w:hint="default" w:ascii="Times New Roman" w:hAnsi="Times New Roman" w:eastAsia="仿宋_GB2312" w:cs="Times New Roman"/>
                <w:b w:val="0"/>
                <w:bCs w:val="0"/>
                <w:i w:val="0"/>
                <w:iCs w:val="0"/>
                <w:color w:val="auto"/>
                <w:kern w:val="0"/>
                <w:sz w:val="24"/>
                <w:szCs w:val="24"/>
                <w:highlight w:val="none"/>
                <w:u w:val="none"/>
                <w:lang w:val="en-US" w:eastAsia="zh-CN"/>
              </w:rPr>
              <w:t>指标名称</w:t>
            </w:r>
          </w:p>
        </w:tc>
        <w:tc>
          <w:tcPr>
            <w:tcW w:w="11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b w:val="0"/>
                <w:bCs w:val="0"/>
                <w:i w:val="0"/>
                <w:iCs w:val="0"/>
                <w:color w:val="auto"/>
                <w:sz w:val="24"/>
                <w:szCs w:val="24"/>
                <w:highlight w:val="none"/>
                <w:u w:val="none"/>
                <w:lang w:val="en-US" w:eastAsia="zh-CN"/>
              </w:rPr>
            </w:pPr>
            <w:r>
              <w:rPr>
                <w:rFonts w:hint="default" w:ascii="Times New Roman" w:hAnsi="Times New Roman" w:eastAsia="仿宋_GB2312" w:cs="Times New Roman"/>
                <w:b w:val="0"/>
                <w:bCs w:val="0"/>
                <w:i w:val="0"/>
                <w:iCs w:val="0"/>
                <w:color w:val="auto"/>
                <w:sz w:val="24"/>
                <w:szCs w:val="24"/>
                <w:highlight w:val="none"/>
                <w:u w:val="none"/>
                <w:lang w:val="en-US" w:eastAsia="zh-CN"/>
              </w:rPr>
              <w:t>单位</w:t>
            </w:r>
          </w:p>
        </w:tc>
        <w:tc>
          <w:tcPr>
            <w:tcW w:w="118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b w:val="0"/>
                <w:bCs w:val="0"/>
                <w:i w:val="0"/>
                <w:iCs w:val="0"/>
                <w:color w:val="auto"/>
                <w:kern w:val="0"/>
                <w:sz w:val="24"/>
                <w:szCs w:val="24"/>
                <w:highlight w:val="none"/>
                <w:u w:val="none"/>
                <w:lang w:val="en-US" w:eastAsia="zh-CN"/>
              </w:rPr>
            </w:pPr>
            <w:r>
              <w:rPr>
                <w:rFonts w:hint="default" w:ascii="Times New Roman" w:hAnsi="Times New Roman" w:eastAsia="仿宋_GB2312" w:cs="Times New Roman"/>
                <w:b w:val="0"/>
                <w:bCs w:val="0"/>
                <w:i w:val="0"/>
                <w:iCs w:val="0"/>
                <w:color w:val="auto"/>
                <w:kern w:val="0"/>
                <w:sz w:val="24"/>
                <w:szCs w:val="24"/>
                <w:highlight w:val="none"/>
                <w:u w:val="none"/>
                <w:lang w:val="en-US" w:eastAsia="zh-CN"/>
              </w:rPr>
              <w:t>2021年</w:t>
            </w:r>
          </w:p>
        </w:tc>
        <w:tc>
          <w:tcPr>
            <w:tcW w:w="118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b w:val="0"/>
                <w:bCs w:val="0"/>
                <w:i w:val="0"/>
                <w:iCs w:val="0"/>
                <w:color w:val="auto"/>
                <w:sz w:val="24"/>
                <w:szCs w:val="24"/>
                <w:highlight w:val="none"/>
                <w:u w:val="none"/>
              </w:rPr>
            </w:pPr>
            <w:r>
              <w:rPr>
                <w:rFonts w:hint="default" w:ascii="Times New Roman" w:hAnsi="Times New Roman" w:eastAsia="仿宋_GB2312" w:cs="Times New Roman"/>
                <w:b w:val="0"/>
                <w:bCs w:val="0"/>
                <w:i w:val="0"/>
                <w:iCs w:val="0"/>
                <w:color w:val="auto"/>
                <w:kern w:val="0"/>
                <w:sz w:val="24"/>
                <w:szCs w:val="24"/>
                <w:highlight w:val="none"/>
                <w:u w:val="none"/>
                <w:lang w:val="en-US" w:eastAsia="zh-CN"/>
              </w:rPr>
              <w:t>2022年</w:t>
            </w:r>
          </w:p>
        </w:tc>
        <w:tc>
          <w:tcPr>
            <w:tcW w:w="118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b w:val="0"/>
                <w:bCs w:val="0"/>
                <w:i w:val="0"/>
                <w:iCs w:val="0"/>
                <w:color w:val="auto"/>
                <w:sz w:val="24"/>
                <w:szCs w:val="24"/>
                <w:highlight w:val="none"/>
                <w:u w:val="none"/>
              </w:rPr>
            </w:pPr>
            <w:r>
              <w:rPr>
                <w:rFonts w:hint="default" w:ascii="Times New Roman" w:hAnsi="Times New Roman" w:eastAsia="仿宋_GB2312" w:cs="Times New Roman"/>
                <w:b w:val="0"/>
                <w:bCs w:val="0"/>
                <w:i w:val="0"/>
                <w:iCs w:val="0"/>
                <w:color w:val="auto"/>
                <w:kern w:val="0"/>
                <w:sz w:val="24"/>
                <w:szCs w:val="24"/>
                <w:highlight w:val="none"/>
                <w:u w:val="none"/>
                <w:lang w:val="en-US" w:eastAsia="zh-CN"/>
              </w:rPr>
              <w:t>2023年</w:t>
            </w:r>
          </w:p>
        </w:tc>
        <w:tc>
          <w:tcPr>
            <w:tcW w:w="162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b w:val="0"/>
                <w:bCs w:val="0"/>
                <w:i w:val="0"/>
                <w:iCs w:val="0"/>
                <w:color w:val="auto"/>
                <w:kern w:val="0"/>
                <w:sz w:val="24"/>
                <w:szCs w:val="24"/>
                <w:highlight w:val="none"/>
                <w:u w:val="none"/>
                <w:lang w:val="en-US" w:eastAsia="zh-CN"/>
              </w:rPr>
            </w:pPr>
            <w:r>
              <w:rPr>
                <w:rFonts w:hint="default" w:ascii="Times New Roman" w:hAnsi="Times New Roman" w:eastAsia="仿宋_GB2312" w:cs="Times New Roman"/>
                <w:b w:val="0"/>
                <w:bCs w:val="0"/>
                <w:i w:val="0"/>
                <w:iCs w:val="0"/>
                <w:color w:val="auto"/>
                <w:kern w:val="0"/>
                <w:sz w:val="24"/>
                <w:szCs w:val="24"/>
                <w:highlight w:val="none"/>
                <w:u w:val="none"/>
                <w:lang w:val="en-US"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245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rPr>
              <w:t>营业收入</w:t>
            </w:r>
          </w:p>
        </w:tc>
        <w:tc>
          <w:tcPr>
            <w:tcW w:w="1125"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lang w:val="en-US" w:eastAsia="zh-CN"/>
              </w:rPr>
            </w:pPr>
            <w:r>
              <w:rPr>
                <w:rFonts w:hint="default" w:ascii="Times New Roman" w:hAnsi="Times New Roman" w:eastAsia="仿宋_GB2312" w:cs="Times New Roman"/>
                <w:i w:val="0"/>
                <w:iCs w:val="0"/>
                <w:color w:val="auto"/>
                <w:sz w:val="24"/>
                <w:szCs w:val="24"/>
                <w:highlight w:val="none"/>
                <w:u w:val="none"/>
                <w:lang w:val="en-US" w:eastAsia="zh-CN"/>
              </w:rPr>
              <w:t>万元</w:t>
            </w:r>
          </w:p>
        </w:tc>
        <w:tc>
          <w:tcPr>
            <w:tcW w:w="1181"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181"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181"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20"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245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rPr>
              <w:t>产值</w:t>
            </w:r>
          </w:p>
        </w:tc>
        <w:tc>
          <w:tcPr>
            <w:tcW w:w="1125"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sz w:val="24"/>
                <w:szCs w:val="24"/>
                <w:highlight w:val="none"/>
                <w:u w:val="none"/>
                <w:lang w:val="en-US" w:eastAsia="zh-CN"/>
              </w:rPr>
              <w:t>万元</w:t>
            </w:r>
          </w:p>
        </w:tc>
        <w:tc>
          <w:tcPr>
            <w:tcW w:w="1181"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181"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181"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20"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245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rPr>
              <w:t>资产总额</w:t>
            </w:r>
          </w:p>
        </w:tc>
        <w:tc>
          <w:tcPr>
            <w:tcW w:w="1125"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sz w:val="24"/>
                <w:szCs w:val="24"/>
                <w:highlight w:val="none"/>
                <w:u w:val="none"/>
                <w:lang w:val="en-US" w:eastAsia="zh-CN"/>
              </w:rPr>
              <w:t>万元</w:t>
            </w:r>
          </w:p>
        </w:tc>
        <w:tc>
          <w:tcPr>
            <w:tcW w:w="1181"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181"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181"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20"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245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用工人数</w:t>
            </w:r>
          </w:p>
        </w:tc>
        <w:tc>
          <w:tcPr>
            <w:tcW w:w="1125"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sz w:val="24"/>
                <w:szCs w:val="24"/>
                <w:highlight w:val="none"/>
                <w:u w:val="none"/>
                <w:lang w:val="en-US" w:eastAsia="zh-CN"/>
              </w:rPr>
              <w:t>人</w:t>
            </w:r>
          </w:p>
        </w:tc>
        <w:tc>
          <w:tcPr>
            <w:tcW w:w="1181"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181"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181"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20"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245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纳税总额</w:t>
            </w:r>
          </w:p>
        </w:tc>
        <w:tc>
          <w:tcPr>
            <w:tcW w:w="1125"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sz w:val="24"/>
                <w:szCs w:val="24"/>
                <w:highlight w:val="none"/>
                <w:u w:val="none"/>
                <w:lang w:val="en-US" w:eastAsia="zh-CN"/>
              </w:rPr>
              <w:t>万元</w:t>
            </w:r>
          </w:p>
        </w:tc>
        <w:tc>
          <w:tcPr>
            <w:tcW w:w="1181"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181"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181"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20"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245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2"/>
                <w:sz w:val="24"/>
                <w:szCs w:val="24"/>
                <w:highlight w:val="none"/>
                <w:u w:val="none"/>
                <w:lang w:val="en-US" w:eastAsia="zh-CN" w:bidi="ar-SA"/>
              </w:rPr>
            </w:pPr>
            <w:r>
              <w:rPr>
                <w:rFonts w:hint="default" w:ascii="Times New Roman" w:hAnsi="Times New Roman" w:eastAsia="仿宋_GB2312" w:cs="Times New Roman"/>
                <w:i w:val="0"/>
                <w:iCs w:val="0"/>
                <w:color w:val="auto"/>
                <w:sz w:val="24"/>
                <w:szCs w:val="24"/>
                <w:highlight w:val="none"/>
                <w:u w:val="none"/>
                <w:lang w:val="en-US" w:eastAsia="zh-CN"/>
              </w:rPr>
              <w:t>主要产品名称及产量</w:t>
            </w:r>
          </w:p>
        </w:tc>
        <w:tc>
          <w:tcPr>
            <w:tcW w:w="1125"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c>
          <w:tcPr>
            <w:tcW w:w="1181"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c>
          <w:tcPr>
            <w:tcW w:w="1181"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c>
          <w:tcPr>
            <w:tcW w:w="1181"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c>
          <w:tcPr>
            <w:tcW w:w="1620"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245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w:t>
            </w:r>
          </w:p>
        </w:tc>
        <w:tc>
          <w:tcPr>
            <w:tcW w:w="1125"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c>
          <w:tcPr>
            <w:tcW w:w="1181"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c>
          <w:tcPr>
            <w:tcW w:w="1181"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c>
          <w:tcPr>
            <w:tcW w:w="1181"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c>
          <w:tcPr>
            <w:tcW w:w="1620"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245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w:t>
            </w:r>
          </w:p>
        </w:tc>
        <w:tc>
          <w:tcPr>
            <w:tcW w:w="1125"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c>
          <w:tcPr>
            <w:tcW w:w="1181"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c>
          <w:tcPr>
            <w:tcW w:w="1181"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c>
          <w:tcPr>
            <w:tcW w:w="1181"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c>
          <w:tcPr>
            <w:tcW w:w="1620"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r>
    </w:tbl>
    <w:p>
      <w:pPr>
        <w:widowControl/>
        <w:wordWrap/>
        <w:adjustRightInd/>
        <w:snapToGrid/>
        <w:spacing w:line="200" w:lineRule="exact"/>
        <w:jc w:val="left"/>
        <w:textAlignment w:val="auto"/>
        <w:rPr>
          <w:rFonts w:hint="default" w:ascii="Times New Roman" w:hAnsi="Times New Roman" w:eastAsia="仿宋_GB2312" w:cs="Times New Roman"/>
          <w:i w:val="0"/>
          <w:iCs w:val="0"/>
          <w:color w:val="auto"/>
          <w:sz w:val="30"/>
          <w:szCs w:val="30"/>
          <w:highlight w:val="none"/>
          <w:lang w:eastAsia="zh-CN"/>
        </w:rPr>
      </w:pPr>
    </w:p>
    <w:p>
      <w:pPr>
        <w:widowControl/>
        <w:jc w:val="left"/>
        <w:rPr>
          <w:rFonts w:hint="default" w:ascii="Times New Roman" w:hAnsi="Times New Roman" w:eastAsia="仿宋_GB2312" w:cs="Times New Roman"/>
          <w:i/>
          <w:iCs/>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val="en-US" w:eastAsia="zh-CN"/>
        </w:rPr>
        <w:t>注：</w:t>
      </w:r>
      <w:r>
        <w:rPr>
          <w:rFonts w:hint="default" w:ascii="Times New Roman" w:hAnsi="Times New Roman" w:eastAsia="仿宋_GB2312" w:cs="Times New Roman"/>
          <w:i w:val="0"/>
          <w:iCs w:val="0"/>
          <w:color w:val="auto"/>
          <w:sz w:val="24"/>
          <w:szCs w:val="24"/>
          <w:highlight w:val="none"/>
          <w:lang w:val="en-US" w:eastAsia="zh-CN"/>
        </w:rPr>
        <w:t>若有多种产品请分别列出。</w:t>
      </w:r>
    </w:p>
    <w:p>
      <w:pPr>
        <w:widowControl/>
        <w:jc w:val="left"/>
        <w:rPr>
          <w:rFonts w:hint="default" w:ascii="Times New Roman" w:hAnsi="Times New Roman" w:eastAsia="仿宋_GB2312" w:cs="Times New Roman"/>
          <w:color w:val="auto"/>
          <w:sz w:val="24"/>
          <w:szCs w:val="20"/>
          <w:highlight w:val="none"/>
          <w:lang w:val="en-US" w:eastAsia="zh-CN"/>
        </w:rPr>
      </w:pPr>
    </w:p>
    <w:p>
      <w:pPr>
        <w:widowControl/>
        <w:jc w:val="left"/>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30"/>
          <w:szCs w:val="30"/>
          <w:highlight w:val="none"/>
          <w:lang w:val="en-US" w:eastAsia="zh-CN"/>
        </w:rPr>
        <w:t>2、主要能源、资源消耗</w:t>
      </w:r>
    </w:p>
    <w:tbl>
      <w:tblPr>
        <w:tblStyle w:val="14"/>
        <w:tblW w:w="8770" w:type="dxa"/>
        <w:tblInd w:w="-26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096"/>
        <w:gridCol w:w="1500"/>
        <w:gridCol w:w="1191"/>
        <w:gridCol w:w="1147"/>
        <w:gridCol w:w="1235"/>
        <w:gridCol w:w="1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209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b w:val="0"/>
                <w:bCs w:val="0"/>
                <w:i w:val="0"/>
                <w:iCs w:val="0"/>
                <w:color w:val="auto"/>
                <w:sz w:val="24"/>
                <w:szCs w:val="24"/>
                <w:highlight w:val="none"/>
                <w:u w:val="none"/>
                <w:lang w:val="en-US" w:eastAsia="zh-CN"/>
              </w:rPr>
            </w:pPr>
            <w:r>
              <w:rPr>
                <w:rFonts w:hint="default" w:ascii="Times New Roman" w:hAnsi="Times New Roman" w:eastAsia="仿宋_GB2312" w:cs="Times New Roman"/>
                <w:b w:val="0"/>
                <w:bCs w:val="0"/>
                <w:i w:val="0"/>
                <w:iCs w:val="0"/>
                <w:color w:val="auto"/>
                <w:sz w:val="24"/>
                <w:szCs w:val="24"/>
                <w:highlight w:val="none"/>
                <w:u w:val="none"/>
                <w:lang w:val="en-US" w:eastAsia="zh-CN"/>
              </w:rPr>
              <w:t>能源种类</w:t>
            </w:r>
          </w:p>
        </w:tc>
        <w:tc>
          <w:tcPr>
            <w:tcW w:w="1500"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b w:val="0"/>
                <w:bCs w:val="0"/>
                <w:i w:val="0"/>
                <w:iCs w:val="0"/>
                <w:color w:val="auto"/>
                <w:sz w:val="24"/>
                <w:szCs w:val="24"/>
                <w:highlight w:val="none"/>
                <w:u w:val="none"/>
                <w:lang w:val="en-US" w:eastAsia="zh-CN"/>
              </w:rPr>
            </w:pPr>
            <w:r>
              <w:rPr>
                <w:rFonts w:hint="default" w:ascii="Times New Roman" w:hAnsi="Times New Roman" w:eastAsia="仿宋_GB2312" w:cs="Times New Roman"/>
                <w:b w:val="0"/>
                <w:bCs w:val="0"/>
                <w:i w:val="0"/>
                <w:iCs w:val="0"/>
                <w:color w:val="auto"/>
                <w:sz w:val="24"/>
                <w:szCs w:val="24"/>
                <w:highlight w:val="none"/>
                <w:u w:val="none"/>
                <w:lang w:val="en-US" w:eastAsia="zh-CN"/>
              </w:rPr>
              <w:t>单位</w:t>
            </w:r>
          </w:p>
        </w:tc>
        <w:tc>
          <w:tcPr>
            <w:tcW w:w="11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b w:val="0"/>
                <w:bCs w:val="0"/>
                <w:i w:val="0"/>
                <w:iCs w:val="0"/>
                <w:color w:val="auto"/>
                <w:sz w:val="24"/>
                <w:szCs w:val="24"/>
                <w:highlight w:val="none"/>
                <w:u w:val="none"/>
                <w:lang w:val="en-US"/>
              </w:rPr>
            </w:pPr>
            <w:r>
              <w:rPr>
                <w:rFonts w:hint="default" w:ascii="Times New Roman" w:hAnsi="Times New Roman" w:eastAsia="仿宋_GB2312" w:cs="Times New Roman"/>
                <w:b w:val="0"/>
                <w:bCs w:val="0"/>
                <w:i w:val="0"/>
                <w:iCs w:val="0"/>
                <w:color w:val="auto"/>
                <w:kern w:val="0"/>
                <w:sz w:val="24"/>
                <w:szCs w:val="24"/>
                <w:highlight w:val="none"/>
                <w:u w:val="none"/>
                <w:lang w:val="en-US" w:eastAsia="zh-CN"/>
              </w:rPr>
              <w:t>2021年</w:t>
            </w:r>
          </w:p>
        </w:tc>
        <w:tc>
          <w:tcPr>
            <w:tcW w:w="114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b w:val="0"/>
                <w:bCs w:val="0"/>
                <w:i w:val="0"/>
                <w:iCs w:val="0"/>
                <w:color w:val="auto"/>
                <w:sz w:val="24"/>
                <w:szCs w:val="24"/>
                <w:highlight w:val="none"/>
                <w:u w:val="none"/>
              </w:rPr>
            </w:pPr>
            <w:r>
              <w:rPr>
                <w:rFonts w:hint="default" w:ascii="Times New Roman" w:hAnsi="Times New Roman" w:eastAsia="仿宋_GB2312" w:cs="Times New Roman"/>
                <w:b w:val="0"/>
                <w:bCs w:val="0"/>
                <w:i w:val="0"/>
                <w:iCs w:val="0"/>
                <w:color w:val="auto"/>
                <w:kern w:val="0"/>
                <w:sz w:val="24"/>
                <w:szCs w:val="24"/>
                <w:highlight w:val="none"/>
                <w:u w:val="none"/>
                <w:lang w:val="en-US" w:eastAsia="zh-CN"/>
              </w:rPr>
              <w:t>2022年</w:t>
            </w:r>
          </w:p>
        </w:tc>
        <w:tc>
          <w:tcPr>
            <w:tcW w:w="12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b w:val="0"/>
                <w:bCs w:val="0"/>
                <w:i w:val="0"/>
                <w:iCs w:val="0"/>
                <w:color w:val="auto"/>
                <w:sz w:val="24"/>
                <w:szCs w:val="24"/>
                <w:highlight w:val="none"/>
                <w:u w:val="none"/>
              </w:rPr>
            </w:pPr>
            <w:r>
              <w:rPr>
                <w:rFonts w:hint="default" w:ascii="Times New Roman" w:hAnsi="Times New Roman" w:eastAsia="仿宋_GB2312" w:cs="Times New Roman"/>
                <w:b w:val="0"/>
                <w:bCs w:val="0"/>
                <w:i w:val="0"/>
                <w:iCs w:val="0"/>
                <w:color w:val="auto"/>
                <w:kern w:val="0"/>
                <w:sz w:val="24"/>
                <w:szCs w:val="24"/>
                <w:highlight w:val="none"/>
                <w:u w:val="none"/>
                <w:lang w:val="en-US" w:eastAsia="zh-CN"/>
              </w:rPr>
              <w:t>2023年</w:t>
            </w:r>
          </w:p>
        </w:tc>
        <w:tc>
          <w:tcPr>
            <w:tcW w:w="160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b w:val="0"/>
                <w:bCs w:val="0"/>
                <w:i w:val="0"/>
                <w:iCs w:val="0"/>
                <w:color w:val="auto"/>
                <w:kern w:val="0"/>
                <w:sz w:val="24"/>
                <w:szCs w:val="24"/>
                <w:highlight w:val="none"/>
                <w:u w:val="none"/>
                <w:lang w:val="en-US" w:eastAsia="zh-CN"/>
              </w:rPr>
            </w:pPr>
            <w:r>
              <w:rPr>
                <w:rFonts w:hint="default" w:ascii="Times New Roman" w:hAnsi="Times New Roman" w:eastAsia="仿宋_GB2312" w:cs="Times New Roman"/>
                <w:b w:val="0"/>
                <w:bCs w:val="0"/>
                <w:i w:val="0"/>
                <w:iCs w:val="0"/>
                <w:color w:val="auto"/>
                <w:kern w:val="0"/>
                <w:sz w:val="24"/>
                <w:szCs w:val="24"/>
                <w:highlight w:val="none"/>
                <w:u w:val="none"/>
                <w:lang w:val="en-US"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209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lang w:val="en-US" w:eastAsia="zh-CN"/>
              </w:rPr>
            </w:pPr>
            <w:r>
              <w:rPr>
                <w:rFonts w:hint="default" w:ascii="Times New Roman" w:hAnsi="Times New Roman" w:eastAsia="仿宋_GB2312" w:cs="Times New Roman"/>
                <w:i w:val="0"/>
                <w:iCs w:val="0"/>
                <w:color w:val="auto"/>
                <w:sz w:val="24"/>
                <w:szCs w:val="24"/>
                <w:highlight w:val="none"/>
                <w:u w:val="none"/>
                <w:lang w:val="en-US" w:eastAsia="zh-CN"/>
              </w:rPr>
              <w:t>新鲜水</w:t>
            </w:r>
          </w:p>
        </w:tc>
        <w:tc>
          <w:tcPr>
            <w:tcW w:w="1500"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lang w:val="en-US" w:eastAsia="zh-CN"/>
              </w:rPr>
            </w:pPr>
            <w:r>
              <w:rPr>
                <w:rFonts w:hint="default" w:ascii="Times New Roman" w:hAnsi="Times New Roman" w:eastAsia="仿宋_GB2312" w:cs="Times New Roman"/>
                <w:i w:val="0"/>
                <w:iCs w:val="0"/>
                <w:color w:val="auto"/>
                <w:sz w:val="24"/>
                <w:szCs w:val="24"/>
                <w:highlight w:val="none"/>
                <w:u w:val="none"/>
                <w:lang w:val="en-US" w:eastAsia="zh-CN"/>
              </w:rPr>
              <w:t>万吨</w:t>
            </w:r>
          </w:p>
        </w:tc>
        <w:tc>
          <w:tcPr>
            <w:tcW w:w="11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sz w:val="24"/>
                <w:szCs w:val="24"/>
                <w:highlight w:val="none"/>
                <w:u w:val="none"/>
              </w:rPr>
            </w:pPr>
          </w:p>
        </w:tc>
        <w:tc>
          <w:tcPr>
            <w:tcW w:w="114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sz w:val="24"/>
                <w:szCs w:val="24"/>
                <w:highlight w:val="none"/>
                <w:u w:val="none"/>
              </w:rPr>
            </w:pPr>
          </w:p>
        </w:tc>
        <w:tc>
          <w:tcPr>
            <w:tcW w:w="12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sz w:val="24"/>
                <w:szCs w:val="24"/>
                <w:highlight w:val="none"/>
                <w:u w:val="none"/>
              </w:rPr>
            </w:pPr>
          </w:p>
        </w:tc>
        <w:tc>
          <w:tcPr>
            <w:tcW w:w="160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209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lang w:val="en-US" w:eastAsia="zh-CN"/>
              </w:rPr>
            </w:pPr>
            <w:r>
              <w:rPr>
                <w:rFonts w:hint="default" w:ascii="Times New Roman" w:hAnsi="Times New Roman" w:eastAsia="仿宋_GB2312" w:cs="Times New Roman"/>
                <w:i w:val="0"/>
                <w:iCs w:val="0"/>
                <w:color w:val="auto"/>
                <w:sz w:val="24"/>
                <w:szCs w:val="24"/>
                <w:highlight w:val="none"/>
                <w:u w:val="none"/>
                <w:lang w:val="en-US" w:eastAsia="zh-CN"/>
              </w:rPr>
              <w:t>电力</w:t>
            </w:r>
          </w:p>
        </w:tc>
        <w:tc>
          <w:tcPr>
            <w:tcW w:w="1500"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lang w:val="en-US" w:eastAsia="zh-CN"/>
              </w:rPr>
            </w:pPr>
            <w:r>
              <w:rPr>
                <w:rFonts w:hint="default" w:ascii="Times New Roman" w:hAnsi="Times New Roman" w:eastAsia="仿宋_GB2312" w:cs="Times New Roman"/>
                <w:i w:val="0"/>
                <w:iCs w:val="0"/>
                <w:color w:val="auto"/>
                <w:sz w:val="24"/>
                <w:szCs w:val="24"/>
                <w:highlight w:val="none"/>
                <w:u w:val="none"/>
                <w:lang w:val="en-US" w:eastAsia="zh-CN"/>
              </w:rPr>
              <w:t>万千瓦时</w:t>
            </w:r>
          </w:p>
        </w:tc>
        <w:tc>
          <w:tcPr>
            <w:tcW w:w="1191"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147"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235"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01"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209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lang w:val="en-US" w:eastAsia="zh-CN"/>
              </w:rPr>
            </w:pPr>
            <w:r>
              <w:rPr>
                <w:rFonts w:hint="default" w:ascii="Times New Roman" w:hAnsi="Times New Roman" w:eastAsia="仿宋_GB2312" w:cs="Times New Roman"/>
                <w:i w:val="0"/>
                <w:iCs w:val="0"/>
                <w:color w:val="auto"/>
                <w:sz w:val="24"/>
                <w:szCs w:val="24"/>
                <w:highlight w:val="none"/>
                <w:u w:val="none"/>
                <w:lang w:val="en-US" w:eastAsia="zh-CN"/>
              </w:rPr>
              <w:t>天然气</w:t>
            </w:r>
          </w:p>
        </w:tc>
        <w:tc>
          <w:tcPr>
            <w:tcW w:w="1500"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lang w:val="en-US"/>
              </w:rPr>
            </w:pPr>
            <w:r>
              <w:rPr>
                <w:rFonts w:hint="default" w:ascii="Times New Roman" w:hAnsi="Times New Roman" w:eastAsia="仿宋_GB2312" w:cs="Times New Roman"/>
                <w:i w:val="0"/>
                <w:iCs w:val="0"/>
                <w:color w:val="auto"/>
                <w:sz w:val="24"/>
                <w:szCs w:val="24"/>
                <w:highlight w:val="none"/>
                <w:u w:val="none"/>
                <w:lang w:val="en-US" w:eastAsia="zh-CN"/>
              </w:rPr>
              <w:t>万立方米</w:t>
            </w:r>
          </w:p>
        </w:tc>
        <w:tc>
          <w:tcPr>
            <w:tcW w:w="1191"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147"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235"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01"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209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lang w:val="en-US" w:eastAsia="zh-CN"/>
              </w:rPr>
            </w:pPr>
            <w:r>
              <w:rPr>
                <w:rFonts w:hint="default" w:ascii="Times New Roman" w:hAnsi="Times New Roman" w:eastAsia="仿宋_GB2312" w:cs="Times New Roman"/>
                <w:i w:val="0"/>
                <w:iCs w:val="0"/>
                <w:color w:val="auto"/>
                <w:sz w:val="24"/>
                <w:szCs w:val="24"/>
                <w:highlight w:val="none"/>
                <w:u w:val="none"/>
                <w:lang w:val="en-US" w:eastAsia="zh-CN"/>
              </w:rPr>
              <w:t>柴油</w:t>
            </w:r>
          </w:p>
        </w:tc>
        <w:tc>
          <w:tcPr>
            <w:tcW w:w="1500"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lang w:val="en-US" w:eastAsia="zh-CN"/>
              </w:rPr>
            </w:pPr>
            <w:r>
              <w:rPr>
                <w:rFonts w:hint="default" w:ascii="Times New Roman" w:hAnsi="Times New Roman" w:eastAsia="仿宋_GB2312" w:cs="Times New Roman"/>
                <w:i w:val="0"/>
                <w:iCs w:val="0"/>
                <w:color w:val="auto"/>
                <w:sz w:val="24"/>
                <w:szCs w:val="24"/>
                <w:highlight w:val="none"/>
                <w:u w:val="none"/>
                <w:lang w:val="en-US" w:eastAsia="zh-CN"/>
              </w:rPr>
              <w:t>吨</w:t>
            </w:r>
          </w:p>
        </w:tc>
        <w:tc>
          <w:tcPr>
            <w:tcW w:w="1191"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147"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235"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01"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209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2"/>
                <w:sz w:val="24"/>
                <w:szCs w:val="24"/>
                <w:highlight w:val="none"/>
                <w:u w:val="none"/>
                <w:lang w:val="en-US" w:eastAsia="zh-CN" w:bidi="ar-SA"/>
              </w:rPr>
            </w:pPr>
            <w:r>
              <w:rPr>
                <w:rFonts w:hint="default" w:ascii="Times New Roman" w:hAnsi="Times New Roman" w:eastAsia="仿宋_GB2312" w:cs="Times New Roman"/>
                <w:i w:val="0"/>
                <w:iCs w:val="0"/>
                <w:color w:val="auto"/>
                <w:kern w:val="0"/>
                <w:sz w:val="24"/>
                <w:szCs w:val="24"/>
                <w:highlight w:val="none"/>
                <w:u w:val="none"/>
                <w:lang w:val="en-US" w:eastAsia="zh-CN"/>
              </w:rPr>
              <w:t>...</w:t>
            </w:r>
          </w:p>
        </w:tc>
        <w:tc>
          <w:tcPr>
            <w:tcW w:w="1191"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c>
          <w:tcPr>
            <w:tcW w:w="1147"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c>
          <w:tcPr>
            <w:tcW w:w="1235"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c>
          <w:tcPr>
            <w:tcW w:w="1601"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209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2"/>
                <w:sz w:val="24"/>
                <w:szCs w:val="24"/>
                <w:highlight w:val="none"/>
                <w:u w:val="none"/>
                <w:lang w:val="en-US" w:eastAsia="zh-CN" w:bidi="ar-SA"/>
              </w:rPr>
            </w:pPr>
            <w:r>
              <w:rPr>
                <w:rFonts w:hint="default" w:ascii="Times New Roman" w:hAnsi="Times New Roman" w:eastAsia="仿宋_GB2312" w:cs="Times New Roman"/>
                <w:i w:val="0"/>
                <w:iCs w:val="0"/>
                <w:color w:val="auto"/>
                <w:kern w:val="0"/>
                <w:sz w:val="24"/>
                <w:szCs w:val="24"/>
                <w:highlight w:val="none"/>
                <w:u w:val="none"/>
                <w:lang w:val="en-US" w:eastAsia="zh-CN"/>
              </w:rPr>
              <w:t>...</w:t>
            </w:r>
          </w:p>
        </w:tc>
        <w:tc>
          <w:tcPr>
            <w:tcW w:w="1191"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c>
          <w:tcPr>
            <w:tcW w:w="1147"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c>
          <w:tcPr>
            <w:tcW w:w="1235"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c>
          <w:tcPr>
            <w:tcW w:w="1601"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lang w:val="en-US" w:eastAsia="zh-CN"/>
              </w:rPr>
            </w:pPr>
          </w:p>
        </w:tc>
      </w:tr>
    </w:tbl>
    <w:p>
      <w:pPr>
        <w:widowControl/>
        <w:jc w:val="left"/>
        <w:rPr>
          <w:rFonts w:hint="default" w:ascii="Times New Roman" w:hAnsi="Times New Roman" w:eastAsia="仿宋_GB2312" w:cs="Times New Roman"/>
          <w:color w:val="auto"/>
          <w:sz w:val="24"/>
          <w:szCs w:val="24"/>
          <w:highlight w:val="none"/>
          <w:lang w:val="en-US" w:eastAsia="zh-CN"/>
        </w:rPr>
      </w:pPr>
    </w:p>
    <w:p>
      <w:pPr>
        <w:widowControl/>
        <w:jc w:val="left"/>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val="en-US" w:eastAsia="zh-CN"/>
        </w:rPr>
        <w:t>注：若有其他主要能源、资源种类请分别列出。</w:t>
      </w:r>
    </w:p>
    <w:p>
      <w:pPr>
        <w:pStyle w:val="2"/>
        <w:rPr>
          <w:rFonts w:hint="default" w:ascii="Times New Roman" w:hAnsi="Times New Roman" w:cs="Times New Roman"/>
          <w:color w:val="auto"/>
          <w:highlight w:val="none"/>
          <w:lang w:val="en-US" w:eastAsia="zh-CN"/>
        </w:rPr>
      </w:pPr>
    </w:p>
    <w:p>
      <w:pPr>
        <w:pStyle w:val="2"/>
        <w:rPr>
          <w:rFonts w:hint="default" w:ascii="Times New Roman" w:hAnsi="Times New Roman" w:cs="Times New Roman"/>
          <w:color w:val="auto"/>
          <w:highlight w:val="none"/>
          <w:lang w:val="en-US" w:eastAsia="zh-CN"/>
        </w:rPr>
      </w:pPr>
    </w:p>
    <w:p>
      <w:pPr>
        <w:pStyle w:val="2"/>
        <w:rPr>
          <w:rFonts w:hint="default" w:ascii="Times New Roman" w:hAnsi="Times New Roman" w:cs="Times New Roman"/>
          <w:color w:val="auto"/>
          <w:highlight w:val="none"/>
          <w:lang w:val="en-US" w:eastAsia="zh-CN"/>
        </w:rPr>
      </w:pPr>
    </w:p>
    <w:p>
      <w:pPr>
        <w:widowControl/>
        <w:numPr>
          <w:numId w:val="0"/>
        </w:numPr>
        <w:ind w:firstLine="300" w:firstLineChars="100"/>
        <w:jc w:val="left"/>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3、技术指标</w:t>
      </w:r>
    </w:p>
    <w:tbl>
      <w:tblPr>
        <w:tblStyle w:val="14"/>
        <w:tblW w:w="867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41"/>
        <w:gridCol w:w="2908"/>
        <w:gridCol w:w="1194"/>
        <w:gridCol w:w="1186"/>
        <w:gridCol w:w="16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blHeader/>
          <w:jc w:val="center"/>
        </w:trPr>
        <w:tc>
          <w:tcPr>
            <w:tcW w:w="4649"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b w:val="0"/>
                <w:bCs w:val="0"/>
                <w:i w:val="0"/>
                <w:iCs w:val="0"/>
                <w:color w:val="auto"/>
                <w:kern w:val="0"/>
                <w:sz w:val="24"/>
                <w:szCs w:val="24"/>
                <w:highlight w:val="none"/>
                <w:u w:val="none"/>
                <w:lang w:val="en-US" w:eastAsia="zh-CN"/>
              </w:rPr>
            </w:pPr>
            <w:r>
              <w:rPr>
                <w:rFonts w:hint="default" w:ascii="Times New Roman" w:hAnsi="Times New Roman" w:eastAsia="仿宋_GB2312" w:cs="Times New Roman"/>
                <w:b w:val="0"/>
                <w:bCs w:val="0"/>
                <w:i w:val="0"/>
                <w:iCs w:val="0"/>
                <w:color w:val="auto"/>
                <w:kern w:val="0"/>
                <w:sz w:val="24"/>
                <w:szCs w:val="24"/>
                <w:highlight w:val="none"/>
                <w:u w:val="none"/>
                <w:lang w:val="en-US" w:eastAsia="zh-CN"/>
              </w:rPr>
              <w:t>指标名称</w:t>
            </w:r>
          </w:p>
        </w:tc>
        <w:tc>
          <w:tcPr>
            <w:tcW w:w="1194"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b w:val="0"/>
                <w:bCs w:val="0"/>
                <w:i w:val="0"/>
                <w:iCs w:val="0"/>
                <w:color w:val="auto"/>
                <w:sz w:val="24"/>
                <w:szCs w:val="24"/>
                <w:highlight w:val="none"/>
                <w:u w:val="none"/>
                <w:lang w:val="en-US" w:eastAsia="zh-CN"/>
              </w:rPr>
            </w:pPr>
            <w:r>
              <w:rPr>
                <w:rFonts w:hint="default" w:ascii="Times New Roman" w:hAnsi="Times New Roman" w:eastAsia="仿宋_GB2312" w:cs="Times New Roman"/>
                <w:b w:val="0"/>
                <w:bCs w:val="0"/>
                <w:i w:val="0"/>
                <w:iCs w:val="0"/>
                <w:color w:val="auto"/>
                <w:sz w:val="24"/>
                <w:szCs w:val="24"/>
                <w:highlight w:val="none"/>
                <w:u w:val="none"/>
                <w:lang w:val="en-US" w:eastAsia="zh-CN"/>
              </w:rPr>
              <w:t>单位</w:t>
            </w:r>
          </w:p>
        </w:tc>
        <w:tc>
          <w:tcPr>
            <w:tcW w:w="118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b w:val="0"/>
                <w:bCs w:val="0"/>
                <w:i w:val="0"/>
                <w:iCs w:val="0"/>
                <w:color w:val="auto"/>
                <w:sz w:val="24"/>
                <w:szCs w:val="24"/>
                <w:highlight w:val="none"/>
                <w:u w:val="none"/>
                <w:lang w:val="en-US" w:eastAsia="zh-CN"/>
              </w:rPr>
            </w:pPr>
            <w:r>
              <w:rPr>
                <w:rFonts w:hint="default" w:ascii="Times New Roman" w:hAnsi="Times New Roman" w:eastAsia="仿宋_GB2312" w:cs="Times New Roman"/>
                <w:b w:val="0"/>
                <w:bCs w:val="0"/>
                <w:i w:val="0"/>
                <w:iCs w:val="0"/>
                <w:color w:val="auto"/>
                <w:sz w:val="24"/>
                <w:szCs w:val="24"/>
                <w:highlight w:val="none"/>
                <w:u w:val="none"/>
                <w:lang w:val="en-US" w:eastAsia="zh-CN"/>
              </w:rPr>
              <w:t>2023年</w:t>
            </w:r>
          </w:p>
        </w:tc>
        <w:tc>
          <w:tcPr>
            <w:tcW w:w="1648"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b w:val="0"/>
                <w:bCs w:val="0"/>
                <w:i w:val="0"/>
                <w:iCs w:val="0"/>
                <w:color w:val="auto"/>
                <w:sz w:val="24"/>
                <w:szCs w:val="24"/>
                <w:highlight w:val="none"/>
                <w:u w:val="none"/>
                <w:lang w:val="en-US" w:eastAsia="zh-CN"/>
              </w:rPr>
            </w:pPr>
            <w:r>
              <w:rPr>
                <w:rFonts w:hint="default" w:ascii="Times New Roman" w:hAnsi="Times New Roman" w:eastAsia="仿宋_GB2312" w:cs="Times New Roman"/>
                <w:b w:val="0"/>
                <w:bCs w:val="0"/>
                <w:i w:val="0"/>
                <w:iCs w:val="0"/>
                <w:color w:val="auto"/>
                <w:sz w:val="24"/>
                <w:szCs w:val="24"/>
                <w:highlight w:val="none"/>
                <w:u w:val="none"/>
                <w:lang w:val="en-US"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741"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用地集约化</w:t>
            </w:r>
          </w:p>
          <w:p>
            <w:pPr>
              <w:widowControl/>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rPr>
              <w:t>指标</w:t>
            </w:r>
          </w:p>
        </w:tc>
        <w:tc>
          <w:tcPr>
            <w:tcW w:w="2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rPr>
              <w:t>工厂用地面积</w:t>
            </w:r>
          </w:p>
        </w:tc>
        <w:tc>
          <w:tcPr>
            <w:tcW w:w="11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平方米</w:t>
            </w:r>
          </w:p>
        </w:tc>
        <w:tc>
          <w:tcPr>
            <w:tcW w:w="118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lang w:val="en-US" w:eastAsia="zh-CN"/>
              </w:rPr>
            </w:pPr>
          </w:p>
        </w:tc>
        <w:tc>
          <w:tcPr>
            <w:tcW w:w="1648"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74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rPr>
              <w:t>其中：绿化面积</w:t>
            </w:r>
          </w:p>
        </w:tc>
        <w:tc>
          <w:tcPr>
            <w:tcW w:w="11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平方米</w:t>
            </w:r>
          </w:p>
        </w:tc>
        <w:tc>
          <w:tcPr>
            <w:tcW w:w="118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48"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74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rPr>
              <w:t>建（构）筑物占地面积</w:t>
            </w:r>
          </w:p>
        </w:tc>
        <w:tc>
          <w:tcPr>
            <w:tcW w:w="11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平方米</w:t>
            </w:r>
          </w:p>
        </w:tc>
        <w:tc>
          <w:tcPr>
            <w:tcW w:w="118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48"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74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rPr>
              <w:t>建筑计容面积</w:t>
            </w:r>
          </w:p>
        </w:tc>
        <w:tc>
          <w:tcPr>
            <w:tcW w:w="11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平方米</w:t>
            </w:r>
          </w:p>
        </w:tc>
        <w:tc>
          <w:tcPr>
            <w:tcW w:w="118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48"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741" w:type="dxa"/>
            <w:vMerge w:val="restart"/>
            <w:tcBorders>
              <w:top w:val="single" w:color="000000" w:sz="4" w:space="0"/>
              <w:left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原料无害化</w:t>
            </w:r>
          </w:p>
          <w:p>
            <w:pPr>
              <w:widowControl/>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rPr>
              <w:t>指标</w:t>
            </w:r>
          </w:p>
        </w:tc>
        <w:tc>
          <w:tcPr>
            <w:tcW w:w="2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sz w:val="24"/>
                <w:szCs w:val="24"/>
                <w:highlight w:val="none"/>
                <w:u w:val="none"/>
                <w:lang w:val="en-US"/>
              </w:rPr>
            </w:pPr>
            <w:r>
              <w:rPr>
                <w:rFonts w:hint="default" w:ascii="Times New Roman" w:hAnsi="Times New Roman" w:eastAsia="仿宋_GB2312" w:cs="Times New Roman"/>
                <w:i w:val="0"/>
                <w:iCs w:val="0"/>
                <w:color w:val="auto"/>
                <w:kern w:val="0"/>
                <w:sz w:val="24"/>
                <w:szCs w:val="24"/>
                <w:highlight w:val="none"/>
                <w:u w:val="none"/>
                <w:lang w:val="en-US" w:eastAsia="zh-CN"/>
              </w:rPr>
              <w:t>主要原辅料名称及使用量</w:t>
            </w:r>
          </w:p>
        </w:tc>
        <w:tc>
          <w:tcPr>
            <w:tcW w:w="1194"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18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48"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2"/>
                <w:szCs w:val="22"/>
                <w:highlight w:val="none"/>
                <w:u w:val="none"/>
                <w:lang w:val="en-US" w:eastAsia="zh-CN"/>
              </w:rPr>
            </w:pPr>
            <w:r>
              <w:rPr>
                <w:rFonts w:hint="default" w:ascii="Times New Roman" w:hAnsi="Times New Roman" w:eastAsia="仿宋_GB2312" w:cs="Times New Roman"/>
                <w:i w:val="0"/>
                <w:iCs w:val="0"/>
                <w:color w:val="auto"/>
                <w:sz w:val="22"/>
                <w:szCs w:val="22"/>
                <w:highlight w:val="none"/>
                <w:u w:val="none"/>
                <w:lang w:val="en-US" w:eastAsia="zh-CN"/>
              </w:rPr>
              <w:t>是否绿色物料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741" w:type="dxa"/>
            <w:vMerge w:val="continue"/>
            <w:tcBorders>
              <w:left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w:t>
            </w:r>
          </w:p>
        </w:tc>
        <w:tc>
          <w:tcPr>
            <w:tcW w:w="1194"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18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48"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741" w:type="dxa"/>
            <w:vMerge w:val="continue"/>
            <w:tcBorders>
              <w:left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w:t>
            </w:r>
          </w:p>
        </w:tc>
        <w:tc>
          <w:tcPr>
            <w:tcW w:w="1194"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18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48"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741" w:type="dxa"/>
            <w:vMerge w:val="restart"/>
            <w:tcBorders>
              <w:top w:val="single" w:color="000000" w:sz="4" w:space="0"/>
              <w:left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生产洁净化</w:t>
            </w:r>
          </w:p>
          <w:p>
            <w:pPr>
              <w:widowControl/>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rPr>
              <w:t>指标</w:t>
            </w:r>
          </w:p>
        </w:tc>
        <w:tc>
          <w:tcPr>
            <w:tcW w:w="2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主要污染物产生量</w:t>
            </w:r>
          </w:p>
        </w:tc>
        <w:tc>
          <w:tcPr>
            <w:tcW w:w="11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千克</w:t>
            </w:r>
          </w:p>
        </w:tc>
        <w:tc>
          <w:tcPr>
            <w:tcW w:w="118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p>
        </w:tc>
        <w:tc>
          <w:tcPr>
            <w:tcW w:w="16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化学需氧量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741" w:type="dxa"/>
            <w:vMerge w:val="continue"/>
            <w:tcBorders>
              <w:left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主要污染物产生量</w:t>
            </w:r>
          </w:p>
        </w:tc>
        <w:tc>
          <w:tcPr>
            <w:tcW w:w="11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千克</w:t>
            </w:r>
          </w:p>
        </w:tc>
        <w:tc>
          <w:tcPr>
            <w:tcW w:w="118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p>
        </w:tc>
        <w:tc>
          <w:tcPr>
            <w:tcW w:w="16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氨氮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741" w:type="dxa"/>
            <w:vMerge w:val="continue"/>
            <w:tcBorders>
              <w:left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主要污染物产生量</w:t>
            </w:r>
          </w:p>
        </w:tc>
        <w:tc>
          <w:tcPr>
            <w:tcW w:w="11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千克</w:t>
            </w:r>
          </w:p>
        </w:tc>
        <w:tc>
          <w:tcPr>
            <w:tcW w:w="118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p>
        </w:tc>
        <w:tc>
          <w:tcPr>
            <w:tcW w:w="16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二氧化硫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741" w:type="dxa"/>
            <w:vMerge w:val="continue"/>
            <w:tcBorders>
              <w:left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主要污染物产生量</w:t>
            </w:r>
          </w:p>
        </w:tc>
        <w:tc>
          <w:tcPr>
            <w:tcW w:w="11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千克</w:t>
            </w:r>
          </w:p>
        </w:tc>
        <w:tc>
          <w:tcPr>
            <w:tcW w:w="118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p>
        </w:tc>
        <w:tc>
          <w:tcPr>
            <w:tcW w:w="16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氮氧化物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741" w:type="dxa"/>
            <w:vMerge w:val="continue"/>
            <w:tcBorders>
              <w:left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w:t>
            </w:r>
          </w:p>
        </w:tc>
        <w:tc>
          <w:tcPr>
            <w:tcW w:w="11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p>
        </w:tc>
        <w:tc>
          <w:tcPr>
            <w:tcW w:w="118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p>
        </w:tc>
        <w:tc>
          <w:tcPr>
            <w:tcW w:w="16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741" w:type="dxa"/>
            <w:vMerge w:val="continue"/>
            <w:tcBorders>
              <w:left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w:t>
            </w:r>
          </w:p>
        </w:tc>
        <w:tc>
          <w:tcPr>
            <w:tcW w:w="11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p>
        </w:tc>
        <w:tc>
          <w:tcPr>
            <w:tcW w:w="118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p>
        </w:tc>
        <w:tc>
          <w:tcPr>
            <w:tcW w:w="16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741" w:type="dxa"/>
            <w:vMerge w:val="continue"/>
            <w:tcBorders>
              <w:left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废气产生量</w:t>
            </w:r>
          </w:p>
        </w:tc>
        <w:tc>
          <w:tcPr>
            <w:tcW w:w="11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万立方米</w:t>
            </w:r>
          </w:p>
        </w:tc>
        <w:tc>
          <w:tcPr>
            <w:tcW w:w="118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p>
        </w:tc>
        <w:tc>
          <w:tcPr>
            <w:tcW w:w="16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741" w:type="dxa"/>
            <w:tcBorders>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废水产生量</w:t>
            </w:r>
          </w:p>
        </w:tc>
        <w:tc>
          <w:tcPr>
            <w:tcW w:w="11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万吨</w:t>
            </w:r>
          </w:p>
        </w:tc>
        <w:tc>
          <w:tcPr>
            <w:tcW w:w="118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p>
        </w:tc>
        <w:tc>
          <w:tcPr>
            <w:tcW w:w="16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741"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废物资源化</w:t>
            </w:r>
          </w:p>
          <w:p>
            <w:pPr>
              <w:widowControl/>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rPr>
              <w:t>指标</w:t>
            </w:r>
          </w:p>
        </w:tc>
        <w:tc>
          <w:tcPr>
            <w:tcW w:w="2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工业固废产生量</w:t>
            </w:r>
          </w:p>
        </w:tc>
        <w:tc>
          <w:tcPr>
            <w:tcW w:w="11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吨</w:t>
            </w:r>
          </w:p>
        </w:tc>
        <w:tc>
          <w:tcPr>
            <w:tcW w:w="118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p>
        </w:tc>
        <w:tc>
          <w:tcPr>
            <w:tcW w:w="16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74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工业固废综合利用量</w:t>
            </w:r>
          </w:p>
        </w:tc>
        <w:tc>
          <w:tcPr>
            <w:tcW w:w="11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吨</w:t>
            </w:r>
          </w:p>
        </w:tc>
        <w:tc>
          <w:tcPr>
            <w:tcW w:w="118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p>
        </w:tc>
        <w:tc>
          <w:tcPr>
            <w:tcW w:w="16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74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废水回用量</w:t>
            </w:r>
          </w:p>
        </w:tc>
        <w:tc>
          <w:tcPr>
            <w:tcW w:w="11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万吨</w:t>
            </w:r>
          </w:p>
        </w:tc>
        <w:tc>
          <w:tcPr>
            <w:tcW w:w="118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p>
        </w:tc>
        <w:tc>
          <w:tcPr>
            <w:tcW w:w="16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741"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能源低碳化</w:t>
            </w:r>
          </w:p>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指标</w:t>
            </w:r>
          </w:p>
        </w:tc>
        <w:tc>
          <w:tcPr>
            <w:tcW w:w="2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综合能耗</w:t>
            </w:r>
          </w:p>
        </w:tc>
        <w:tc>
          <w:tcPr>
            <w:tcW w:w="11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吨标煤</w:t>
            </w:r>
          </w:p>
        </w:tc>
        <w:tc>
          <w:tcPr>
            <w:tcW w:w="118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p>
        </w:tc>
        <w:tc>
          <w:tcPr>
            <w:tcW w:w="16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741"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p>
        </w:tc>
        <w:tc>
          <w:tcPr>
            <w:tcW w:w="29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二氧化碳排放量</w:t>
            </w:r>
          </w:p>
        </w:tc>
        <w:tc>
          <w:tcPr>
            <w:tcW w:w="11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吨</w:t>
            </w:r>
          </w:p>
        </w:tc>
        <w:tc>
          <w:tcPr>
            <w:tcW w:w="118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p>
        </w:tc>
        <w:tc>
          <w:tcPr>
            <w:tcW w:w="16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rPr>
            </w:pPr>
          </w:p>
        </w:tc>
      </w:tr>
    </w:tbl>
    <w:p>
      <w:pPr>
        <w:widowControl/>
        <w:numPr>
          <w:numId w:val="0"/>
        </w:numPr>
        <w:wordWrap/>
        <w:adjustRightInd/>
        <w:snapToGrid/>
        <w:spacing w:line="400" w:lineRule="exact"/>
        <w:ind w:firstLine="240" w:firstLineChars="100"/>
        <w:jc w:val="both"/>
        <w:textAlignment w:val="auto"/>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val="en-US" w:eastAsia="zh-CN"/>
        </w:rPr>
        <w:t>注：1.若有多种主要原辅料、其他污染物的请分别列出；2</w:t>
      </w:r>
      <w:r>
        <w:rPr>
          <w:rFonts w:hint="eastAsia" w:ascii="Times New Roman" w:hAnsi="Times New Roman" w:eastAsia="仿宋_GB2312" w:cs="Times New Roman"/>
          <w:color w:val="auto"/>
          <w:sz w:val="24"/>
          <w:szCs w:val="24"/>
          <w:highlight w:val="none"/>
          <w:lang w:val="en-US" w:eastAsia="zh-CN"/>
        </w:rPr>
        <w:t>.</w:t>
      </w:r>
      <w:r>
        <w:rPr>
          <w:rFonts w:hint="default" w:ascii="Times New Roman" w:hAnsi="Times New Roman" w:eastAsia="仿宋_GB2312" w:cs="Times New Roman"/>
          <w:color w:val="auto"/>
          <w:sz w:val="24"/>
          <w:szCs w:val="24"/>
          <w:highlight w:val="none"/>
          <w:lang w:val="en-US" w:eastAsia="zh-CN"/>
        </w:rPr>
        <w:t>主要能源折标准煤参考系数：电1.299吨标煤/万千瓦时、天然气13.3吨标煤/万立方米、液化天然气1.7572吨标煤/吨、柴油1.4571吨标煤/吨。</w:t>
      </w:r>
    </w:p>
    <w:p>
      <w:pPr>
        <w:widowControl/>
        <w:numPr>
          <w:numId w:val="0"/>
        </w:numPr>
        <w:wordWrap/>
        <w:adjustRightInd/>
        <w:snapToGrid/>
        <w:spacing w:line="400" w:lineRule="exact"/>
        <w:jc w:val="both"/>
        <w:textAlignment w:val="auto"/>
        <w:rPr>
          <w:rFonts w:hint="default" w:ascii="Times New Roman" w:hAnsi="Times New Roman" w:eastAsia="仿宋_GB2312" w:cs="Times New Roman"/>
          <w:b/>
          <w:bCs/>
          <w:color w:val="auto"/>
          <w:sz w:val="30"/>
          <w:szCs w:val="30"/>
          <w:highlight w:val="none"/>
        </w:rPr>
      </w:pPr>
      <w:r>
        <w:rPr>
          <w:rFonts w:hint="default" w:ascii="Times New Roman" w:hAnsi="Times New Roman" w:eastAsia="仿宋_GB2312" w:cs="Times New Roman"/>
          <w:b/>
          <w:bCs/>
          <w:color w:val="auto"/>
          <w:sz w:val="30"/>
          <w:szCs w:val="30"/>
          <w:highlight w:val="none"/>
        </w:rPr>
        <w:t>附表1.1</w:t>
      </w:r>
    </w:p>
    <w:p>
      <w:pPr>
        <w:widowControl/>
        <w:wordWrap/>
        <w:adjustRightInd/>
        <w:snapToGrid/>
        <w:spacing w:after="100"/>
        <w:jc w:val="center"/>
        <w:textAlignment w:val="auto"/>
        <w:rPr>
          <w:rFonts w:hint="default" w:ascii="Times New Roman" w:hAnsi="Times New Roman" w:eastAsia="仿宋_GB2312" w:cs="Times New Roman"/>
          <w:b/>
          <w:bCs/>
          <w:color w:val="auto"/>
          <w:sz w:val="30"/>
          <w:szCs w:val="30"/>
          <w:highlight w:val="none"/>
        </w:rPr>
      </w:pPr>
      <w:r>
        <w:rPr>
          <w:rFonts w:hint="default" w:ascii="Times New Roman" w:hAnsi="Times New Roman" w:eastAsia="仿宋_GB2312" w:cs="Times New Roman"/>
          <w:b/>
          <w:bCs/>
          <w:color w:val="auto"/>
          <w:sz w:val="30"/>
          <w:szCs w:val="30"/>
          <w:highlight w:val="none"/>
        </w:rPr>
        <w:t>绿色工厂基本要求自评表</w:t>
      </w:r>
    </w:p>
    <w:tbl>
      <w:tblPr>
        <w:tblStyle w:val="14"/>
        <w:tblW w:w="85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108" w:type="dxa"/>
          <w:bottom w:w="85" w:type="dxa"/>
          <w:right w:w="108" w:type="dxa"/>
        </w:tblCellMar>
      </w:tblPr>
      <w:tblGrid>
        <w:gridCol w:w="4013"/>
        <w:gridCol w:w="1350"/>
        <w:gridCol w:w="3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108" w:type="dxa"/>
            <w:bottom w:w="85" w:type="dxa"/>
            <w:right w:w="108" w:type="dxa"/>
          </w:tblCellMar>
        </w:tblPrEx>
        <w:trPr>
          <w:trHeight w:val="507" w:hRule="atLeast"/>
          <w:tblHeader/>
        </w:trPr>
        <w:tc>
          <w:tcPr>
            <w:tcW w:w="4013" w:type="dxa"/>
            <w:vAlign w:val="center"/>
          </w:tcPr>
          <w:p>
            <w:pPr>
              <w:snapToGrid w:val="0"/>
              <w:jc w:val="center"/>
              <w:rPr>
                <w:rFonts w:hint="default" w:ascii="Times New Roman" w:hAnsi="Times New Roman" w:eastAsia="仿宋_GB2312" w:cs="Times New Roman"/>
                <w:b/>
                <w:color w:val="auto"/>
                <w:kern w:val="0"/>
                <w:sz w:val="24"/>
                <w:szCs w:val="24"/>
                <w:highlight w:val="none"/>
              </w:rPr>
            </w:pPr>
            <w:r>
              <w:rPr>
                <w:rFonts w:hint="default" w:ascii="Times New Roman" w:hAnsi="Times New Roman" w:eastAsia="仿宋_GB2312" w:cs="Times New Roman"/>
                <w:b/>
                <w:color w:val="auto"/>
                <w:kern w:val="0"/>
                <w:sz w:val="24"/>
                <w:szCs w:val="24"/>
                <w:highlight w:val="none"/>
              </w:rPr>
              <w:t>基本要求</w:t>
            </w:r>
          </w:p>
        </w:tc>
        <w:tc>
          <w:tcPr>
            <w:tcW w:w="1350" w:type="dxa"/>
            <w:vAlign w:val="center"/>
          </w:tcPr>
          <w:p>
            <w:pPr>
              <w:snapToGrid w:val="0"/>
              <w:jc w:val="center"/>
              <w:rPr>
                <w:rFonts w:hint="default" w:ascii="Times New Roman" w:hAnsi="Times New Roman" w:eastAsia="仿宋_GB2312" w:cs="Times New Roman"/>
                <w:b/>
                <w:color w:val="auto"/>
                <w:kern w:val="0"/>
                <w:sz w:val="24"/>
                <w:szCs w:val="24"/>
                <w:highlight w:val="none"/>
              </w:rPr>
            </w:pPr>
            <w:r>
              <w:rPr>
                <w:rFonts w:hint="default" w:ascii="Times New Roman" w:hAnsi="Times New Roman" w:eastAsia="仿宋_GB2312" w:cs="Times New Roman"/>
                <w:b/>
                <w:color w:val="auto"/>
                <w:kern w:val="0"/>
                <w:sz w:val="24"/>
                <w:szCs w:val="24"/>
                <w:highlight w:val="none"/>
              </w:rPr>
              <w:t>是否符合</w:t>
            </w:r>
          </w:p>
        </w:tc>
        <w:tc>
          <w:tcPr>
            <w:tcW w:w="3157" w:type="dxa"/>
            <w:vAlign w:val="center"/>
          </w:tcPr>
          <w:p>
            <w:pPr>
              <w:snapToGrid w:val="0"/>
              <w:jc w:val="center"/>
              <w:rPr>
                <w:rFonts w:hint="default" w:ascii="Times New Roman" w:hAnsi="Times New Roman" w:eastAsia="仿宋_GB2312" w:cs="Times New Roman"/>
                <w:b/>
                <w:color w:val="auto"/>
                <w:kern w:val="0"/>
                <w:sz w:val="24"/>
                <w:szCs w:val="24"/>
                <w:highlight w:val="none"/>
              </w:rPr>
            </w:pPr>
            <w:r>
              <w:rPr>
                <w:rFonts w:hint="default" w:ascii="Times New Roman" w:hAnsi="Times New Roman" w:eastAsia="仿宋_GB2312" w:cs="Times New Roman"/>
                <w:b/>
                <w:color w:val="auto"/>
                <w:kern w:val="0"/>
                <w:sz w:val="24"/>
                <w:szCs w:val="24"/>
                <w:highlight w:val="none"/>
              </w:rPr>
              <w:t>证明材料索引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108" w:type="dxa"/>
            <w:bottom w:w="85" w:type="dxa"/>
            <w:right w:w="108" w:type="dxa"/>
          </w:tblCellMar>
        </w:tblPrEx>
        <w:trPr>
          <w:trHeight w:val="1210" w:hRule="atLeast"/>
        </w:trPr>
        <w:tc>
          <w:tcPr>
            <w:tcW w:w="4013" w:type="dxa"/>
            <w:vAlign w:val="center"/>
          </w:tcPr>
          <w:p>
            <w:pPr>
              <w:snapToGrid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绿色工厂应依法设立，在建设和生产过程中应遵守有关法律、法规、政策和标准。</w:t>
            </w:r>
          </w:p>
        </w:tc>
        <w:tc>
          <w:tcPr>
            <w:tcW w:w="1350" w:type="dxa"/>
            <w:vAlign w:val="center"/>
          </w:tcPr>
          <w:p>
            <w:pPr>
              <w:snapToGrid w:val="0"/>
              <w:rPr>
                <w:rFonts w:hint="default" w:ascii="Times New Roman" w:hAnsi="Times New Roman" w:eastAsia="仿宋_GB2312" w:cs="Times New Roman"/>
                <w:color w:val="auto"/>
                <w:kern w:val="0"/>
                <w:sz w:val="28"/>
                <w:szCs w:val="28"/>
                <w:highlight w:val="none"/>
              </w:rPr>
            </w:pPr>
          </w:p>
        </w:tc>
        <w:tc>
          <w:tcPr>
            <w:tcW w:w="3157" w:type="dxa"/>
            <w:vAlign w:val="center"/>
          </w:tcPr>
          <w:p>
            <w:pPr>
              <w:snapToGrid w:val="0"/>
              <w:rPr>
                <w:rFonts w:hint="default" w:ascii="Times New Roman" w:hAnsi="Times New Roman" w:eastAsia="仿宋_GB2312" w:cs="Times New Roman"/>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108" w:type="dxa"/>
            <w:bottom w:w="85" w:type="dxa"/>
            <w:right w:w="108" w:type="dxa"/>
          </w:tblCellMar>
        </w:tblPrEx>
        <w:trPr>
          <w:trHeight w:val="872" w:hRule="atLeast"/>
        </w:trPr>
        <w:tc>
          <w:tcPr>
            <w:tcW w:w="4013" w:type="dxa"/>
            <w:vAlign w:val="center"/>
          </w:tcPr>
          <w:p>
            <w:pPr>
              <w:snapToGrid w:val="0"/>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近三年（含成立不足三年）无较大及以上安全、环保、质量等事故。</w:t>
            </w:r>
          </w:p>
        </w:tc>
        <w:tc>
          <w:tcPr>
            <w:tcW w:w="1350" w:type="dxa"/>
            <w:vAlign w:val="center"/>
          </w:tcPr>
          <w:p>
            <w:pPr>
              <w:snapToGrid w:val="0"/>
              <w:rPr>
                <w:rFonts w:hint="default" w:ascii="Times New Roman" w:hAnsi="Times New Roman" w:eastAsia="仿宋_GB2312" w:cs="Times New Roman"/>
                <w:color w:val="auto"/>
                <w:kern w:val="0"/>
                <w:sz w:val="28"/>
                <w:szCs w:val="28"/>
                <w:highlight w:val="none"/>
              </w:rPr>
            </w:pPr>
          </w:p>
        </w:tc>
        <w:tc>
          <w:tcPr>
            <w:tcW w:w="3157" w:type="dxa"/>
            <w:vAlign w:val="center"/>
          </w:tcPr>
          <w:p>
            <w:pPr>
              <w:snapToGrid w:val="0"/>
              <w:rPr>
                <w:rFonts w:hint="default" w:ascii="Times New Roman" w:hAnsi="Times New Roman" w:eastAsia="仿宋_GB2312" w:cs="Times New Roman"/>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108" w:type="dxa"/>
            <w:bottom w:w="85" w:type="dxa"/>
            <w:right w:w="108" w:type="dxa"/>
          </w:tblCellMar>
        </w:tblPrEx>
        <w:trPr>
          <w:trHeight w:val="872" w:hRule="atLeast"/>
        </w:trPr>
        <w:tc>
          <w:tcPr>
            <w:tcW w:w="4013" w:type="dxa"/>
            <w:vAlign w:val="center"/>
          </w:tcPr>
          <w:p>
            <w:pPr>
              <w:snapToGrid w:val="0"/>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highlight w:val="none"/>
              </w:rPr>
              <w:t>对利益相关方的环境要求做出承诺的，应同时满足有关承诺的要求。</w:t>
            </w:r>
          </w:p>
        </w:tc>
        <w:tc>
          <w:tcPr>
            <w:tcW w:w="1350" w:type="dxa"/>
            <w:vAlign w:val="center"/>
          </w:tcPr>
          <w:p>
            <w:pPr>
              <w:snapToGrid w:val="0"/>
              <w:rPr>
                <w:rFonts w:hint="default" w:ascii="Times New Roman" w:hAnsi="Times New Roman" w:eastAsia="仿宋_GB2312" w:cs="Times New Roman"/>
                <w:color w:val="auto"/>
                <w:kern w:val="0"/>
                <w:sz w:val="28"/>
                <w:szCs w:val="28"/>
                <w:highlight w:val="none"/>
              </w:rPr>
            </w:pPr>
          </w:p>
        </w:tc>
        <w:tc>
          <w:tcPr>
            <w:tcW w:w="3157" w:type="dxa"/>
            <w:vAlign w:val="center"/>
          </w:tcPr>
          <w:p>
            <w:pPr>
              <w:snapToGrid w:val="0"/>
              <w:rPr>
                <w:rFonts w:hint="default" w:ascii="Times New Roman" w:hAnsi="Times New Roman" w:eastAsia="仿宋_GB2312" w:cs="Times New Roman"/>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108" w:type="dxa"/>
            <w:bottom w:w="85" w:type="dxa"/>
            <w:right w:w="108" w:type="dxa"/>
          </w:tblCellMar>
        </w:tblPrEx>
        <w:trPr>
          <w:trHeight w:val="1210" w:hRule="atLeast"/>
        </w:trPr>
        <w:tc>
          <w:tcPr>
            <w:tcW w:w="4013" w:type="dxa"/>
            <w:vAlign w:val="center"/>
          </w:tcPr>
          <w:p>
            <w:pPr>
              <w:snapToGrid w:val="0"/>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highlight w:val="none"/>
              </w:rPr>
              <w:t>最高管理者在绿色工厂方面的领导作用和承诺满足GB/T 36132中4.3.1 a)的要求。</w:t>
            </w:r>
          </w:p>
        </w:tc>
        <w:tc>
          <w:tcPr>
            <w:tcW w:w="1350" w:type="dxa"/>
            <w:vAlign w:val="center"/>
          </w:tcPr>
          <w:p>
            <w:pPr>
              <w:snapToGrid w:val="0"/>
              <w:rPr>
                <w:rFonts w:hint="default" w:ascii="Times New Roman" w:hAnsi="Times New Roman" w:eastAsia="仿宋_GB2312" w:cs="Times New Roman"/>
                <w:color w:val="auto"/>
                <w:kern w:val="0"/>
                <w:sz w:val="28"/>
                <w:szCs w:val="28"/>
                <w:highlight w:val="none"/>
              </w:rPr>
            </w:pPr>
          </w:p>
        </w:tc>
        <w:tc>
          <w:tcPr>
            <w:tcW w:w="3157" w:type="dxa"/>
            <w:vAlign w:val="center"/>
          </w:tcPr>
          <w:p>
            <w:pPr>
              <w:snapToGrid w:val="0"/>
              <w:rPr>
                <w:rFonts w:hint="default" w:ascii="Times New Roman" w:hAnsi="Times New Roman" w:eastAsia="仿宋_GB2312" w:cs="Times New Roman"/>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108" w:type="dxa"/>
            <w:bottom w:w="85" w:type="dxa"/>
            <w:right w:w="108" w:type="dxa"/>
          </w:tblCellMar>
        </w:tblPrEx>
        <w:trPr>
          <w:trHeight w:val="1549" w:hRule="atLeast"/>
        </w:trPr>
        <w:tc>
          <w:tcPr>
            <w:tcW w:w="4013" w:type="dxa"/>
            <w:vAlign w:val="center"/>
          </w:tcPr>
          <w:p>
            <w:pPr>
              <w:snapToGrid w:val="0"/>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最高管理者应</w:t>
            </w:r>
            <w:r>
              <w:rPr>
                <w:rFonts w:hint="default" w:ascii="Times New Roman" w:hAnsi="Times New Roman" w:eastAsia="仿宋_GB2312" w:cs="Times New Roman"/>
                <w:color w:val="auto"/>
                <w:kern w:val="0"/>
                <w:sz w:val="24"/>
                <w:highlight w:val="none"/>
              </w:rPr>
              <w:t>确保在工厂内部分配并沟通与绿色工厂相关角色的职责和权限，且满足GB/T 36132中4.3.1 b)的要求。</w:t>
            </w:r>
          </w:p>
        </w:tc>
        <w:tc>
          <w:tcPr>
            <w:tcW w:w="1350" w:type="dxa"/>
            <w:vAlign w:val="center"/>
          </w:tcPr>
          <w:p>
            <w:pPr>
              <w:snapToGrid w:val="0"/>
              <w:rPr>
                <w:rFonts w:hint="default" w:ascii="Times New Roman" w:hAnsi="Times New Roman" w:eastAsia="仿宋_GB2312" w:cs="Times New Roman"/>
                <w:color w:val="auto"/>
                <w:kern w:val="0"/>
                <w:sz w:val="28"/>
                <w:szCs w:val="28"/>
                <w:highlight w:val="none"/>
              </w:rPr>
            </w:pPr>
          </w:p>
        </w:tc>
        <w:tc>
          <w:tcPr>
            <w:tcW w:w="3157" w:type="dxa"/>
            <w:vAlign w:val="center"/>
          </w:tcPr>
          <w:p>
            <w:pPr>
              <w:snapToGrid w:val="0"/>
              <w:rPr>
                <w:rFonts w:hint="default" w:ascii="Times New Roman" w:hAnsi="Times New Roman" w:eastAsia="仿宋_GB2312" w:cs="Times New Roman"/>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108" w:type="dxa"/>
            <w:bottom w:w="85" w:type="dxa"/>
            <w:right w:w="108" w:type="dxa"/>
          </w:tblCellMar>
        </w:tblPrEx>
        <w:trPr>
          <w:trHeight w:val="1210" w:hRule="atLeast"/>
        </w:trPr>
        <w:tc>
          <w:tcPr>
            <w:tcW w:w="4013" w:type="dxa"/>
            <w:vAlign w:val="center"/>
          </w:tcPr>
          <w:p>
            <w:pPr>
              <w:snapToGrid w:val="0"/>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工厂应设有绿色工厂管理机构，负责有关绿色工厂的制度建设、实施、考核及奖励工作，建立目标责任制。</w:t>
            </w:r>
          </w:p>
        </w:tc>
        <w:tc>
          <w:tcPr>
            <w:tcW w:w="1350" w:type="dxa"/>
            <w:vAlign w:val="center"/>
          </w:tcPr>
          <w:p>
            <w:pPr>
              <w:snapToGrid w:val="0"/>
              <w:rPr>
                <w:rFonts w:hint="default" w:ascii="Times New Roman" w:hAnsi="Times New Roman" w:eastAsia="仿宋_GB2312" w:cs="Times New Roman"/>
                <w:color w:val="auto"/>
                <w:kern w:val="0"/>
                <w:sz w:val="28"/>
                <w:szCs w:val="28"/>
                <w:highlight w:val="none"/>
              </w:rPr>
            </w:pPr>
          </w:p>
        </w:tc>
        <w:tc>
          <w:tcPr>
            <w:tcW w:w="3157" w:type="dxa"/>
            <w:vAlign w:val="center"/>
          </w:tcPr>
          <w:p>
            <w:pPr>
              <w:snapToGrid w:val="0"/>
              <w:rPr>
                <w:rFonts w:hint="default" w:ascii="Times New Roman" w:hAnsi="Times New Roman" w:eastAsia="仿宋_GB2312" w:cs="Times New Roman"/>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108" w:type="dxa"/>
            <w:bottom w:w="85" w:type="dxa"/>
            <w:right w:w="108" w:type="dxa"/>
          </w:tblCellMar>
        </w:tblPrEx>
        <w:trPr>
          <w:trHeight w:val="1210" w:hRule="atLeast"/>
        </w:trPr>
        <w:tc>
          <w:tcPr>
            <w:tcW w:w="4013" w:type="dxa"/>
            <w:vAlign w:val="center"/>
          </w:tcPr>
          <w:p>
            <w:pPr>
              <w:snapToGrid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highlight w:val="none"/>
              </w:rPr>
              <w:t>工厂应有开展绿色工厂的中长期规划及年度目标、指标和实施方案。可行时，指标应明确且可量化。</w:t>
            </w:r>
          </w:p>
        </w:tc>
        <w:tc>
          <w:tcPr>
            <w:tcW w:w="1350" w:type="dxa"/>
            <w:vAlign w:val="center"/>
          </w:tcPr>
          <w:p>
            <w:pPr>
              <w:snapToGrid w:val="0"/>
              <w:rPr>
                <w:rFonts w:hint="default" w:ascii="Times New Roman" w:hAnsi="Times New Roman" w:eastAsia="仿宋_GB2312" w:cs="Times New Roman"/>
                <w:color w:val="auto"/>
                <w:kern w:val="0"/>
                <w:sz w:val="28"/>
                <w:szCs w:val="28"/>
                <w:highlight w:val="none"/>
              </w:rPr>
            </w:pPr>
          </w:p>
        </w:tc>
        <w:tc>
          <w:tcPr>
            <w:tcW w:w="3157" w:type="dxa"/>
            <w:vAlign w:val="center"/>
          </w:tcPr>
          <w:p>
            <w:pPr>
              <w:snapToGrid w:val="0"/>
              <w:rPr>
                <w:rFonts w:hint="default" w:ascii="Times New Roman" w:hAnsi="Times New Roman" w:eastAsia="仿宋_GB2312" w:cs="Times New Roman"/>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108" w:type="dxa"/>
            <w:bottom w:w="85" w:type="dxa"/>
            <w:right w:w="108" w:type="dxa"/>
          </w:tblCellMar>
        </w:tblPrEx>
        <w:trPr>
          <w:trHeight w:val="1560" w:hRule="atLeast"/>
        </w:trPr>
        <w:tc>
          <w:tcPr>
            <w:tcW w:w="4013" w:type="dxa"/>
            <w:vAlign w:val="center"/>
          </w:tcPr>
          <w:p>
            <w:pPr>
              <w:snapToGrid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工厂应传播绿色制造的概念和知识，定期为员工提供绿色制造相关知识的教育、培训，并对教育和培训的结果进行考评。</w:t>
            </w:r>
          </w:p>
        </w:tc>
        <w:tc>
          <w:tcPr>
            <w:tcW w:w="1350" w:type="dxa"/>
            <w:vAlign w:val="center"/>
          </w:tcPr>
          <w:p>
            <w:pPr>
              <w:snapToGrid w:val="0"/>
              <w:rPr>
                <w:rFonts w:hint="default" w:ascii="Times New Roman" w:hAnsi="Times New Roman" w:eastAsia="仿宋_GB2312" w:cs="Times New Roman"/>
                <w:color w:val="auto"/>
                <w:kern w:val="0"/>
                <w:sz w:val="28"/>
                <w:szCs w:val="28"/>
                <w:highlight w:val="none"/>
              </w:rPr>
            </w:pPr>
          </w:p>
        </w:tc>
        <w:tc>
          <w:tcPr>
            <w:tcW w:w="3157" w:type="dxa"/>
            <w:vAlign w:val="center"/>
          </w:tcPr>
          <w:p>
            <w:pPr>
              <w:snapToGrid w:val="0"/>
              <w:rPr>
                <w:rFonts w:hint="default" w:ascii="Times New Roman" w:hAnsi="Times New Roman" w:eastAsia="仿宋_GB2312" w:cs="Times New Roman"/>
                <w:color w:val="auto"/>
                <w:kern w:val="0"/>
                <w:sz w:val="28"/>
                <w:szCs w:val="28"/>
                <w:highlight w:val="none"/>
              </w:rPr>
            </w:pPr>
          </w:p>
        </w:tc>
      </w:tr>
    </w:tbl>
    <w:p>
      <w:pPr>
        <w:spacing w:line="360" w:lineRule="auto"/>
        <w:jc w:val="center"/>
        <w:rPr>
          <w:rFonts w:hint="default" w:ascii="Times New Roman" w:hAnsi="Times New Roman" w:eastAsia="方正小标宋简体" w:cs="Times New Roman"/>
          <w:bCs/>
          <w:color w:val="auto"/>
          <w:sz w:val="44"/>
          <w:szCs w:val="44"/>
          <w:highlight w:val="none"/>
        </w:rPr>
        <w:sectPr>
          <w:footerReference r:id="rId5" w:type="default"/>
          <w:pgSz w:w="11906" w:h="16838"/>
          <w:pgMar w:top="1440" w:right="1800" w:bottom="1440" w:left="1800" w:header="851" w:footer="992" w:gutter="0"/>
          <w:pgBorders>
            <w:top w:val="none" w:color="auto" w:sz="0" w:space="0"/>
            <w:left w:val="none" w:color="auto" w:sz="0" w:space="0"/>
            <w:bottom w:val="none" w:color="auto" w:sz="0" w:space="0"/>
            <w:right w:val="none" w:color="auto" w:sz="0" w:space="0"/>
          </w:pgBorders>
          <w:pgNumType w:start="1"/>
          <w:cols w:space="720" w:num="1"/>
          <w:docGrid w:type="lines" w:linePitch="312" w:charSpace="0"/>
        </w:sectPr>
      </w:pPr>
    </w:p>
    <w:p>
      <w:pPr>
        <w:rPr>
          <w:rFonts w:hint="default" w:ascii="Times New Roman" w:hAnsi="Times New Roman" w:eastAsia="仿宋_GB2312" w:cs="Times New Roman"/>
          <w:b/>
          <w:bCs/>
          <w:color w:val="auto"/>
          <w:sz w:val="30"/>
          <w:szCs w:val="30"/>
          <w:highlight w:val="none"/>
        </w:rPr>
      </w:pPr>
      <w:r>
        <w:rPr>
          <w:rFonts w:hint="default" w:ascii="Times New Roman" w:hAnsi="Times New Roman" w:eastAsia="仿宋_GB2312" w:cs="Times New Roman"/>
          <w:b/>
          <w:bCs/>
          <w:color w:val="auto"/>
          <w:sz w:val="30"/>
          <w:szCs w:val="30"/>
          <w:highlight w:val="none"/>
        </w:rPr>
        <w:t>附表1.2</w:t>
      </w:r>
    </w:p>
    <w:p>
      <w:pPr>
        <w:widowControl/>
        <w:wordWrap/>
        <w:adjustRightInd/>
        <w:snapToGrid/>
        <w:jc w:val="center"/>
        <w:textAlignment w:val="auto"/>
        <w:rPr>
          <w:rFonts w:hint="default" w:ascii="Times New Roman" w:hAnsi="Times New Roman" w:eastAsia="仿宋_GB2312" w:cs="Times New Roman"/>
          <w:b/>
          <w:bCs/>
          <w:color w:val="auto"/>
          <w:sz w:val="30"/>
          <w:szCs w:val="30"/>
          <w:highlight w:val="none"/>
        </w:rPr>
      </w:pPr>
      <w:r>
        <w:rPr>
          <w:rFonts w:hint="default" w:ascii="Times New Roman" w:hAnsi="Times New Roman" w:eastAsia="仿宋_GB2312" w:cs="Times New Roman"/>
          <w:b/>
          <w:bCs/>
          <w:color w:val="auto"/>
          <w:sz w:val="30"/>
          <w:szCs w:val="30"/>
          <w:highlight w:val="none"/>
        </w:rPr>
        <w:t>绿色工厂评价指标自评表</w:t>
      </w:r>
    </w:p>
    <w:p>
      <w:pPr>
        <w:autoSpaceDE w:val="0"/>
        <w:autoSpaceDN w:val="0"/>
        <w:adjustRightInd w:val="0"/>
        <w:jc w:val="center"/>
        <w:rPr>
          <w:rFonts w:hint="default" w:ascii="Times New Roman" w:hAnsi="Times New Roman" w:eastAsia="仿宋_GB2312" w:cs="Times New Roman"/>
          <w:b/>
          <w:bCs/>
          <w:color w:val="auto"/>
          <w:kern w:val="0"/>
          <w:sz w:val="30"/>
          <w:szCs w:val="30"/>
          <w:highlight w:val="none"/>
        </w:rPr>
      </w:pPr>
      <w:r>
        <w:rPr>
          <w:rFonts w:hint="default" w:ascii="Times New Roman" w:hAnsi="Times New Roman" w:eastAsia="仿宋_GB2312" w:cs="Times New Roman"/>
          <w:b/>
          <w:bCs/>
          <w:color w:val="auto"/>
          <w:kern w:val="0"/>
          <w:sz w:val="30"/>
          <w:szCs w:val="30"/>
          <w:highlight w:val="none"/>
        </w:rPr>
        <w:t>（20</w:t>
      </w:r>
      <w:r>
        <w:rPr>
          <w:rFonts w:hint="eastAsia" w:ascii="Times New Roman" w:hAnsi="Times New Roman" w:eastAsia="仿宋_GB2312" w:cs="Times New Roman"/>
          <w:b/>
          <w:bCs/>
          <w:color w:val="auto"/>
          <w:kern w:val="0"/>
          <w:sz w:val="30"/>
          <w:szCs w:val="30"/>
          <w:highlight w:val="none"/>
          <w:lang w:val="en-US" w:eastAsia="zh-CN"/>
        </w:rPr>
        <w:t xml:space="preserve">  </w:t>
      </w:r>
      <w:r>
        <w:rPr>
          <w:rFonts w:hint="default" w:ascii="Times New Roman" w:hAnsi="Times New Roman" w:eastAsia="仿宋_GB2312" w:cs="Times New Roman"/>
          <w:b/>
          <w:bCs/>
          <w:color w:val="auto"/>
          <w:kern w:val="0"/>
          <w:sz w:val="30"/>
          <w:szCs w:val="30"/>
          <w:highlight w:val="none"/>
        </w:rPr>
        <w:t>年）</w:t>
      </w:r>
    </w:p>
    <w:tbl>
      <w:tblPr>
        <w:tblStyle w:val="14"/>
        <w:tblW w:w="14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704"/>
        <w:gridCol w:w="1135"/>
        <w:gridCol w:w="1028"/>
        <w:gridCol w:w="5534"/>
        <w:gridCol w:w="3066"/>
        <w:gridCol w:w="750"/>
        <w:gridCol w:w="934"/>
        <w:gridCol w:w="9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blHeader/>
        </w:trPr>
        <w:tc>
          <w:tcPr>
            <w:tcW w:w="704"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b/>
                <w:bCs/>
                <w:color w:val="auto"/>
                <w:kern w:val="0"/>
                <w:sz w:val="24"/>
                <w:highlight w:val="none"/>
              </w:rPr>
            </w:pPr>
            <w:r>
              <w:rPr>
                <w:rFonts w:hint="default" w:ascii="Times New Roman" w:hAnsi="Times New Roman" w:eastAsia="仿宋_GB2312" w:cs="Times New Roman"/>
                <w:b/>
                <w:bCs/>
                <w:color w:val="auto"/>
                <w:sz w:val="24"/>
                <w:highlight w:val="none"/>
              </w:rPr>
              <w:t>序号</w:t>
            </w:r>
          </w:p>
        </w:tc>
        <w:tc>
          <w:tcPr>
            <w:tcW w:w="113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bCs/>
                <w:color w:val="auto"/>
                <w:sz w:val="24"/>
                <w:highlight w:val="none"/>
              </w:rPr>
            </w:pPr>
            <w:r>
              <w:rPr>
                <w:rFonts w:hint="default" w:ascii="Times New Roman" w:hAnsi="Times New Roman" w:eastAsia="仿宋_GB2312" w:cs="Times New Roman"/>
                <w:b/>
                <w:bCs/>
                <w:color w:val="auto"/>
                <w:sz w:val="24"/>
                <w:highlight w:val="none"/>
              </w:rPr>
              <w:t>一级</w:t>
            </w:r>
          </w:p>
          <w:p>
            <w:pPr>
              <w:jc w:val="center"/>
              <w:rPr>
                <w:rFonts w:hint="default" w:ascii="Times New Roman" w:hAnsi="Times New Roman" w:eastAsia="仿宋_GB2312" w:cs="Times New Roman"/>
                <w:b/>
                <w:bCs/>
                <w:color w:val="auto"/>
                <w:sz w:val="24"/>
                <w:highlight w:val="none"/>
              </w:rPr>
            </w:pPr>
            <w:r>
              <w:rPr>
                <w:rFonts w:hint="default" w:ascii="Times New Roman" w:hAnsi="Times New Roman" w:eastAsia="仿宋_GB2312" w:cs="Times New Roman"/>
                <w:b/>
                <w:bCs/>
                <w:color w:val="auto"/>
                <w:sz w:val="24"/>
                <w:highlight w:val="none"/>
              </w:rPr>
              <w:t>指标</w:t>
            </w:r>
          </w:p>
        </w:tc>
        <w:tc>
          <w:tcPr>
            <w:tcW w:w="1028"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bCs/>
                <w:color w:val="auto"/>
                <w:sz w:val="24"/>
                <w:highlight w:val="none"/>
              </w:rPr>
            </w:pPr>
            <w:r>
              <w:rPr>
                <w:rFonts w:hint="default" w:ascii="Times New Roman" w:hAnsi="Times New Roman" w:eastAsia="仿宋_GB2312" w:cs="Times New Roman"/>
                <w:b/>
                <w:bCs/>
                <w:color w:val="auto"/>
                <w:sz w:val="24"/>
                <w:highlight w:val="none"/>
              </w:rPr>
              <w:t>二级</w:t>
            </w:r>
          </w:p>
          <w:p>
            <w:pPr>
              <w:jc w:val="center"/>
              <w:rPr>
                <w:rFonts w:hint="default" w:ascii="Times New Roman" w:hAnsi="Times New Roman" w:eastAsia="仿宋_GB2312" w:cs="Times New Roman"/>
                <w:b/>
                <w:bCs/>
                <w:color w:val="auto"/>
                <w:sz w:val="24"/>
                <w:highlight w:val="none"/>
              </w:rPr>
            </w:pPr>
            <w:r>
              <w:rPr>
                <w:rFonts w:hint="default" w:ascii="Times New Roman" w:hAnsi="Times New Roman" w:eastAsia="仿宋_GB2312" w:cs="Times New Roman"/>
                <w:b/>
                <w:bCs/>
                <w:color w:val="auto"/>
                <w:sz w:val="24"/>
                <w:highlight w:val="none"/>
              </w:rPr>
              <w:t>指标</w:t>
            </w:r>
          </w:p>
        </w:tc>
        <w:tc>
          <w:tcPr>
            <w:tcW w:w="55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bCs/>
                <w:color w:val="auto"/>
                <w:sz w:val="24"/>
                <w:highlight w:val="none"/>
              </w:rPr>
            </w:pPr>
            <w:r>
              <w:rPr>
                <w:rFonts w:hint="default" w:ascii="Times New Roman" w:hAnsi="Times New Roman" w:eastAsia="仿宋_GB2312" w:cs="Times New Roman"/>
                <w:b/>
                <w:bCs/>
                <w:color w:val="auto"/>
                <w:sz w:val="24"/>
                <w:highlight w:val="none"/>
              </w:rPr>
              <w:t>具体评价要求</w:t>
            </w:r>
          </w:p>
        </w:tc>
        <w:tc>
          <w:tcPr>
            <w:tcW w:w="306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bCs/>
                <w:color w:val="auto"/>
                <w:sz w:val="24"/>
                <w:highlight w:val="none"/>
              </w:rPr>
            </w:pPr>
            <w:r>
              <w:rPr>
                <w:rFonts w:hint="default" w:ascii="Times New Roman" w:hAnsi="Times New Roman" w:eastAsia="仿宋_GB2312" w:cs="Times New Roman"/>
                <w:b/>
                <w:bCs/>
                <w:color w:val="auto"/>
                <w:sz w:val="24"/>
                <w:highlight w:val="none"/>
              </w:rPr>
              <w:t>符合性说明及</w:t>
            </w:r>
          </w:p>
          <w:p>
            <w:pPr>
              <w:jc w:val="center"/>
              <w:rPr>
                <w:rFonts w:hint="default" w:ascii="Times New Roman" w:hAnsi="Times New Roman" w:eastAsia="仿宋_GB2312" w:cs="Times New Roman"/>
                <w:b/>
                <w:bCs/>
                <w:color w:val="auto"/>
                <w:sz w:val="24"/>
                <w:highlight w:val="none"/>
              </w:rPr>
            </w:pPr>
            <w:r>
              <w:rPr>
                <w:rFonts w:hint="default" w:ascii="Times New Roman" w:hAnsi="Times New Roman" w:eastAsia="仿宋_GB2312" w:cs="Times New Roman"/>
                <w:b/>
                <w:bCs/>
                <w:color w:val="auto"/>
                <w:sz w:val="24"/>
                <w:highlight w:val="none"/>
              </w:rPr>
              <w:t>证明材料索引</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bCs/>
                <w:color w:val="auto"/>
                <w:sz w:val="24"/>
                <w:highlight w:val="none"/>
              </w:rPr>
            </w:pPr>
            <w:r>
              <w:rPr>
                <w:rFonts w:hint="default" w:ascii="Times New Roman" w:hAnsi="Times New Roman" w:eastAsia="仿宋_GB2312" w:cs="Times New Roman"/>
                <w:b/>
                <w:bCs/>
                <w:color w:val="auto"/>
                <w:sz w:val="24"/>
                <w:highlight w:val="none"/>
              </w:rPr>
              <w:t>要求类型</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bCs/>
                <w:color w:val="auto"/>
                <w:sz w:val="24"/>
                <w:highlight w:val="none"/>
              </w:rPr>
            </w:pPr>
            <w:r>
              <w:rPr>
                <w:rFonts w:hint="default" w:ascii="Times New Roman" w:hAnsi="Times New Roman" w:eastAsia="仿宋_GB2312" w:cs="Times New Roman"/>
                <w:b/>
                <w:bCs/>
                <w:color w:val="auto"/>
                <w:sz w:val="24"/>
                <w:highlight w:val="none"/>
              </w:rPr>
              <w:t>分值</w:t>
            </w:r>
          </w:p>
        </w:tc>
        <w:tc>
          <w:tcPr>
            <w:tcW w:w="9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bCs/>
                <w:color w:val="auto"/>
                <w:sz w:val="24"/>
                <w:highlight w:val="none"/>
              </w:rPr>
            </w:pPr>
            <w:r>
              <w:rPr>
                <w:rFonts w:hint="default" w:ascii="Times New Roman" w:hAnsi="Times New Roman" w:eastAsia="仿宋_GB2312" w:cs="Times New Roman"/>
                <w:b/>
                <w:bCs/>
                <w:color w:val="auto"/>
                <w:sz w:val="24"/>
                <w:highlight w:val="none"/>
              </w:rPr>
              <w:t>自评</w:t>
            </w:r>
          </w:p>
          <w:p>
            <w:pPr>
              <w:jc w:val="center"/>
              <w:rPr>
                <w:rFonts w:hint="default" w:ascii="Times New Roman" w:hAnsi="Times New Roman" w:eastAsia="仿宋_GB2312" w:cs="Times New Roman"/>
                <w:b/>
                <w:bCs/>
                <w:color w:val="auto"/>
                <w:sz w:val="24"/>
                <w:highlight w:val="none"/>
              </w:rPr>
            </w:pPr>
            <w:r>
              <w:rPr>
                <w:rFonts w:hint="default" w:ascii="Times New Roman" w:hAnsi="Times New Roman" w:eastAsia="仿宋_GB2312" w:cs="Times New Roman"/>
                <w:b/>
                <w:bCs/>
                <w:color w:val="auto"/>
                <w:sz w:val="24"/>
                <w:highlight w:val="none"/>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一</w:t>
            </w:r>
          </w:p>
        </w:tc>
        <w:tc>
          <w:tcPr>
            <w:tcW w:w="1135"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基础设施</w:t>
            </w:r>
          </w:p>
        </w:tc>
        <w:tc>
          <w:tcPr>
            <w:tcW w:w="1028"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建筑</w:t>
            </w: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工厂的建筑应满足国家或地方相关法律法规及标准的要求。</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必选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1.6</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新建、改建和扩建建筑时，应遵守国家“固定资产投资项目节能评估审查制度”、“三同时制度”、“工业项目建设用地控制指标”等产业政策和有关要求。</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color w:val="auto"/>
                <w:sz w:val="24"/>
                <w:highlight w:val="none"/>
              </w:rPr>
            </w:pP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1.2</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厂房内部装饰装修材料中醛、苯、氨、氡等有害物质应符合国家和地方法律、标准要求。</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color w:val="auto"/>
                <w:sz w:val="24"/>
                <w:highlight w:val="none"/>
              </w:rPr>
            </w:pP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0.6</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危险品仓库、有毒有害操作间、废弃物处理间等产生污染物的房间应独立设置。</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color w:val="auto"/>
                <w:sz w:val="24"/>
                <w:highlight w:val="none"/>
              </w:rPr>
            </w:pP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0.6</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建筑材料：（1）选用蕴能低、高性能、高耐久性和本地建材，减少建材在全生命周期中的能源消耗；（2）室内装饰装修材料满足国家标准GB 18580～18588和《建筑材料放射性核素限量》GB 6566的要求。</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可选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0.8</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建筑结构：采用钢结构、砌体结构和木结构等资源消耗和环境影响小的建筑结构体系。</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color w:val="auto"/>
                <w:sz w:val="24"/>
                <w:highlight w:val="none"/>
              </w:rPr>
            </w:pP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0.8</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绿化及场地：（1）场地内设置可遮荫避雨的步行连廊。（2）厂区绿化适宜，优先种植乡土植物，采用少维护、耐候性强的植物，减少日常维护的费用。（3）室外透水地面面积占室外总面积的比例不小于30%。</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color w:val="auto"/>
                <w:sz w:val="24"/>
                <w:highlight w:val="none"/>
              </w:rPr>
            </w:pP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0.8</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再生资源及能源利用：（1）可再生能源的使用占建筑总能耗的比例大于10%；（2）采用节水器具和设备，节水率不低于10%。</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color w:val="auto"/>
                <w:sz w:val="24"/>
                <w:highlight w:val="none"/>
              </w:rPr>
            </w:pP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0.8</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适用时，工厂的厂房采用多层建筑。</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color w:val="auto"/>
                <w:sz w:val="24"/>
                <w:highlight w:val="none"/>
              </w:rPr>
            </w:pP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0.8</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照明</w:t>
            </w: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kern w:val="0"/>
                <w:sz w:val="24"/>
                <w:highlight w:val="none"/>
              </w:rPr>
              <w:t>人工照明应符合GB 50034规定。</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必选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1.4</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kern w:val="0"/>
                <w:sz w:val="24"/>
                <w:highlight w:val="none"/>
              </w:rPr>
              <w:t>不同场所的照明应进行分级设计。</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color w:val="auto"/>
                <w:sz w:val="24"/>
                <w:highlight w:val="none"/>
              </w:rPr>
            </w:pP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0.6</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工厂厂区及各房间或场所的照明尽量利用自然光。</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可选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0.8</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工艺适用时，节能灯等节能型照明设备的使用占比不低于50%。</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color w:val="auto"/>
                <w:sz w:val="24"/>
                <w:highlight w:val="none"/>
              </w:rPr>
            </w:pP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0.8</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公共场所的照明采取分区、分组与定时自动调光等措施。</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color w:val="auto"/>
                <w:sz w:val="24"/>
                <w:highlight w:val="none"/>
              </w:rPr>
            </w:pP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0.8</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78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设备</w:t>
            </w:r>
          </w:p>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设施</w:t>
            </w:r>
          </w:p>
        </w:tc>
        <w:tc>
          <w:tcPr>
            <w:tcW w:w="55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kern w:val="0"/>
                <w:sz w:val="24"/>
                <w:highlight w:val="none"/>
              </w:rPr>
              <w:t>工厂使用的专用设备应符合产业准入要求，降低能源与资源消耗，减少污染物排放。</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必选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1.0</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kern w:val="0"/>
                <w:sz w:val="24"/>
                <w:highlight w:val="none"/>
              </w:rPr>
              <w:t>适用时，工厂使用的通用设备应达到相关标准中能效限定值的强制性要求。已明令禁止生产、使用的和能耗高、效率低的设备应限期淘汰更新。</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color w:val="auto"/>
                <w:sz w:val="24"/>
                <w:highlight w:val="none"/>
              </w:rPr>
            </w:pP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1.0</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kern w:val="0"/>
                <w:sz w:val="24"/>
                <w:highlight w:val="none"/>
              </w:rPr>
              <w:t>工厂使用的通用设备或其系统的实际运行效率或主要运行参数应符合该设备经济运行的要求。</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color w:val="auto"/>
                <w:sz w:val="24"/>
                <w:highlight w:val="none"/>
              </w:rPr>
            </w:pP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1.0</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pStyle w:val="18"/>
              <w:autoSpaceDE w:val="0"/>
              <w:autoSpaceDN w:val="0"/>
              <w:adjustRightInd w:val="0"/>
              <w:spacing w:before="0" w:beforeAutospacing="0" w:after="0" w:afterAutospacing="0"/>
              <w:jc w:val="both"/>
              <w:rPr>
                <w:rFonts w:hint="default" w:ascii="Times New Roman" w:hAnsi="Times New Roman" w:eastAsia="仿宋_GB2312" w:cs="Times New Roman"/>
                <w:b w:val="0"/>
                <w:bCs w:val="0"/>
                <w:color w:val="auto"/>
                <w:highlight w:val="none"/>
              </w:rPr>
            </w:pPr>
            <w:r>
              <w:rPr>
                <w:rFonts w:hint="default" w:ascii="Times New Roman" w:hAnsi="Times New Roman" w:eastAsia="仿宋_GB2312" w:cs="Times New Roman"/>
                <w:b w:val="0"/>
                <w:bCs w:val="0"/>
                <w:color w:val="auto"/>
                <w:highlight w:val="none"/>
              </w:rPr>
              <w:t>工厂应依据GB 17167、GB24789等要求配备、使用和管理能源、水以及其他资源的计量器具和装置。</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color w:val="auto"/>
                <w:sz w:val="24"/>
                <w:highlight w:val="none"/>
              </w:rPr>
            </w:pP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1.0</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kern w:val="0"/>
                <w:sz w:val="24"/>
                <w:highlight w:val="none"/>
              </w:rPr>
              <w:t>能源及资源使用的类型不同时，应进行分类计量。工厂若具有以下设备，需满足分类计量的要求：（1）照明系统；（2）冷水机组、相关用能设备的能耗计量和控制；（3）室内用水、室外用水；（4）空气处理设备的流量和压力计量；（5）锅炉；（6）冷却塔。</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color w:val="auto"/>
                <w:sz w:val="24"/>
                <w:highlight w:val="none"/>
              </w:rPr>
            </w:pP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1.0</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kern w:val="0"/>
                <w:sz w:val="24"/>
                <w:highlight w:val="none"/>
              </w:rPr>
              <w:t>必要时，工厂应投入适宜的污染物处理设备，以确保其污染物排放达到相关法律法规及标准要求。污染物处理设备的处理能力应与工厂生产排放相适应，设备应满足通用设备的节能方面的要求。</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color w:val="auto"/>
                <w:sz w:val="24"/>
                <w:highlight w:val="none"/>
              </w:rPr>
            </w:pP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1.0</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工厂使用的通用用能设备采用了节能型产品或效率高、能耗低、水耗低、物耗低的产品。</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可选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1.6</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二</w:t>
            </w:r>
          </w:p>
        </w:tc>
        <w:tc>
          <w:tcPr>
            <w:tcW w:w="1135"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管理体系</w:t>
            </w:r>
          </w:p>
        </w:tc>
        <w:tc>
          <w:tcPr>
            <w:tcW w:w="1028"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一般</w:t>
            </w:r>
          </w:p>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要求</w:t>
            </w: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工厂建立、实施并保持满足GB/T 19001的要求的质量管理体系。</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必选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1.5</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通过质量管理体系第三方认证。</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可选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1.2</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工厂建立、实施并保持满足GB/T 28001要求的职业健康安全管理体系。</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必选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1.5</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742"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通过职业健康安全管理体系第三方认证。</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可选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1.2</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环境管理体系</w:t>
            </w: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工厂建立、实施并保持满足GB/T 24001要求的环境管理体系。</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必选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3.0</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通过环境管理体系第三方认证。</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可选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1.5</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能源管理体系</w:t>
            </w: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工厂建立、实施并保持满足GB/T 23331要求的能源管理体系。</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必选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3.0</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通过能源管理体系第三方认证。</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可选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1.5</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社会</w:t>
            </w:r>
          </w:p>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责任</w:t>
            </w: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每年发布社会责任报告，说明履行利益相关方责任的情况，特别是环境社会责任的履行情况，报告公开可获得。</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可选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0.6</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三</w:t>
            </w:r>
          </w:p>
        </w:tc>
        <w:tc>
          <w:tcPr>
            <w:tcW w:w="1135"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能源资源投入</w:t>
            </w:r>
          </w:p>
        </w:tc>
        <w:tc>
          <w:tcPr>
            <w:tcW w:w="1028"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能源</w:t>
            </w:r>
          </w:p>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投入</w:t>
            </w: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工厂应优化用能结构，在保证安全、质量的前提下减少不可再生能源投入。</w:t>
            </w:r>
          </w:p>
        </w:tc>
        <w:tc>
          <w:tcPr>
            <w:tcW w:w="3066"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必选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1.5</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kern w:val="0"/>
                <w:sz w:val="24"/>
                <w:highlight w:val="none"/>
              </w:rPr>
              <w:t>建有能源管理中心。</w:t>
            </w:r>
          </w:p>
        </w:tc>
        <w:tc>
          <w:tcPr>
            <w:tcW w:w="3066"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可选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1.2</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kern w:val="0"/>
                <w:sz w:val="24"/>
                <w:highlight w:val="none"/>
              </w:rPr>
              <w:t>建有厂区光伏电站、智能微电网。</w:t>
            </w:r>
          </w:p>
        </w:tc>
        <w:tc>
          <w:tcPr>
            <w:tcW w:w="3066"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color w:val="auto"/>
                <w:sz w:val="24"/>
                <w:highlight w:val="none"/>
              </w:rPr>
            </w:pP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0.75</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kern w:val="0"/>
                <w:sz w:val="24"/>
                <w:highlight w:val="none"/>
              </w:rPr>
              <w:t>使用了低碳清洁的新能源。</w:t>
            </w:r>
          </w:p>
        </w:tc>
        <w:tc>
          <w:tcPr>
            <w:tcW w:w="3066"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color w:val="auto"/>
                <w:sz w:val="24"/>
                <w:highlight w:val="none"/>
              </w:rPr>
            </w:pP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0.45</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342"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kern w:val="0"/>
                <w:sz w:val="24"/>
                <w:highlight w:val="none"/>
              </w:rPr>
              <w:t>使用可再生能源代替不可再生能源。</w:t>
            </w:r>
          </w:p>
        </w:tc>
        <w:tc>
          <w:tcPr>
            <w:tcW w:w="3066"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color w:val="auto"/>
                <w:sz w:val="24"/>
                <w:highlight w:val="none"/>
              </w:rPr>
            </w:pP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0.45</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kern w:val="0"/>
                <w:sz w:val="24"/>
                <w:highlight w:val="none"/>
              </w:rPr>
              <w:t>充分利用余热余压。</w:t>
            </w:r>
          </w:p>
        </w:tc>
        <w:tc>
          <w:tcPr>
            <w:tcW w:w="3066"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color w:val="auto"/>
                <w:sz w:val="24"/>
                <w:highlight w:val="none"/>
              </w:rPr>
            </w:pP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0.45</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资源</w:t>
            </w:r>
          </w:p>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投入</w:t>
            </w:r>
          </w:p>
        </w:tc>
        <w:tc>
          <w:tcPr>
            <w:tcW w:w="5534"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kern w:val="0"/>
                <w:sz w:val="24"/>
                <w:highlight w:val="none"/>
              </w:rPr>
              <w:t>工厂应按照GB/T 7119的要求对其开展节水评价工作，且满足GB/T 18916（所有部分）中对应本行业的取水定额要求。</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必选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1.5</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kern w:val="0"/>
                <w:sz w:val="24"/>
                <w:highlight w:val="none"/>
              </w:rPr>
              <w:t>工厂应减少材料</w:t>
            </w:r>
            <w:r>
              <w:rPr>
                <w:rFonts w:hint="eastAsia" w:ascii="Times New Roman" w:hAnsi="Times New Roman" w:eastAsia="仿宋_GB2312" w:cs="Times New Roman"/>
                <w:b w:val="0"/>
                <w:bCs w:val="0"/>
                <w:color w:val="auto"/>
                <w:kern w:val="0"/>
                <w:sz w:val="24"/>
                <w:highlight w:val="none"/>
                <w:lang w:eastAsia="zh-CN"/>
              </w:rPr>
              <w:t>，尤其是</w:t>
            </w:r>
            <w:r>
              <w:rPr>
                <w:rFonts w:hint="default" w:ascii="Times New Roman" w:hAnsi="Times New Roman" w:eastAsia="仿宋_GB2312" w:cs="Times New Roman"/>
                <w:b w:val="0"/>
                <w:bCs w:val="0"/>
                <w:color w:val="auto"/>
                <w:kern w:val="0"/>
                <w:sz w:val="24"/>
                <w:highlight w:val="none"/>
              </w:rPr>
              <w:t>有害物质的使用，评估有害物质及化学品减量使用或替代的可行性。</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color w:val="auto"/>
                <w:sz w:val="24"/>
                <w:highlight w:val="none"/>
              </w:rPr>
            </w:pP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1.5</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kern w:val="0"/>
                <w:sz w:val="24"/>
                <w:highlight w:val="none"/>
              </w:rPr>
            </w:pPr>
            <w:r>
              <w:rPr>
                <w:rFonts w:hint="default" w:ascii="Times New Roman" w:hAnsi="Times New Roman" w:eastAsia="仿宋_GB2312" w:cs="Times New Roman"/>
                <w:b w:val="0"/>
                <w:bCs w:val="0"/>
                <w:color w:val="auto"/>
                <w:kern w:val="0"/>
                <w:sz w:val="24"/>
                <w:highlight w:val="none"/>
              </w:rPr>
              <w:t>工厂应按照GB/T 29115的要求对其原材料使用量的减少进行评价。</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color w:val="auto"/>
                <w:sz w:val="24"/>
                <w:highlight w:val="none"/>
              </w:rPr>
            </w:pP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1.5</w:t>
            </w:r>
          </w:p>
        </w:tc>
        <w:tc>
          <w:tcPr>
            <w:tcW w:w="950"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kern w:val="0"/>
                <w:sz w:val="24"/>
                <w:highlight w:val="none"/>
              </w:rPr>
              <w:t>使用回收料、可回收材料替代原生材料、不可回收材料。</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可选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0.75</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kern w:val="0"/>
                <w:sz w:val="24"/>
                <w:highlight w:val="none"/>
              </w:rPr>
              <w:t>替代或减少全球增温潜势较高温室气体的使用。</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color w:val="auto"/>
                <w:sz w:val="24"/>
                <w:highlight w:val="none"/>
              </w:rPr>
            </w:pP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0.6</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采购</w:t>
            </w: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kern w:val="0"/>
                <w:sz w:val="24"/>
                <w:highlight w:val="none"/>
              </w:rPr>
              <w:t>工厂应制定并实施包括环保要求的选择、评价和重新评价供方的准则</w:t>
            </w:r>
            <w:r>
              <w:rPr>
                <w:rFonts w:hint="default" w:ascii="Times New Roman" w:hAnsi="Times New Roman" w:eastAsia="仿宋_GB2312" w:cs="Times New Roman"/>
                <w:b w:val="0"/>
                <w:bCs w:val="0"/>
                <w:color w:val="auto"/>
                <w:sz w:val="24"/>
                <w:highlight w:val="none"/>
              </w:rPr>
              <w:t>。</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必选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1.5</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kern w:val="0"/>
                <w:sz w:val="24"/>
                <w:highlight w:val="none"/>
              </w:rPr>
              <w:t>工厂应确定并实施检验或其他必要的活动，以确保采购的产品满足规定的采购要求。</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color w:val="auto"/>
                <w:sz w:val="24"/>
                <w:highlight w:val="none"/>
              </w:rPr>
            </w:pP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1.5</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工厂向供方提供的采购信息包含有害物质使用、可回收材料使用、能效等环保要求。</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可选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0.6</w:t>
            </w:r>
          </w:p>
        </w:tc>
        <w:tc>
          <w:tcPr>
            <w:tcW w:w="950"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满足绿色供应链评价要求。</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color w:val="auto"/>
                <w:sz w:val="24"/>
                <w:highlight w:val="none"/>
              </w:rPr>
            </w:pP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0.75</w:t>
            </w:r>
          </w:p>
        </w:tc>
        <w:tc>
          <w:tcPr>
            <w:tcW w:w="950"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四</w:t>
            </w:r>
          </w:p>
        </w:tc>
        <w:tc>
          <w:tcPr>
            <w:tcW w:w="1135"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产品</w:t>
            </w:r>
          </w:p>
        </w:tc>
        <w:tc>
          <w:tcPr>
            <w:tcW w:w="1028"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生态</w:t>
            </w:r>
          </w:p>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设计</w:t>
            </w: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工厂在产品设计中引入生态设计的理念。</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必选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3.0</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kern w:val="0"/>
                <w:sz w:val="24"/>
                <w:highlight w:val="none"/>
              </w:rPr>
              <w:t>按照GB/T 24256对生产的产品进行生态设计。</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可选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0.6</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按照GB/T 32161对生产的产品进行生态设计产品评价，满足绿色产品（生态设计产品）评价要求。</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color w:val="auto"/>
                <w:sz w:val="24"/>
                <w:highlight w:val="none"/>
              </w:rPr>
            </w:pP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0.4</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有害物质使用</w:t>
            </w: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工厂生产的产品（包括原料和辅料）应减少有害物质的使用，避免有害物质的泄露，满足国家对产品中有害物质限制使用的要求。</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必选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1.5</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kern w:val="0"/>
                <w:sz w:val="24"/>
                <w:highlight w:val="none"/>
              </w:rPr>
              <w:t>实现有害物质替代。</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可选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0.4</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节能</w:t>
            </w: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工厂生产的产品若为用能产品或在使用过程中对最终产品/构造的能耗有影响的产品，适用时，应满足相关标准的限定值要求。未制定标准的，产品能效应不低于行业平均值。</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必选（适用时）</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1.5</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kern w:val="0"/>
                <w:sz w:val="24"/>
                <w:highlight w:val="none"/>
              </w:rPr>
              <w:t>达到相关标准中的节能评价值/先进值要求，未制定标准的，产品能效达到行业前20%的水平，前5%为满分。</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可选（适用时）</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0.6</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减碳</w:t>
            </w: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kern w:val="0"/>
                <w:sz w:val="24"/>
                <w:highlight w:val="none"/>
              </w:rPr>
              <w:t>采用适用的标准或规范对产品进行碳足迹核算或核查。</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可选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0.6</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kern w:val="0"/>
                <w:sz w:val="24"/>
                <w:highlight w:val="none"/>
              </w:rPr>
              <w:t>利用核算或核查结果对其产品的碳足迹进行改善。核算或核查结果对外公布。</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color w:val="auto"/>
                <w:sz w:val="24"/>
                <w:highlight w:val="none"/>
              </w:rPr>
            </w:pP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0.3</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kern w:val="0"/>
                <w:sz w:val="24"/>
                <w:highlight w:val="none"/>
              </w:rPr>
              <w:t>适用时，产品满足相关低碳产品要求。</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color w:val="auto"/>
                <w:sz w:val="24"/>
                <w:highlight w:val="none"/>
              </w:rPr>
            </w:pP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0.3</w:t>
            </w:r>
          </w:p>
        </w:tc>
        <w:tc>
          <w:tcPr>
            <w:tcW w:w="950"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40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可回收利用率</w:t>
            </w:r>
          </w:p>
        </w:tc>
        <w:tc>
          <w:tcPr>
            <w:tcW w:w="55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kern w:val="0"/>
                <w:sz w:val="24"/>
                <w:highlight w:val="none"/>
              </w:rPr>
              <w:t>按照GB/T 20862的要求计算其产品的可回收利用率。</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可选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0.4</w:t>
            </w:r>
          </w:p>
        </w:tc>
        <w:tc>
          <w:tcPr>
            <w:tcW w:w="950"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kern w:val="0"/>
                <w:sz w:val="24"/>
                <w:highlight w:val="none"/>
              </w:rPr>
              <w:t>利用计算结果对产品的可回收利用率进行改善。</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color w:val="auto"/>
                <w:sz w:val="24"/>
                <w:highlight w:val="none"/>
              </w:rPr>
            </w:pP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0.4</w:t>
            </w:r>
          </w:p>
        </w:tc>
        <w:tc>
          <w:tcPr>
            <w:tcW w:w="950"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五</w:t>
            </w:r>
          </w:p>
        </w:tc>
        <w:tc>
          <w:tcPr>
            <w:tcW w:w="1135"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环境排放</w:t>
            </w:r>
          </w:p>
        </w:tc>
        <w:tc>
          <w:tcPr>
            <w:tcW w:w="1028"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大气污染物</w:t>
            </w:r>
          </w:p>
        </w:tc>
        <w:tc>
          <w:tcPr>
            <w:tcW w:w="55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kern w:val="0"/>
                <w:sz w:val="24"/>
                <w:highlight w:val="none"/>
              </w:rPr>
              <w:t>工厂的大气污染物排放应符合相关国家标准、行业标准及地方标准要求，并满足区域内排放总量控制要求。</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必选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1.5</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hint="default" w:ascii="Times New Roman" w:hAnsi="Times New Roman" w:eastAsia="仿宋_GB2312" w:cs="Times New Roman"/>
                <w:b w:val="0"/>
                <w:bCs w:val="0"/>
                <w:color w:val="auto"/>
                <w:kern w:val="0"/>
                <w:sz w:val="24"/>
                <w:highlight w:val="none"/>
              </w:rPr>
            </w:pPr>
            <w:r>
              <w:rPr>
                <w:rFonts w:hint="default" w:ascii="Times New Roman" w:hAnsi="Times New Roman" w:eastAsia="仿宋_GB2312" w:cs="Times New Roman"/>
                <w:b w:val="0"/>
                <w:bCs w:val="0"/>
                <w:color w:val="auto"/>
                <w:kern w:val="0"/>
                <w:sz w:val="24"/>
                <w:highlight w:val="none"/>
              </w:rPr>
              <w:t>工厂的主要大气污染物排放满足标准中更高等级的要求。</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可选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1.0</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水体污染物</w:t>
            </w:r>
          </w:p>
        </w:tc>
        <w:tc>
          <w:tcPr>
            <w:tcW w:w="55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kern w:val="0"/>
                <w:sz w:val="24"/>
                <w:highlight w:val="none"/>
              </w:rPr>
              <w:t>工厂的水体污染物排放应符合相关国家标准、行业标准及地方标准要求，或在满足要求的前提下委托具备相应能力和资质的处理厂进行处理，并满足区域内排放总量控制要求。</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必选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1.5</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hint="default" w:ascii="Times New Roman" w:hAnsi="Times New Roman" w:eastAsia="仿宋_GB2312" w:cs="Times New Roman"/>
                <w:b w:val="0"/>
                <w:bCs w:val="0"/>
                <w:color w:val="auto"/>
                <w:kern w:val="0"/>
                <w:sz w:val="24"/>
                <w:highlight w:val="none"/>
              </w:rPr>
            </w:pPr>
            <w:r>
              <w:rPr>
                <w:rFonts w:hint="default" w:ascii="Times New Roman" w:hAnsi="Times New Roman" w:eastAsia="仿宋_GB2312" w:cs="Times New Roman"/>
                <w:b w:val="0"/>
                <w:bCs w:val="0"/>
                <w:color w:val="auto"/>
                <w:kern w:val="0"/>
                <w:sz w:val="24"/>
                <w:highlight w:val="none"/>
              </w:rPr>
              <w:t>工厂的主要水体污染物排放满足标准中更高等级的要求。</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可选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1.0</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固体废弃物</w:t>
            </w:r>
          </w:p>
        </w:tc>
        <w:tc>
          <w:tcPr>
            <w:tcW w:w="5534"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kern w:val="0"/>
                <w:sz w:val="24"/>
                <w:highlight w:val="none"/>
              </w:rPr>
              <w:t>工厂产生的固体废弃物的处理应符合GB 18599及相关标准的要求。工厂无法自行处理的，应将固体废弃物转交给具备相应能力和资质的处理厂进行处理。</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必选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1.0</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820"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噪声</w:t>
            </w:r>
          </w:p>
        </w:tc>
        <w:tc>
          <w:tcPr>
            <w:tcW w:w="55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kern w:val="0"/>
                <w:sz w:val="24"/>
                <w:highlight w:val="none"/>
              </w:rPr>
              <w:t>工厂的厂界环境噪声排放应符合相关国家标准、行业标准及地方标准要求。</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必选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1.0</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温室</w:t>
            </w:r>
          </w:p>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气体</w:t>
            </w:r>
          </w:p>
        </w:tc>
        <w:tc>
          <w:tcPr>
            <w:tcW w:w="5534"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kern w:val="0"/>
                <w:sz w:val="24"/>
                <w:highlight w:val="none"/>
              </w:rPr>
              <w:t>工厂应采用GB/T 32150或适用的标准或规范对其厂界范围内的温室气体排放进行核算和报告。</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必选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1.0</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524"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获得温室气体排放量第三方核查声明。</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可选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1.0</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核查结果对外公布。</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可选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0.4</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可行时，利用核算或核查结果对其温室气体的排放进行改善。</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可选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0.6</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858" w:hRule="atLeast"/>
        </w:trPr>
        <w:tc>
          <w:tcPr>
            <w:tcW w:w="704"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六</w:t>
            </w:r>
          </w:p>
        </w:tc>
        <w:tc>
          <w:tcPr>
            <w:tcW w:w="1135"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绩效</w:t>
            </w:r>
          </w:p>
        </w:tc>
        <w:tc>
          <w:tcPr>
            <w:tcW w:w="1028"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用地集约化</w:t>
            </w: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对照GB/T 36132附录A，工厂容积率指标应不低于《工业项目建设用地控制指标》的要求。</w:t>
            </w:r>
          </w:p>
        </w:tc>
        <w:tc>
          <w:tcPr>
            <w:tcW w:w="3066"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必选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1.5</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57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对照GB/T 36132附录A，工厂建筑密度不低于30%。</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必选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1.5</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工厂的单位用地面积产能应不低于行业平均水平；或：工厂的单位用地面积产值不低于地方发布的单位用地面积产值的要求；未发布单位用地面积产值的地区，单位用地面积产值应超过本年度所在省市的单位用地面积产值。</w:t>
            </w:r>
          </w:p>
        </w:tc>
        <w:tc>
          <w:tcPr>
            <w:tcW w:w="3066"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必选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1.5</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80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原料无害化</w:t>
            </w: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对照GB/T 36132附录A，识别、统计绿色物料，计算工厂绿色物料的</w:t>
            </w:r>
            <w:r>
              <w:rPr>
                <w:rFonts w:hint="eastAsia" w:ascii="Times New Roman" w:hAnsi="Times New Roman" w:eastAsia="仿宋_GB2312" w:cs="Times New Roman"/>
                <w:b w:val="0"/>
                <w:bCs w:val="0"/>
                <w:color w:val="auto"/>
                <w:sz w:val="24"/>
                <w:highlight w:val="none"/>
                <w:lang w:val="en-US" w:eastAsia="zh-CN"/>
              </w:rPr>
              <w:t>使用</w:t>
            </w:r>
            <w:r>
              <w:rPr>
                <w:rFonts w:hint="default" w:ascii="Times New Roman" w:hAnsi="Times New Roman" w:eastAsia="仿宋_GB2312" w:cs="Times New Roman"/>
                <w:b w:val="0"/>
                <w:bCs w:val="0"/>
                <w:color w:val="auto"/>
                <w:sz w:val="24"/>
                <w:highlight w:val="none"/>
              </w:rPr>
              <w:t>情况。</w:t>
            </w:r>
          </w:p>
        </w:tc>
        <w:tc>
          <w:tcPr>
            <w:tcW w:w="3066"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必选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3</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生产洁净化</w:t>
            </w: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对照GB/T 36132附录A，工厂单位产品主要污染物产生量（包括化学需氧量、氨氮、二氧化硫、氮氧化物等），指标应不高于行业平均水平。（装备、电子、电器等离散制造业可采用单位产值或单位工业增加值指标。）</w:t>
            </w:r>
          </w:p>
        </w:tc>
        <w:tc>
          <w:tcPr>
            <w:tcW w:w="3066"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必选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3</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对照GB/T 36132附录A，工厂单位产品废气产生量，指标应不高于行业平均水平。（装备、电子、电器等离散制造业可采用单位产值或单位工业增加值指标。）</w:t>
            </w:r>
          </w:p>
        </w:tc>
        <w:tc>
          <w:tcPr>
            <w:tcW w:w="3066"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必选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3</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1480"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对照GB/T 36132附录A，工厂单位产品废水产生量，指标应不高于行业平均水平。（装备、电子、电器等离散制造业可采用单位产值或单位工业增加值指标。）</w:t>
            </w:r>
          </w:p>
        </w:tc>
        <w:tc>
          <w:tcPr>
            <w:tcW w:w="3066"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必选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3</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939"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废物资源化</w:t>
            </w: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对照GB/T 36132附录A，工厂单位产品主要原材料消耗量，指标应不高于行业平均水平。</w:t>
            </w:r>
          </w:p>
        </w:tc>
        <w:tc>
          <w:tcPr>
            <w:tcW w:w="3066"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必选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3</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1336"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对照GB/T 36132附录A，工厂工业固体废物综合利用率，指标应大于65%（根据行业特点，该指标可在±20%之间选取）。</w:t>
            </w:r>
          </w:p>
        </w:tc>
        <w:tc>
          <w:tcPr>
            <w:tcW w:w="3066"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必选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3</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876"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对照GB/T 36132附录A，工厂废水处理回用率指标应高于行业平均值。</w:t>
            </w:r>
          </w:p>
        </w:tc>
        <w:tc>
          <w:tcPr>
            <w:tcW w:w="3066"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必选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3</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23"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能源低碳化</w:t>
            </w: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对照GB/T 36132附录A，工厂单位产品综合能耗，指标应符合相关国家、行业标准中的限额要求。未制定相关标准的，应达到行业平均水平。（装备、电子、电器等离散制造业可采用单位产值或单位工业增加值指标。）</w:t>
            </w:r>
          </w:p>
        </w:tc>
        <w:tc>
          <w:tcPr>
            <w:tcW w:w="3066"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必选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3</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1547"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仿宋_GB2312" w:cs="Times New Roman"/>
                <w:b w:val="0"/>
                <w:bCs w:val="0"/>
                <w:color w:val="auto"/>
                <w:sz w:val="24"/>
                <w:highlight w:val="none"/>
              </w:rPr>
            </w:pPr>
          </w:p>
        </w:tc>
        <w:tc>
          <w:tcPr>
            <w:tcW w:w="5534"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_GB2312" w:cs="Times New Roman"/>
                <w:b w:val="0"/>
                <w:bCs w:val="0"/>
                <w:color w:val="auto"/>
                <w:sz w:val="24"/>
                <w:highlight w:val="none"/>
              </w:rPr>
            </w:pPr>
            <w:r>
              <w:rPr>
                <w:rFonts w:hint="default" w:ascii="Times New Roman" w:hAnsi="Times New Roman" w:eastAsia="仿宋_GB2312" w:cs="Times New Roman"/>
                <w:b w:val="0"/>
                <w:bCs w:val="0"/>
                <w:color w:val="auto"/>
                <w:sz w:val="24"/>
                <w:highlight w:val="none"/>
              </w:rPr>
              <w:t>对照GB/T 36132附录A，工厂单位产品碳排放量，指标应优于行业平均水平。（装备、电子、电器等离散制造业可采用单位产值或单位工业增加值指标。）</w:t>
            </w:r>
          </w:p>
        </w:tc>
        <w:tc>
          <w:tcPr>
            <w:tcW w:w="3066"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必选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1.5</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759" w:hRule="atLeast"/>
        </w:trPr>
        <w:tc>
          <w:tcPr>
            <w:tcW w:w="2867"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加分项</w:t>
            </w:r>
          </w:p>
        </w:tc>
        <w:tc>
          <w:tcPr>
            <w:tcW w:w="5534"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kern w:val="0"/>
                <w:sz w:val="24"/>
                <w:szCs w:val="24"/>
                <w:highlight w:val="none"/>
              </w:rPr>
              <w:t>省级以上绿色工厂创建计划及已开展的相关工作情况说明（附相关</w:t>
            </w:r>
            <w:r>
              <w:rPr>
                <w:rFonts w:hint="default" w:ascii="Times New Roman" w:hAnsi="Times New Roman" w:eastAsia="仿宋_GB2312" w:cs="Times New Roman"/>
                <w:color w:val="auto"/>
                <w:kern w:val="0"/>
                <w:sz w:val="24"/>
                <w:szCs w:val="24"/>
                <w:highlight w:val="none"/>
                <w:lang w:val="en-US" w:eastAsia="zh-CN"/>
              </w:rPr>
              <w:t>证明</w:t>
            </w:r>
            <w:r>
              <w:rPr>
                <w:rFonts w:hint="default" w:ascii="Times New Roman" w:hAnsi="Times New Roman" w:eastAsia="仿宋_GB2312" w:cs="Times New Roman"/>
                <w:color w:val="auto"/>
                <w:kern w:val="0"/>
                <w:sz w:val="24"/>
                <w:szCs w:val="24"/>
                <w:highlight w:val="none"/>
              </w:rPr>
              <w:t>材料）</w:t>
            </w:r>
          </w:p>
        </w:tc>
        <w:tc>
          <w:tcPr>
            <w:tcW w:w="3066"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sz w:val="24"/>
                <w:highlight w:val="none"/>
              </w:rPr>
            </w:pPr>
          </w:p>
        </w:tc>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可选</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3.0</w:t>
            </w: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cantSplit/>
          <w:trHeight w:val="759" w:hRule="atLeast"/>
        </w:trPr>
        <w:tc>
          <w:tcPr>
            <w:tcW w:w="12217" w:type="dxa"/>
            <w:gridSpan w:val="6"/>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kern w:val="0"/>
                <w:sz w:val="24"/>
                <w:szCs w:val="24"/>
                <w:highlight w:val="none"/>
              </w:rPr>
              <w:t>总分</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color w:val="auto"/>
                <w:sz w:val="24"/>
                <w:highlight w:val="none"/>
              </w:rPr>
            </w:pPr>
          </w:p>
        </w:tc>
        <w:tc>
          <w:tcPr>
            <w:tcW w:w="950"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_GB2312" w:cs="Times New Roman"/>
                <w:color w:val="auto"/>
                <w:sz w:val="24"/>
                <w:highlight w:val="none"/>
              </w:rPr>
            </w:pPr>
          </w:p>
        </w:tc>
      </w:tr>
    </w:tbl>
    <w:p>
      <w:pPr>
        <w:spacing w:before="156" w:beforeLines="50"/>
        <w:rPr>
          <w:rFonts w:hint="default"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注：</w:t>
      </w:r>
    </w:p>
    <w:p>
      <w:pPr>
        <w:spacing w:before="156" w:beforeLines="50"/>
        <w:ind w:firstLine="240" w:firstLineChars="10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1.绿色工厂评价必选要求自评得分为0分或满分；可选要求自评得分</w:t>
      </w:r>
      <w:r>
        <w:rPr>
          <w:rFonts w:hint="default" w:ascii="Times New Roman" w:hAnsi="Times New Roman" w:eastAsia="仿宋_GB2312" w:cs="Times New Roman"/>
          <w:color w:val="auto"/>
          <w:kern w:val="0"/>
          <w:sz w:val="24"/>
          <w:szCs w:val="24"/>
          <w:highlight w:val="none"/>
          <w:lang w:val="en-US" w:eastAsia="zh-CN"/>
        </w:rPr>
        <w:t>视情况</w:t>
      </w:r>
      <w:r>
        <w:rPr>
          <w:rFonts w:hint="default" w:ascii="Times New Roman" w:hAnsi="Times New Roman" w:eastAsia="仿宋_GB2312" w:cs="Times New Roman"/>
          <w:color w:val="auto"/>
          <w:kern w:val="0"/>
          <w:sz w:val="24"/>
          <w:szCs w:val="24"/>
          <w:highlight w:val="none"/>
        </w:rPr>
        <w:t>在0到满分之间取值。</w:t>
      </w:r>
    </w:p>
    <w:p>
      <w:pPr>
        <w:spacing w:before="156" w:beforeLines="50"/>
        <w:ind w:firstLine="240" w:firstLineChars="10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2.绩效指标的相关计算公式参照《绿色工厂评价通则》。</w:t>
      </w:r>
    </w:p>
    <w:p>
      <w:pPr>
        <w:rPr>
          <w:rFonts w:hint="default" w:ascii="Times New Roman" w:hAnsi="Times New Roman" w:eastAsia="仿宋_GB2312" w:cs="Times New Roman"/>
          <w:color w:val="auto"/>
          <w:highlight w:val="none"/>
        </w:rPr>
      </w:pPr>
    </w:p>
    <w:sectPr>
      <w:pgSz w:w="16838" w:h="11906" w:orient="landscape"/>
      <w:pgMar w:top="1800" w:right="1440" w:bottom="1800" w:left="1440" w:header="851" w:footer="992" w:gutter="0"/>
      <w:pgBorders>
        <w:top w:val="none" w:color="auto" w:sz="0" w:space="0"/>
        <w:left w:val="none" w:color="auto" w:sz="0" w:space="0"/>
        <w:bottom w:val="none" w:color="auto" w:sz="0" w:space="0"/>
        <w:right w:val="none" w:color="auto"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 w:name="仿宋_GB2312">
    <w:altName w:val="仿宋"/>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pPr>
    <w:r>
      <w:rPr>
        <w:rFonts w:ascii="Calibri" w:hAnsi="Calibri" w:eastAsia="宋体" w:cs="黑体"/>
        <w:kern w:val="2"/>
        <w:sz w:val="18"/>
        <w:szCs w:val="18"/>
        <w:lang w:val="en-US" w:eastAsia="zh-CN" w:bidi="ar-SA"/>
      </w:rPr>
      <w:pict>
        <v:rect id="文本框 1" o:spid="_x0000_s1025" style="position:absolute;left:0;margin-top:0pt;height:144pt;width:144pt;mso-position-horizontal:center;mso-position-horizontal-relative:margin;mso-wrap-style:none;rotation:0f;z-index:251658240;"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pStyle w:val="4"/>
                  <w:rPr>
                    <w:rFonts w:ascii="Times New Roman" w:hAnsi="Times New Roman" w:eastAsia="仿宋" w:cs="Times New Roman"/>
                    <w:sz w:val="21"/>
                    <w:szCs w:val="21"/>
                  </w:rPr>
                </w:pPr>
                <w:r>
                  <w:rPr>
                    <w:rFonts w:ascii="Times New Roman" w:hAnsi="Times New Roman" w:eastAsia="仿宋" w:cs="Times New Roman"/>
                    <w:sz w:val="21"/>
                    <w:szCs w:val="21"/>
                  </w:rPr>
                  <w:fldChar w:fldCharType="begin"/>
                </w:r>
                <w:r>
                  <w:rPr>
                    <w:rFonts w:ascii="Times New Roman" w:hAnsi="Times New Roman" w:eastAsia="仿宋" w:cs="Times New Roman"/>
                    <w:sz w:val="21"/>
                    <w:szCs w:val="21"/>
                  </w:rPr>
                  <w:instrText xml:space="preserve"> PAGE  \* MERGEFORMAT </w:instrText>
                </w:r>
                <w:r>
                  <w:rPr>
                    <w:rFonts w:ascii="Times New Roman" w:hAnsi="Times New Roman" w:eastAsia="仿宋" w:cs="Times New Roman"/>
                    <w:sz w:val="21"/>
                    <w:szCs w:val="21"/>
                  </w:rPr>
                  <w:fldChar w:fldCharType="separate"/>
                </w:r>
                <w:r>
                  <w:t>1</w:t>
                </w:r>
                <w:r>
                  <w:rPr>
                    <w:rFonts w:ascii="Times New Roman" w:hAnsi="Times New Roman" w:eastAsia="仿宋" w:cs="Times New Roman"/>
                    <w:sz w:val="21"/>
                    <w:szCs w:val="21"/>
                  </w:rPr>
                  <w:fldChar w:fldCharType="end"/>
                </w:r>
              </w:p>
            </w:txbxContent>
          </v:textbox>
        </v:rect>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pPr>
    <w:r>
      <w:rPr>
        <w:rFonts w:ascii="Calibri" w:hAnsi="Calibri" w:eastAsia="宋体" w:cs="黑体"/>
        <w:kern w:val="2"/>
        <w:sz w:val="18"/>
        <w:szCs w:val="18"/>
        <w:lang w:val="en-US" w:eastAsia="zh-CN" w:bidi="ar-SA"/>
      </w:rPr>
      <w:pict>
        <v:rect id="文本框 2" o:spid="_x0000_s1026" style="position:absolute;left:0;margin-top:0pt;height:144pt;width:144pt;mso-position-horizontal:center;mso-position-horizontal-relative:margin;mso-wrap-style:none;rotation:0f;z-index:251659264;"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pStyle w:val="4"/>
                  <w:rPr>
                    <w:rFonts w:ascii="Times New Roman" w:hAnsi="Times New Roman" w:eastAsia="仿宋" w:cs="Times New Roman"/>
                    <w:sz w:val="21"/>
                    <w:szCs w:val="21"/>
                  </w:rPr>
                </w:pPr>
                <w:r>
                  <w:rPr>
                    <w:rFonts w:ascii="Times New Roman" w:hAnsi="Times New Roman" w:eastAsia="仿宋" w:cs="Times New Roman"/>
                    <w:sz w:val="21"/>
                    <w:szCs w:val="21"/>
                  </w:rPr>
                  <w:fldChar w:fldCharType="begin"/>
                </w:r>
                <w:r>
                  <w:rPr>
                    <w:rFonts w:ascii="Times New Roman" w:hAnsi="Times New Roman" w:eastAsia="仿宋" w:cs="Times New Roman"/>
                    <w:sz w:val="21"/>
                    <w:szCs w:val="21"/>
                  </w:rPr>
                  <w:instrText xml:space="preserve"> PAGE  \* MERGEFORMAT </w:instrText>
                </w:r>
                <w:r>
                  <w:rPr>
                    <w:rFonts w:ascii="Times New Roman" w:hAnsi="Times New Roman" w:eastAsia="仿宋" w:cs="Times New Roman"/>
                    <w:sz w:val="21"/>
                    <w:szCs w:val="21"/>
                  </w:rPr>
                  <w:fldChar w:fldCharType="separate"/>
                </w:r>
                <w:r>
                  <w:t>1</w:t>
                </w:r>
                <w:r>
                  <w:rPr>
                    <w:rFonts w:ascii="Times New Roman" w:hAnsi="Times New Roman" w:eastAsia="仿宋" w:cs="Times New Roman"/>
                    <w:sz w:val="21"/>
                    <w:szCs w:val="21"/>
                  </w:rPr>
                  <w:fldChar w:fldCharType="end"/>
                </w:r>
              </w:p>
            </w:txbxContent>
          </v:textbox>
        </v:rect>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docVars>
    <w:docVar w:name="commondata" w:val="eyJoZGlkIjoiZmY1OGUyOGI4ZDk1ODI5YTY1ZWViYmQxOWU4MDBlOTAifQ=="/>
  </w:docVars>
  <w:rsids>
    <w:rsidRoot w:val="00BA6874"/>
    <w:rsid w:val="000706DD"/>
    <w:rsid w:val="001238D2"/>
    <w:rsid w:val="00147B97"/>
    <w:rsid w:val="001B4EA8"/>
    <w:rsid w:val="00212AEA"/>
    <w:rsid w:val="0023000C"/>
    <w:rsid w:val="00260509"/>
    <w:rsid w:val="00391B16"/>
    <w:rsid w:val="003A2A1F"/>
    <w:rsid w:val="003C16A0"/>
    <w:rsid w:val="003D1350"/>
    <w:rsid w:val="003E5874"/>
    <w:rsid w:val="004404CD"/>
    <w:rsid w:val="0047643A"/>
    <w:rsid w:val="00484806"/>
    <w:rsid w:val="004E71BD"/>
    <w:rsid w:val="00501C4C"/>
    <w:rsid w:val="0055607B"/>
    <w:rsid w:val="006B2D50"/>
    <w:rsid w:val="006D03E5"/>
    <w:rsid w:val="00720B9C"/>
    <w:rsid w:val="00723E25"/>
    <w:rsid w:val="00893F43"/>
    <w:rsid w:val="008B5AFA"/>
    <w:rsid w:val="008B7ABB"/>
    <w:rsid w:val="00942141"/>
    <w:rsid w:val="009B0C32"/>
    <w:rsid w:val="009D10F8"/>
    <w:rsid w:val="009D2ACE"/>
    <w:rsid w:val="00A277AC"/>
    <w:rsid w:val="00A74E9B"/>
    <w:rsid w:val="00AA59C1"/>
    <w:rsid w:val="00B90471"/>
    <w:rsid w:val="00B93A21"/>
    <w:rsid w:val="00BA6874"/>
    <w:rsid w:val="00BE6EC2"/>
    <w:rsid w:val="00D053ED"/>
    <w:rsid w:val="00D6428B"/>
    <w:rsid w:val="00D734B9"/>
    <w:rsid w:val="00E679A1"/>
    <w:rsid w:val="00F34383"/>
    <w:rsid w:val="034C4CF4"/>
    <w:rsid w:val="04B812CC"/>
    <w:rsid w:val="06304C93"/>
    <w:rsid w:val="068B6266"/>
    <w:rsid w:val="076B072E"/>
    <w:rsid w:val="07D258D6"/>
    <w:rsid w:val="0B4811B5"/>
    <w:rsid w:val="0BFF2A12"/>
    <w:rsid w:val="0DF540CC"/>
    <w:rsid w:val="0DF91E0E"/>
    <w:rsid w:val="0E04227D"/>
    <w:rsid w:val="0E867BAC"/>
    <w:rsid w:val="0EA94A06"/>
    <w:rsid w:val="0EC51CF1"/>
    <w:rsid w:val="0EEA74C0"/>
    <w:rsid w:val="10F7015B"/>
    <w:rsid w:val="12C50511"/>
    <w:rsid w:val="131E6FD6"/>
    <w:rsid w:val="141F00F5"/>
    <w:rsid w:val="154F967B"/>
    <w:rsid w:val="19550115"/>
    <w:rsid w:val="19D92233"/>
    <w:rsid w:val="1BA972F6"/>
    <w:rsid w:val="1BF956CF"/>
    <w:rsid w:val="1EFB396D"/>
    <w:rsid w:val="21262AC3"/>
    <w:rsid w:val="21B53E47"/>
    <w:rsid w:val="22052276"/>
    <w:rsid w:val="227855A0"/>
    <w:rsid w:val="24AE163F"/>
    <w:rsid w:val="24B44889"/>
    <w:rsid w:val="268C0B52"/>
    <w:rsid w:val="26977FBF"/>
    <w:rsid w:val="29F378AF"/>
    <w:rsid w:val="2AED63FF"/>
    <w:rsid w:val="2BBB02AC"/>
    <w:rsid w:val="306B2ED1"/>
    <w:rsid w:val="307A24E3"/>
    <w:rsid w:val="32A0644D"/>
    <w:rsid w:val="343B01DB"/>
    <w:rsid w:val="349E076A"/>
    <w:rsid w:val="35C661CB"/>
    <w:rsid w:val="375021F0"/>
    <w:rsid w:val="389C043F"/>
    <w:rsid w:val="3A042A61"/>
    <w:rsid w:val="3A29513B"/>
    <w:rsid w:val="3CD613E9"/>
    <w:rsid w:val="3F516B05"/>
    <w:rsid w:val="40317E70"/>
    <w:rsid w:val="41C32921"/>
    <w:rsid w:val="42935686"/>
    <w:rsid w:val="42FC147E"/>
    <w:rsid w:val="465F438E"/>
    <w:rsid w:val="473B1260"/>
    <w:rsid w:val="47523D62"/>
    <w:rsid w:val="4B4D2082"/>
    <w:rsid w:val="4DED0341"/>
    <w:rsid w:val="4ED80FF1"/>
    <w:rsid w:val="505226DD"/>
    <w:rsid w:val="525503F5"/>
    <w:rsid w:val="539C47D9"/>
    <w:rsid w:val="53DF24DA"/>
    <w:rsid w:val="54A46AC2"/>
    <w:rsid w:val="54C94F38"/>
    <w:rsid w:val="55723903"/>
    <w:rsid w:val="568B4B9B"/>
    <w:rsid w:val="56B67D92"/>
    <w:rsid w:val="57877110"/>
    <w:rsid w:val="5940507C"/>
    <w:rsid w:val="5A3F0176"/>
    <w:rsid w:val="5AD50F78"/>
    <w:rsid w:val="5FB46F10"/>
    <w:rsid w:val="61AE5BE1"/>
    <w:rsid w:val="61F01D56"/>
    <w:rsid w:val="63395A06"/>
    <w:rsid w:val="634B7B8C"/>
    <w:rsid w:val="63911317"/>
    <w:rsid w:val="63BF40D6"/>
    <w:rsid w:val="68950EC3"/>
    <w:rsid w:val="6A3053E5"/>
    <w:rsid w:val="6CD4279E"/>
    <w:rsid w:val="6D003795"/>
    <w:rsid w:val="6E1D0376"/>
    <w:rsid w:val="6E7F06E9"/>
    <w:rsid w:val="6E9F6FDD"/>
    <w:rsid w:val="6EA67163"/>
    <w:rsid w:val="6F0D2199"/>
    <w:rsid w:val="6F9E7295"/>
    <w:rsid w:val="6FFDA980"/>
    <w:rsid w:val="702C664F"/>
    <w:rsid w:val="70D53D40"/>
    <w:rsid w:val="715776FB"/>
    <w:rsid w:val="7258197D"/>
    <w:rsid w:val="73DE5EB2"/>
    <w:rsid w:val="74273CFD"/>
    <w:rsid w:val="752913AF"/>
    <w:rsid w:val="7544268D"/>
    <w:rsid w:val="76966F18"/>
    <w:rsid w:val="79815C5D"/>
    <w:rsid w:val="7B300869"/>
    <w:rsid w:val="7DA8256C"/>
    <w:rsid w:val="7FAD1726"/>
  </w:rsid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character" w:default="1" w:styleId="11">
    <w:name w:val="Default Paragraph Font"/>
    <w:unhideWhenUsed/>
    <w:qFormat/>
    <w:uiPriority w:val="1"/>
  </w:style>
  <w:style w:type="table" w:default="1" w:styleId="14">
    <w:name w:val="Normal Table"/>
    <w:unhideWhenUsed/>
    <w:qFormat/>
    <w:uiPriority w:val="99"/>
    <w:tblPr>
      <w:tblStyle w:val="14"/>
      <w:tblLayout w:type="fixed"/>
      <w:tblCellMar>
        <w:top w:w="0" w:type="dxa"/>
        <w:left w:w="108" w:type="dxa"/>
        <w:bottom w:w="0" w:type="dxa"/>
        <w:right w:w="108" w:type="dxa"/>
      </w:tblCellMar>
    </w:tblPr>
    <w:tcPr>
      <w:textDirection w:val="lrTb"/>
    </w:tcPr>
  </w:style>
  <w:style w:type="paragraph" w:styleId="2">
    <w:name w:val="Body Text First Indent 2"/>
    <w:basedOn w:val="3"/>
    <w:qFormat/>
    <w:uiPriority w:val="0"/>
    <w:pPr>
      <w:ind w:firstLine="420" w:firstLineChars="200"/>
    </w:pPr>
  </w:style>
  <w:style w:type="paragraph" w:styleId="3">
    <w:name w:val="Body Text Indent"/>
    <w:basedOn w:val="1"/>
    <w:next w:val="4"/>
    <w:qFormat/>
    <w:uiPriority w:val="0"/>
    <w:pPr>
      <w:spacing w:after="120"/>
      <w:ind w:left="420" w:leftChars="200"/>
    </w:pPr>
  </w:style>
  <w:style w:type="paragraph" w:styleId="4">
    <w:name w:val="footer"/>
    <w:basedOn w:val="1"/>
    <w:link w:val="23"/>
    <w:unhideWhenUsed/>
    <w:qFormat/>
    <w:uiPriority w:val="0"/>
    <w:pPr>
      <w:tabs>
        <w:tab w:val="center" w:pos="4153"/>
        <w:tab w:val="right" w:pos="8306"/>
      </w:tabs>
      <w:snapToGrid w:val="0"/>
      <w:jc w:val="left"/>
    </w:pPr>
    <w:rPr>
      <w:sz w:val="18"/>
      <w:szCs w:val="18"/>
    </w:rPr>
  </w:style>
  <w:style w:type="paragraph" w:styleId="5">
    <w:name w:val="Body Text First Indent"/>
    <w:basedOn w:val="6"/>
    <w:link w:val="28"/>
    <w:unhideWhenUsed/>
    <w:qFormat/>
    <w:uiPriority w:val="0"/>
    <w:pPr>
      <w:ind w:firstLine="420" w:firstLineChars="100"/>
    </w:pPr>
    <w:rPr>
      <w:rFonts w:ascii="Times New Roman" w:hAnsi="Times New Roman" w:cs="Times New Roman"/>
      <w:szCs w:val="24"/>
    </w:rPr>
  </w:style>
  <w:style w:type="paragraph" w:styleId="6">
    <w:name w:val="Body Text"/>
    <w:basedOn w:val="1"/>
    <w:link w:val="24"/>
    <w:unhideWhenUsed/>
    <w:qFormat/>
    <w:uiPriority w:val="0"/>
    <w:pPr>
      <w:spacing w:after="120"/>
    </w:pPr>
  </w:style>
  <w:style w:type="paragraph" w:styleId="7">
    <w:name w:val="toa heading"/>
    <w:basedOn w:val="1"/>
    <w:next w:val="1"/>
    <w:unhideWhenUsed/>
    <w:qFormat/>
    <w:uiPriority w:val="0"/>
    <w:rPr>
      <w:rFonts w:ascii="Arial" w:hAnsi="Arial" w:cs="Times New Roman"/>
      <w:szCs w:val="24"/>
    </w:rPr>
  </w:style>
  <w:style w:type="paragraph" w:styleId="8">
    <w:name w:val="annotation text"/>
    <w:basedOn w:val="1"/>
    <w:link w:val="27"/>
    <w:unhideWhenUsed/>
    <w:qFormat/>
    <w:uiPriority w:val="0"/>
    <w:pPr>
      <w:jc w:val="left"/>
    </w:pPr>
    <w:rPr>
      <w:rFonts w:ascii="Times New Roman" w:hAnsi="Times New Roman" w:cs="Times New Roman"/>
      <w:szCs w:val="24"/>
    </w:rPr>
  </w:style>
  <w:style w:type="paragraph" w:styleId="9">
    <w:name w:val="header"/>
    <w:basedOn w:val="1"/>
    <w:link w:val="22"/>
    <w:unhideWhenUsed/>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unhideWhenUsed/>
    <w:qFormat/>
    <w:uiPriority w:val="0"/>
    <w:pPr>
      <w:spacing w:before="100" w:beforeAutospacing="1" w:after="100" w:afterAutospacing="1"/>
      <w:jc w:val="left"/>
    </w:pPr>
    <w:rPr>
      <w:rFonts w:ascii="Times New Roman" w:hAnsi="Times New Roman" w:cs="Times New Roman"/>
      <w:kern w:val="0"/>
      <w:sz w:val="24"/>
      <w:szCs w:val="24"/>
    </w:rPr>
  </w:style>
  <w:style w:type="character" w:styleId="12">
    <w:name w:val="FollowedHyperlink"/>
    <w:basedOn w:val="11"/>
    <w:unhideWhenUsed/>
    <w:qFormat/>
    <w:uiPriority w:val="99"/>
    <w:rPr>
      <w:color w:val="954F72"/>
      <w:u w:val="single"/>
    </w:rPr>
  </w:style>
  <w:style w:type="character" w:styleId="13">
    <w:name w:val="Hyperlink"/>
    <w:basedOn w:val="11"/>
    <w:unhideWhenUsed/>
    <w:qFormat/>
    <w:uiPriority w:val="99"/>
    <w:rPr>
      <w:color w:val="0000FF"/>
      <w:u w:val="single"/>
    </w:rPr>
  </w:style>
  <w:style w:type="table" w:styleId="15">
    <w:name w:val="Table Grid"/>
    <w:basedOn w:val="14"/>
    <w:qFormat/>
    <w:uiPriority w:val="0"/>
    <w:pPr>
      <w:widowControl w:val="0"/>
      <w:jc w:val="both"/>
    </w:pPr>
    <w:tblPr>
      <w:tblStyle w:val="14"/>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cPr>
      <w:textDirection w:val="lrTb"/>
    </w:tcPr>
  </w:style>
  <w:style w:type="paragraph" w:customStyle="1" w:styleId="16">
    <w:name w:val="列出段落1"/>
    <w:basedOn w:val="1"/>
    <w:qFormat/>
    <w:uiPriority w:val="34"/>
    <w:pPr>
      <w:ind w:firstLine="420" w:firstLineChars="200"/>
    </w:pPr>
  </w:style>
  <w:style w:type="paragraph" w:customStyle="1" w:styleId="17">
    <w:name w:val="列出段落2"/>
    <w:basedOn w:val="1"/>
    <w:qFormat/>
    <w:uiPriority w:val="99"/>
    <w:pPr>
      <w:ind w:firstLine="420" w:firstLineChars="200"/>
    </w:pPr>
  </w:style>
  <w:style w:type="paragraph" w:customStyle="1" w:styleId="18">
    <w:name w:val="列表段落1"/>
    <w:basedOn w:val="1"/>
    <w:qFormat/>
    <w:uiPriority w:val="34"/>
    <w:pPr>
      <w:widowControl/>
      <w:spacing w:before="100" w:beforeAutospacing="1" w:after="100" w:afterAutospacing="1"/>
      <w:jc w:val="left"/>
    </w:pPr>
    <w:rPr>
      <w:rFonts w:ascii="宋体" w:hAnsi="宋体" w:cs="宋体"/>
      <w:kern w:val="0"/>
      <w:sz w:val="24"/>
    </w:rPr>
  </w:style>
  <w:style w:type="paragraph" w:customStyle="1" w:styleId="19">
    <w:name w:val="List Paragraph"/>
    <w:basedOn w:val="1"/>
    <w:qFormat/>
    <w:uiPriority w:val="34"/>
    <w:pPr>
      <w:ind w:firstLine="420" w:firstLineChars="200"/>
    </w:pPr>
  </w:style>
  <w:style w:type="paragraph" w:customStyle="1" w:styleId="20">
    <w:name w:val="msonormal"/>
    <w:basedOn w:val="1"/>
    <w:qFormat/>
    <w:uiPriority w:val="0"/>
    <w:pPr>
      <w:spacing w:before="100" w:beforeAutospacing="1" w:after="100" w:afterAutospacing="1"/>
      <w:jc w:val="left"/>
    </w:pPr>
    <w:rPr>
      <w:rFonts w:ascii="Times New Roman" w:hAnsi="Times New Roman" w:cs="Times New Roman"/>
      <w:kern w:val="0"/>
      <w:sz w:val="24"/>
      <w:szCs w:val="24"/>
    </w:rPr>
  </w:style>
  <w:style w:type="paragraph" w:customStyle="1" w:styleId="21">
    <w:name w:val="修订1"/>
    <w:semiHidden/>
    <w:qFormat/>
    <w:uiPriority w:val="99"/>
    <w:rPr>
      <w:rFonts w:ascii="Times New Roman" w:hAnsi="Times New Roman" w:eastAsia="宋体" w:cs="Times New Roman"/>
      <w:kern w:val="2"/>
      <w:sz w:val="21"/>
      <w:szCs w:val="24"/>
      <w:lang w:val="en-US" w:eastAsia="zh-CN" w:bidi="ar-SA"/>
    </w:rPr>
  </w:style>
  <w:style w:type="character" w:customStyle="1" w:styleId="22">
    <w:name w:val="页眉 字符"/>
    <w:basedOn w:val="11"/>
    <w:link w:val="9"/>
    <w:qFormat/>
    <w:uiPriority w:val="0"/>
    <w:rPr>
      <w:sz w:val="18"/>
      <w:szCs w:val="18"/>
    </w:rPr>
  </w:style>
  <w:style w:type="character" w:customStyle="1" w:styleId="23">
    <w:name w:val="页脚 字符"/>
    <w:basedOn w:val="11"/>
    <w:link w:val="4"/>
    <w:qFormat/>
    <w:uiPriority w:val="0"/>
    <w:rPr>
      <w:sz w:val="18"/>
      <w:szCs w:val="18"/>
    </w:rPr>
  </w:style>
  <w:style w:type="character" w:customStyle="1" w:styleId="24">
    <w:name w:val="正文文本 字符"/>
    <w:basedOn w:val="11"/>
    <w:link w:val="6"/>
    <w:qFormat/>
    <w:uiPriority w:val="0"/>
    <w:rPr>
      <w:rFonts w:ascii="Calibri" w:hAnsi="Calibri" w:eastAsia="宋体" w:cs="黑体"/>
    </w:rPr>
  </w:style>
  <w:style w:type="character" w:customStyle="1" w:styleId="25">
    <w:name w:val="font11"/>
    <w:basedOn w:val="11"/>
    <w:qFormat/>
    <w:uiPriority w:val="0"/>
    <w:rPr>
      <w:rFonts w:hint="eastAsia" w:ascii="仿宋_GB2312" w:eastAsia="仿宋_GB2312" w:cs="仿宋_GB2312"/>
      <w:color w:val="000000"/>
      <w:sz w:val="22"/>
      <w:szCs w:val="22"/>
      <w:u w:val="none"/>
    </w:rPr>
  </w:style>
  <w:style w:type="character" w:customStyle="1" w:styleId="26">
    <w:name w:val="font01"/>
    <w:basedOn w:val="11"/>
    <w:qFormat/>
    <w:uiPriority w:val="0"/>
    <w:rPr>
      <w:rFonts w:hint="eastAsia" w:ascii="宋体" w:hAnsi="宋体" w:eastAsia="宋体" w:cs="宋体"/>
      <w:color w:val="000000"/>
      <w:sz w:val="22"/>
      <w:szCs w:val="22"/>
      <w:u w:val="none"/>
    </w:rPr>
  </w:style>
  <w:style w:type="character" w:customStyle="1" w:styleId="27">
    <w:name w:val="批注文字 字符"/>
    <w:basedOn w:val="11"/>
    <w:link w:val="8"/>
    <w:semiHidden/>
    <w:qFormat/>
    <w:uiPriority w:val="0"/>
    <w:rPr>
      <w:rFonts w:ascii="Times New Roman" w:hAnsi="Times New Roman" w:eastAsia="宋体" w:cs="Times New Roman"/>
      <w:szCs w:val="24"/>
    </w:rPr>
  </w:style>
  <w:style w:type="character" w:customStyle="1" w:styleId="28">
    <w:name w:val="正文文本首行缩进 字符"/>
    <w:basedOn w:val="24"/>
    <w:link w:val="5"/>
    <w:semiHidden/>
    <w:qFormat/>
    <w:uiPriority w:val="0"/>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5" textRotate="1"/>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Pages>
  <Words>5658</Words>
  <Characters>6157</Characters>
  <Lines>56</Lines>
  <Paragraphs>15</Paragraphs>
  <ScaleCrop>false</ScaleCrop>
  <LinksUpToDate>false</LinksUpToDate>
  <CharactersWithSpaces>0</CharactersWithSpaces>
  <Application>WPS Office 专业版_9.1.0.4895_{F1E327BC-269C-435d-A152-05C5408002CA}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2024-02-06T12:20:00Z</dcterms:created>
  <dc:creator>杨 怀杰</dc:creator>
  <cp:lastModifiedBy>肖起彪</cp:lastModifiedBy>
  <dcterms:modified xsi:type="dcterms:W3CDTF">2024-06-19T07:59:32Z</dcterms:modified>
  <dc:title>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2052-9.1.0.4895</vt:lpwstr>
  </property>
  <property fmtid="{D5CDD505-2E9C-101B-9397-08002B2CF9AE}" pid="3" name="ICV">
    <vt:lpwstr>0B4265F7DD694F18B8081E0BC1BBB246_12</vt:lpwstr>
  </property>
</Properties>
</file>