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5C8D1D">
      <w:pPr>
        <w:keepNext w:val="0"/>
        <w:keepLines w:val="0"/>
        <w:pageBreakBefore w:val="0"/>
        <w:widowControl w:val="0"/>
        <w:numPr>
          <w:ilvl w:val="0"/>
          <w:numId w:val="0"/>
        </w:numPr>
        <w:kinsoku/>
        <w:wordWrap/>
        <w:overflowPunct/>
        <w:topLinePunct w:val="0"/>
        <w:autoSpaceDE/>
        <w:autoSpaceDN/>
        <w:bidi w:val="0"/>
        <w:adjustRightInd/>
        <w:snapToGrid/>
        <w:spacing w:line="580" w:lineRule="exact"/>
        <w:jc w:val="center"/>
        <w:textAlignment w:val="auto"/>
        <w:rPr>
          <w:rFonts w:hint="default" w:ascii="Times New Roman" w:hAnsi="Times New Roman" w:eastAsia="方正小标宋简体" w:cs="Times New Roman"/>
          <w:b w:val="0"/>
          <w:bCs w:val="0"/>
          <w:sz w:val="44"/>
          <w:szCs w:val="44"/>
          <w:highlight w:val="none"/>
          <w:lang w:val="en-US" w:eastAsia="zh-CN"/>
        </w:rPr>
      </w:pPr>
    </w:p>
    <w:p w14:paraId="36C913E1">
      <w:pPr>
        <w:keepNext w:val="0"/>
        <w:keepLines w:val="0"/>
        <w:pageBreakBefore w:val="0"/>
        <w:widowControl w:val="0"/>
        <w:numPr>
          <w:ilvl w:val="0"/>
          <w:numId w:val="0"/>
        </w:numPr>
        <w:kinsoku/>
        <w:wordWrap/>
        <w:overflowPunct/>
        <w:topLinePunct w:val="0"/>
        <w:autoSpaceDE/>
        <w:autoSpaceDN/>
        <w:bidi w:val="0"/>
        <w:adjustRightInd/>
        <w:snapToGrid/>
        <w:spacing w:line="580" w:lineRule="exact"/>
        <w:jc w:val="center"/>
        <w:textAlignment w:val="auto"/>
        <w:rPr>
          <w:rFonts w:hint="default" w:ascii="Times New Roman" w:hAnsi="Times New Roman" w:eastAsia="方正小标宋简体" w:cs="Times New Roman"/>
          <w:b w:val="0"/>
          <w:bCs w:val="0"/>
          <w:sz w:val="44"/>
          <w:szCs w:val="44"/>
          <w:highlight w:val="none"/>
          <w:lang w:val="en-US" w:eastAsia="zh-CN"/>
        </w:rPr>
      </w:pPr>
      <w:bookmarkStart w:id="0" w:name="_GoBack"/>
      <w:r>
        <w:rPr>
          <w:rFonts w:hint="default" w:ascii="Times New Roman" w:hAnsi="Times New Roman" w:eastAsia="方正小标宋简体" w:cs="Times New Roman"/>
          <w:b w:val="0"/>
          <w:bCs w:val="0"/>
          <w:sz w:val="44"/>
          <w:szCs w:val="44"/>
          <w:highlight w:val="none"/>
          <w:lang w:val="en-US" w:eastAsia="zh-CN"/>
        </w:rPr>
        <w:t>邯郸市</w:t>
      </w:r>
      <w:r>
        <w:rPr>
          <w:rFonts w:hint="default" w:ascii="Times New Roman" w:hAnsi="Times New Roman" w:eastAsia="方正小标宋简体" w:cs="Times New Roman"/>
          <w:b w:val="0"/>
          <w:bCs w:val="0"/>
          <w:sz w:val="44"/>
          <w:szCs w:val="44"/>
          <w:highlight w:val="none"/>
          <w:lang w:val="en" w:eastAsia="zh-CN"/>
        </w:rPr>
        <w:t>202</w:t>
      </w:r>
      <w:r>
        <w:rPr>
          <w:rFonts w:hint="eastAsia" w:ascii="Times New Roman" w:hAnsi="Times New Roman" w:eastAsia="方正小标宋简体" w:cs="Times New Roman"/>
          <w:b w:val="0"/>
          <w:bCs w:val="0"/>
          <w:sz w:val="44"/>
          <w:szCs w:val="44"/>
          <w:highlight w:val="none"/>
          <w:lang w:val="en-US" w:eastAsia="zh-CN"/>
        </w:rPr>
        <w:t>6</w:t>
      </w:r>
      <w:r>
        <w:rPr>
          <w:rFonts w:hint="default" w:ascii="Times New Roman" w:hAnsi="Times New Roman" w:eastAsia="方正小标宋简体" w:cs="Times New Roman"/>
          <w:b w:val="0"/>
          <w:bCs w:val="0"/>
          <w:sz w:val="44"/>
          <w:szCs w:val="44"/>
          <w:highlight w:val="none"/>
          <w:lang w:val="en" w:eastAsia="zh-CN"/>
        </w:rPr>
        <w:t>年</w:t>
      </w:r>
      <w:r>
        <w:rPr>
          <w:rFonts w:hint="default" w:ascii="Times New Roman" w:hAnsi="Times New Roman" w:eastAsia="方正小标宋简体" w:cs="Times New Roman"/>
          <w:b w:val="0"/>
          <w:bCs w:val="0"/>
          <w:sz w:val="44"/>
          <w:szCs w:val="44"/>
          <w:highlight w:val="none"/>
          <w:lang w:val="en-US" w:eastAsia="zh-CN"/>
        </w:rPr>
        <w:t>电力负荷管理工作方案</w:t>
      </w:r>
    </w:p>
    <w:bookmarkEnd w:id="0"/>
    <w:p w14:paraId="410CF7E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方正仿宋_GBK" w:cs="Times New Roman"/>
          <w:sz w:val="32"/>
          <w:szCs w:val="22"/>
          <w:highlight w:val="none"/>
        </w:rPr>
      </w:pPr>
    </w:p>
    <w:p w14:paraId="719B1D6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22"/>
          <w:highlight w:val="none"/>
        </w:rPr>
      </w:pPr>
      <w:r>
        <w:rPr>
          <w:rFonts w:hint="default" w:ascii="Times New Roman" w:hAnsi="Times New Roman" w:eastAsia="方正仿宋_GBK" w:cs="Times New Roman"/>
          <w:sz w:val="32"/>
          <w:szCs w:val="22"/>
          <w:highlight w:val="none"/>
        </w:rPr>
        <w:t>为有效应对电力供应不足、突发事件等情况，保障</w:t>
      </w:r>
      <w:r>
        <w:rPr>
          <w:rFonts w:hint="default" w:ascii="Times New Roman" w:hAnsi="Times New Roman" w:eastAsia="方正仿宋_GBK" w:cs="Times New Roman"/>
          <w:sz w:val="32"/>
          <w:szCs w:val="22"/>
          <w:highlight w:val="none"/>
          <w:lang w:eastAsia="zh-CN"/>
        </w:rPr>
        <w:t>我市</w:t>
      </w:r>
      <w:r>
        <w:rPr>
          <w:rFonts w:hint="default" w:ascii="Times New Roman" w:hAnsi="Times New Roman" w:eastAsia="方正仿宋_GBK" w:cs="Times New Roman"/>
          <w:sz w:val="32"/>
          <w:szCs w:val="22"/>
          <w:highlight w:val="none"/>
        </w:rPr>
        <w:t>电网安全稳定运行、供用电秩序平稳，我委认真总结</w:t>
      </w:r>
      <w:r>
        <w:rPr>
          <w:rFonts w:hint="eastAsia" w:ascii="Times New Roman" w:hAnsi="Times New Roman" w:eastAsia="方正仿宋_GBK" w:cs="Times New Roman"/>
          <w:sz w:val="32"/>
          <w:szCs w:val="22"/>
          <w:highlight w:val="none"/>
          <w:lang w:val="en-US" w:eastAsia="zh-CN"/>
        </w:rPr>
        <w:t>2025年</w:t>
      </w:r>
      <w:r>
        <w:rPr>
          <w:rFonts w:hint="default" w:ascii="Times New Roman" w:hAnsi="Times New Roman" w:eastAsia="方正仿宋_GBK" w:cs="Times New Roman"/>
          <w:sz w:val="32"/>
          <w:szCs w:val="22"/>
          <w:highlight w:val="none"/>
        </w:rPr>
        <w:t>电力保供工作经验，结</w:t>
      </w:r>
      <w:r>
        <w:rPr>
          <w:rFonts w:hint="default" w:ascii="Times New Roman" w:hAnsi="Times New Roman" w:eastAsia="方正仿宋_GBK" w:cs="Times New Roman"/>
          <w:sz w:val="32"/>
          <w:szCs w:val="22"/>
          <w:highlight w:val="none"/>
          <w:lang w:val="en-US" w:eastAsia="zh-CN"/>
        </w:rPr>
        <w:t>合</w:t>
      </w:r>
      <w:r>
        <w:rPr>
          <w:rFonts w:hint="eastAsia" w:ascii="Times New Roman" w:hAnsi="Times New Roman" w:cs="Times New Roman"/>
          <w:sz w:val="32"/>
          <w:szCs w:val="22"/>
          <w:highlight w:val="none"/>
          <w:lang w:val="en-US" w:eastAsia="zh-CN"/>
        </w:rPr>
        <w:t>2026年夏、冬季</w:t>
      </w:r>
      <w:r>
        <w:rPr>
          <w:rFonts w:hint="default" w:ascii="Times New Roman" w:hAnsi="Times New Roman" w:eastAsia="方正仿宋_GBK" w:cs="Times New Roman"/>
          <w:sz w:val="32"/>
          <w:szCs w:val="22"/>
          <w:highlight w:val="none"/>
          <w:lang w:val="en-US" w:eastAsia="zh-CN"/>
        </w:rPr>
        <w:t>用电特</w:t>
      </w:r>
      <w:r>
        <w:rPr>
          <w:rFonts w:hint="eastAsia" w:ascii="Times New Roman" w:hAnsi="Times New Roman" w:eastAsia="方正仿宋_GBK" w:cs="Times New Roman"/>
          <w:sz w:val="32"/>
          <w:szCs w:val="22"/>
          <w:highlight w:val="none"/>
          <w:lang w:val="en-US" w:eastAsia="zh-CN"/>
        </w:rPr>
        <w:t>性</w:t>
      </w:r>
      <w:r>
        <w:rPr>
          <w:rFonts w:hint="default" w:ascii="Times New Roman" w:hAnsi="Times New Roman" w:eastAsia="方正仿宋_GBK" w:cs="Times New Roman"/>
          <w:sz w:val="32"/>
          <w:szCs w:val="22"/>
          <w:highlight w:val="none"/>
        </w:rPr>
        <w:t>，特制定本方案。</w:t>
      </w:r>
    </w:p>
    <w:p w14:paraId="793B83E6">
      <w:pPr>
        <w:keepNext w:val="0"/>
        <w:keepLines w:val="0"/>
        <w:pageBreakBefore w:val="0"/>
        <w:widowControl w:val="0"/>
        <w:numPr>
          <w:ilvl w:val="0"/>
          <w:numId w:val="1"/>
        </w:numPr>
        <w:tabs>
          <w:tab w:val="left" w:pos="720"/>
          <w:tab w:val="left" w:pos="900"/>
          <w:tab w:val="left" w:pos="1080"/>
          <w:tab w:val="left" w:pos="1260"/>
          <w:tab w:val="left" w:pos="1440"/>
          <w:tab w:val="left" w:pos="1620"/>
        </w:tabs>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方正黑体_GBK" w:cs="Times New Roman"/>
          <w:b w:val="0"/>
          <w:bCs w:val="0"/>
          <w:sz w:val="32"/>
          <w:szCs w:val="32"/>
          <w:highlight w:val="none"/>
          <w:lang w:val="en-US" w:eastAsia="zh-CN"/>
        </w:rPr>
      </w:pPr>
      <w:r>
        <w:rPr>
          <w:rFonts w:hint="eastAsia" w:ascii="Times New Roman" w:hAnsi="Times New Roman" w:eastAsia="方正黑体_GBK" w:cs="Times New Roman"/>
          <w:b w:val="0"/>
          <w:bCs w:val="0"/>
          <w:sz w:val="32"/>
          <w:szCs w:val="32"/>
          <w:highlight w:val="none"/>
          <w:lang w:val="en-US" w:eastAsia="zh-CN"/>
        </w:rPr>
        <w:t>工作目标</w:t>
      </w:r>
    </w:p>
    <w:p w14:paraId="5BA2CAD6">
      <w:pPr>
        <w:pStyle w:val="3"/>
        <w:keepNext w:val="0"/>
        <w:keepLines w:val="0"/>
        <w:pageBreakBefore w:val="0"/>
        <w:widowControl w:val="0"/>
        <w:numPr>
          <w:ilvl w:val="0"/>
          <w:numId w:val="0"/>
        </w:numPr>
        <w:kinsoku/>
        <w:wordWrap/>
        <w:overflowPunct/>
        <w:topLinePunct w:val="0"/>
        <w:autoSpaceDE/>
        <w:autoSpaceDN/>
        <w:bidi w:val="0"/>
        <w:adjustRightInd/>
        <w:snapToGrid/>
        <w:spacing w:after="0" w:line="580" w:lineRule="exact"/>
        <w:ind w:firstLine="640" w:firstLineChars="200"/>
        <w:textAlignment w:val="auto"/>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color w:val="auto"/>
          <w:highlight w:val="none"/>
          <w:lang w:val="en-US" w:eastAsia="zh-CN"/>
        </w:rPr>
        <w:t>深入贯彻党的二十大和二十届历次全会精神，全面落实省委十届八次、九次全会部署，按照省发展改革委和市委、市政府关于电力保障供应的工作要求，坚持以人民为中心的发展思想，坚持问题导向，落细落实各项措施，坚持“</w:t>
      </w:r>
      <w:r>
        <w:rPr>
          <w:rFonts w:hint="eastAsia" w:ascii="方正仿宋_GBK" w:hAnsi="方正仿宋_GBK" w:eastAsia="方正仿宋_GBK" w:cs="方正仿宋_GBK"/>
          <w:color w:val="auto"/>
          <w:kern w:val="2"/>
          <w:sz w:val="32"/>
          <w:szCs w:val="22"/>
          <w:highlight w:val="none"/>
          <w:lang w:val="en-US" w:eastAsia="zh-CN" w:bidi="ar-SA"/>
        </w:rPr>
        <w:t>节约用电引导、需求响应优先、有序用电保底</w:t>
      </w:r>
      <w:r>
        <w:rPr>
          <w:rFonts w:hint="eastAsia" w:ascii="方正仿宋_GBK" w:hAnsi="方正仿宋_GBK" w:eastAsia="方正仿宋_GBK" w:cs="方正仿宋_GBK"/>
          <w:color w:val="auto"/>
          <w:highlight w:val="none"/>
          <w:lang w:val="en-US" w:eastAsia="zh-CN"/>
        </w:rPr>
        <w:t>”的原则，结合区域经济结构、发展需求、用电特点等情况，构建日前、日内、快速、实时负荷资源库，在电力供应不足、突发事件等情况下，综合实施经济手段、行政措施和技术方法，确保电网安全稳定运行，严格保障居民生活、农业生产、重要公用事业和公益性服务等用电，优先保障重点产业链供应链企业用电。</w:t>
      </w:r>
    </w:p>
    <w:p w14:paraId="7C81ECB6">
      <w:pPr>
        <w:keepNext w:val="0"/>
        <w:keepLines w:val="0"/>
        <w:pageBreakBefore w:val="0"/>
        <w:widowControl w:val="0"/>
        <w:tabs>
          <w:tab w:val="left" w:pos="720"/>
          <w:tab w:val="left" w:pos="900"/>
          <w:tab w:val="left" w:pos="1080"/>
          <w:tab w:val="left" w:pos="1260"/>
          <w:tab w:val="left" w:pos="1440"/>
          <w:tab w:val="left" w:pos="1620"/>
        </w:tabs>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方正黑体_GBK" w:cs="Times New Roman"/>
          <w:sz w:val="32"/>
          <w:szCs w:val="32"/>
          <w:highlight w:val="none"/>
          <w:lang w:val="en-US" w:eastAsia="zh-CN"/>
        </w:rPr>
      </w:pPr>
      <w:r>
        <w:rPr>
          <w:rFonts w:hint="eastAsia" w:ascii="Times New Roman" w:hAnsi="Times New Roman" w:eastAsia="方正黑体_GBK" w:cs="Times New Roman"/>
          <w:b w:val="0"/>
          <w:bCs w:val="0"/>
          <w:sz w:val="32"/>
          <w:szCs w:val="32"/>
          <w:highlight w:val="none"/>
          <w:lang w:val="en-US" w:eastAsia="zh-CN"/>
        </w:rPr>
        <w:t>二、</w:t>
      </w:r>
      <w:r>
        <w:rPr>
          <w:rFonts w:hint="default" w:ascii="Times New Roman" w:hAnsi="Times New Roman" w:eastAsia="方正黑体_GBK" w:cs="Times New Roman"/>
          <w:b w:val="0"/>
          <w:bCs w:val="0"/>
          <w:sz w:val="32"/>
          <w:szCs w:val="32"/>
          <w:highlight w:val="none"/>
          <w:lang w:val="en-US" w:eastAsia="zh-CN"/>
        </w:rPr>
        <w:t>202</w:t>
      </w:r>
      <w:r>
        <w:rPr>
          <w:rFonts w:hint="eastAsia" w:ascii="Times New Roman" w:hAnsi="Times New Roman" w:eastAsia="方正黑体_GBK" w:cs="Times New Roman"/>
          <w:b w:val="0"/>
          <w:bCs w:val="0"/>
          <w:sz w:val="32"/>
          <w:szCs w:val="32"/>
          <w:highlight w:val="none"/>
          <w:lang w:val="en-US" w:eastAsia="zh-CN"/>
        </w:rPr>
        <w:t>6</w:t>
      </w:r>
      <w:r>
        <w:rPr>
          <w:rFonts w:hint="default" w:ascii="Times New Roman" w:hAnsi="Times New Roman" w:eastAsia="方正黑体_GBK" w:cs="Times New Roman"/>
          <w:b w:val="0"/>
          <w:bCs w:val="0"/>
          <w:sz w:val="32"/>
          <w:szCs w:val="32"/>
          <w:highlight w:val="none"/>
          <w:lang w:val="en-US" w:eastAsia="zh-CN"/>
        </w:rPr>
        <w:t>年</w:t>
      </w:r>
      <w:r>
        <w:rPr>
          <w:rFonts w:hint="eastAsia" w:ascii="Times New Roman" w:hAnsi="Times New Roman" w:eastAsia="方正黑体_GBK" w:cs="Times New Roman"/>
          <w:b w:val="0"/>
          <w:bCs w:val="0"/>
          <w:sz w:val="32"/>
          <w:szCs w:val="32"/>
          <w:highlight w:val="none"/>
          <w:lang w:val="en-US" w:eastAsia="zh-CN"/>
        </w:rPr>
        <w:t>供需形势</w:t>
      </w:r>
    </w:p>
    <w:p w14:paraId="1DD323A3">
      <w:pPr>
        <w:keepNext w:val="0"/>
        <w:keepLines w:val="0"/>
        <w:pageBreakBefore w:val="0"/>
        <w:widowControl w:val="0"/>
        <w:tabs>
          <w:tab w:val="left" w:pos="720"/>
          <w:tab w:val="left" w:pos="900"/>
          <w:tab w:val="left" w:pos="1080"/>
          <w:tab w:val="left" w:pos="1260"/>
          <w:tab w:val="left" w:pos="1440"/>
          <w:tab w:val="left" w:pos="1620"/>
        </w:tabs>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方正仿宋_GBK" w:cs="Times New Roman"/>
          <w:kern w:val="2"/>
          <w:sz w:val="32"/>
          <w:szCs w:val="32"/>
          <w:highlight w:val="none"/>
          <w:lang w:val="en-US" w:eastAsia="zh-CN"/>
        </w:rPr>
      </w:pPr>
      <w:r>
        <w:rPr>
          <w:rFonts w:hint="default" w:ascii="Times New Roman" w:hAnsi="Times New Roman" w:eastAsia="方正仿宋_GBK" w:cs="Times New Roman"/>
          <w:kern w:val="2"/>
          <w:sz w:val="32"/>
          <w:szCs w:val="32"/>
          <w:highlight w:val="none"/>
          <w:lang w:val="en-US" w:eastAsia="zh-CN"/>
        </w:rPr>
        <w:t>综合考虑经济运行态势、电力电量增长情况以及近几年气温变化等多种因素的影响，夏季预计河北南网早、晚峰最大负荷分别为6000万千瓦、5600万千瓦，电力供需紧平衡</w:t>
      </w:r>
      <w:r>
        <w:rPr>
          <w:rFonts w:hint="eastAsia" w:ascii="Times New Roman" w:hAnsi="Times New Roman" w:cs="Times New Roman"/>
          <w:kern w:val="2"/>
          <w:sz w:val="32"/>
          <w:szCs w:val="32"/>
          <w:highlight w:val="none"/>
          <w:lang w:val="en-US" w:eastAsia="zh-CN"/>
        </w:rPr>
        <w:t>，</w:t>
      </w:r>
      <w:r>
        <w:rPr>
          <w:rFonts w:hint="default" w:ascii="Times New Roman" w:hAnsi="Times New Roman" w:eastAsia="方正仿宋_GBK" w:cs="Times New Roman"/>
          <w:kern w:val="2"/>
          <w:sz w:val="32"/>
          <w:szCs w:val="32"/>
          <w:highlight w:val="none"/>
          <w:lang w:val="en-US" w:eastAsia="zh-CN"/>
        </w:rPr>
        <w:t>如遇极端情况将出现约100万千瓦的电力供应缺口。冬季预计河北南网早、晚峰最大负荷分别为5800万千瓦、5400万千瓦，供需平衡、略有裕度。</w:t>
      </w:r>
    </w:p>
    <w:p w14:paraId="79646D0B">
      <w:pPr>
        <w:pStyle w:val="3"/>
        <w:keepNext w:val="0"/>
        <w:keepLines w:val="0"/>
        <w:pageBreakBefore w:val="0"/>
        <w:widowControl w:val="0"/>
        <w:kinsoku/>
        <w:wordWrap/>
        <w:overflowPunct/>
        <w:topLinePunct w:val="0"/>
        <w:autoSpaceDE/>
        <w:autoSpaceDN/>
        <w:bidi w:val="0"/>
        <w:adjustRightInd/>
        <w:snapToGrid/>
        <w:spacing w:after="0" w:line="580" w:lineRule="exact"/>
        <w:ind w:firstLine="640" w:firstLineChars="200"/>
        <w:textAlignment w:val="auto"/>
        <w:rPr>
          <w:rFonts w:hint="default" w:ascii="Times New Roman" w:hAnsi="Times New Roman" w:eastAsia="方正仿宋_GBK" w:cs="Times New Roman"/>
          <w:lang w:val="en-US" w:eastAsia="zh-CN"/>
        </w:rPr>
      </w:pPr>
      <w:r>
        <w:rPr>
          <w:rFonts w:hint="default" w:ascii="Times New Roman" w:hAnsi="Times New Roman" w:eastAsia="方正仿宋_GBK" w:cs="Times New Roman"/>
          <w:highlight w:val="none"/>
          <w:lang w:val="en-US" w:eastAsia="zh-CN"/>
        </w:rPr>
        <w:t>全面预测制冷、灌溉负荷增长情况，</w:t>
      </w:r>
      <w:r>
        <w:rPr>
          <w:rFonts w:hint="default" w:ascii="Times New Roman" w:hAnsi="Times New Roman" w:eastAsia="方正仿宋_GBK" w:cs="Times New Roman"/>
          <w:lang w:val="en-US" w:eastAsia="zh-CN"/>
        </w:rPr>
        <w:t>今夏邯郸电网最大负荷将达到930万千瓦、同比增长6.4%、创历史新高；极端高温天气下可能达到975万千瓦、同比增长11.6%。</w:t>
      </w:r>
      <w:r>
        <w:rPr>
          <w:rFonts w:hint="eastAsia" w:ascii="方正仿宋_GBK" w:hAnsi="方正仿宋_GBK" w:eastAsia="方正仿宋_GBK" w:cs="方正仿宋_GBK"/>
          <w:kern w:val="2"/>
          <w:sz w:val="32"/>
          <w:szCs w:val="32"/>
          <w:highlight w:val="none"/>
          <w:lang w:val="en-US" w:eastAsia="zh-CN"/>
        </w:rPr>
        <w:t>依据</w:t>
      </w:r>
      <w:r>
        <w:rPr>
          <w:rFonts w:hint="default" w:ascii="Times New Roman" w:hAnsi="Times New Roman" w:eastAsia="方正仿宋_GBK" w:cs="Times New Roman"/>
          <w:kern w:val="2"/>
          <w:sz w:val="32"/>
          <w:szCs w:val="32"/>
          <w:highlight w:val="none"/>
          <w:lang w:val="en-US" w:eastAsia="zh-CN"/>
        </w:rPr>
        <w:t>《河北省2026年电力负荷管理工作方案》河北南网最大有序用电指标为1660万千瓦，其中邯郸地区最大有序用电指标为325万千瓦。</w:t>
      </w:r>
    </w:p>
    <w:p w14:paraId="4C2AAF85">
      <w:pPr>
        <w:keepNext w:val="0"/>
        <w:keepLines w:val="0"/>
        <w:pageBreakBefore w:val="0"/>
        <w:widowControl w:val="0"/>
        <w:tabs>
          <w:tab w:val="left" w:pos="720"/>
          <w:tab w:val="left" w:pos="900"/>
          <w:tab w:val="left" w:pos="1080"/>
          <w:tab w:val="left" w:pos="1260"/>
          <w:tab w:val="left" w:pos="1440"/>
          <w:tab w:val="left" w:pos="1620"/>
        </w:tabs>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方正黑体_GBK" w:cs="Times New Roman"/>
          <w:b w:val="0"/>
          <w:bCs w:val="0"/>
          <w:sz w:val="32"/>
          <w:szCs w:val="32"/>
          <w:highlight w:val="none"/>
          <w:lang w:val="en-US" w:eastAsia="zh-CN"/>
        </w:rPr>
      </w:pPr>
      <w:r>
        <w:rPr>
          <w:rFonts w:hint="eastAsia" w:ascii="Times New Roman" w:hAnsi="Times New Roman" w:eastAsia="方正黑体_GBK" w:cs="Times New Roman"/>
          <w:b w:val="0"/>
          <w:bCs w:val="0"/>
          <w:sz w:val="32"/>
          <w:szCs w:val="32"/>
          <w:highlight w:val="none"/>
          <w:lang w:val="en-US" w:eastAsia="zh-CN"/>
        </w:rPr>
        <w:t>三</w:t>
      </w:r>
      <w:r>
        <w:rPr>
          <w:rFonts w:hint="default" w:ascii="Times New Roman" w:hAnsi="Times New Roman" w:eastAsia="方正黑体_GBK" w:cs="Times New Roman"/>
          <w:b w:val="0"/>
          <w:bCs w:val="0"/>
          <w:sz w:val="32"/>
          <w:szCs w:val="32"/>
          <w:highlight w:val="none"/>
          <w:lang w:val="en-US" w:eastAsia="zh-CN"/>
        </w:rPr>
        <w:t>、重点任务</w:t>
      </w:r>
    </w:p>
    <w:p w14:paraId="315F2C55">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方正楷体_GBK" w:cs="Times New Roman"/>
          <w:sz w:val="32"/>
          <w:szCs w:val="32"/>
          <w:highlight w:val="none"/>
          <w:lang w:val="en-US" w:eastAsia="zh-CN"/>
        </w:rPr>
      </w:pPr>
      <w:r>
        <w:rPr>
          <w:rFonts w:hint="default" w:ascii="Times New Roman" w:hAnsi="Times New Roman" w:eastAsia="方正楷体_GBK" w:cs="Times New Roman"/>
          <w:sz w:val="32"/>
          <w:szCs w:val="32"/>
          <w:highlight w:val="none"/>
          <w:lang w:val="en-US" w:eastAsia="zh-CN"/>
        </w:rPr>
        <w:t>（一）</w:t>
      </w:r>
      <w:r>
        <w:rPr>
          <w:rFonts w:hint="eastAsia" w:ascii="Times New Roman" w:hAnsi="Times New Roman" w:eastAsia="方正楷体_GBK" w:cs="Times New Roman"/>
          <w:sz w:val="32"/>
          <w:szCs w:val="32"/>
          <w:highlight w:val="none"/>
          <w:lang w:val="en-US" w:eastAsia="zh-CN"/>
        </w:rPr>
        <w:t>持续推进节约战略</w:t>
      </w:r>
    </w:p>
    <w:p w14:paraId="4324BA5B">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textAlignment w:val="auto"/>
        <w:rPr>
          <w:rFonts w:hint="default" w:ascii="Times New Roman" w:hAnsi="Times New Roman" w:eastAsia="方正仿宋_GBK" w:cs="Times New Roman"/>
          <w:b/>
          <w:bCs/>
          <w:sz w:val="32"/>
          <w:szCs w:val="22"/>
          <w:highlight w:val="none"/>
          <w:lang w:val="en-US" w:eastAsia="zh-CN"/>
        </w:rPr>
      </w:pPr>
      <w:r>
        <w:rPr>
          <w:rFonts w:hint="eastAsia" w:ascii="Times New Roman" w:hAnsi="Times New Roman" w:eastAsia="方正仿宋_GBK" w:cs="Times New Roman"/>
          <w:b/>
          <w:bCs/>
          <w:kern w:val="2"/>
          <w:sz w:val="32"/>
          <w:szCs w:val="22"/>
          <w:highlight w:val="none"/>
          <w:lang w:val="en-US" w:eastAsia="zh-CN" w:bidi="ar-SA"/>
        </w:rPr>
        <w:t>1</w:t>
      </w:r>
      <w:r>
        <w:rPr>
          <w:rFonts w:hint="default" w:ascii="Times New Roman" w:hAnsi="Times New Roman" w:eastAsia="方正仿宋_GBK" w:cs="Times New Roman"/>
          <w:b/>
          <w:bCs/>
          <w:kern w:val="2"/>
          <w:sz w:val="32"/>
          <w:szCs w:val="22"/>
          <w:highlight w:val="none"/>
          <w:lang w:val="zh-CN" w:eastAsia="zh-CN" w:bidi="ar-SA"/>
        </w:rPr>
        <w:t>.</w:t>
      </w:r>
      <w:r>
        <w:rPr>
          <w:rFonts w:hint="eastAsia" w:ascii="Times New Roman" w:hAnsi="Times New Roman" w:cs="Times New Roman"/>
          <w:b/>
          <w:bCs/>
          <w:kern w:val="2"/>
          <w:sz w:val="32"/>
          <w:szCs w:val="22"/>
          <w:highlight w:val="none"/>
          <w:lang w:val="zh-CN" w:eastAsia="zh-CN" w:bidi="ar-SA"/>
        </w:rPr>
        <w:t>实施</w:t>
      </w:r>
      <w:r>
        <w:rPr>
          <w:rFonts w:hint="default" w:ascii="Times New Roman" w:hAnsi="Times New Roman" w:eastAsia="方正仿宋_GBK" w:cs="Times New Roman"/>
          <w:b/>
          <w:bCs/>
          <w:kern w:val="2"/>
          <w:sz w:val="32"/>
          <w:szCs w:val="22"/>
          <w:highlight w:val="none"/>
          <w:lang w:val="zh-CN" w:eastAsia="zh-CN" w:bidi="ar-SA"/>
        </w:rPr>
        <w:t>景观照明</w:t>
      </w:r>
      <w:r>
        <w:rPr>
          <w:rFonts w:hint="eastAsia" w:ascii="Times New Roman" w:hAnsi="Times New Roman" w:cs="Times New Roman"/>
          <w:b/>
          <w:bCs/>
          <w:kern w:val="2"/>
          <w:sz w:val="32"/>
          <w:szCs w:val="22"/>
          <w:highlight w:val="none"/>
          <w:lang w:val="zh-CN" w:eastAsia="zh-CN" w:bidi="ar-SA"/>
        </w:rPr>
        <w:t>和空调降耗</w:t>
      </w:r>
      <w:r>
        <w:rPr>
          <w:rFonts w:hint="default" w:ascii="Times New Roman" w:hAnsi="Times New Roman" w:eastAsia="方正仿宋_GBK" w:cs="Times New Roman"/>
          <w:b/>
          <w:bCs/>
          <w:kern w:val="2"/>
          <w:sz w:val="32"/>
          <w:szCs w:val="22"/>
          <w:highlight w:val="none"/>
          <w:lang w:val="zh-CN" w:eastAsia="zh-CN" w:bidi="ar-SA"/>
        </w:rPr>
        <w:t>。</w:t>
      </w:r>
      <w:r>
        <w:rPr>
          <w:rFonts w:hint="default" w:ascii="Times New Roman" w:hAnsi="Times New Roman" w:eastAsia="方正仿宋_GBK" w:cs="Times New Roman"/>
          <w:kern w:val="2"/>
          <w:sz w:val="32"/>
          <w:szCs w:val="22"/>
          <w:highlight w:val="none"/>
          <w:lang w:val="zh-CN" w:eastAsia="zh-CN" w:bidi="ar-SA"/>
        </w:rPr>
        <w:t>各县（市、区）</w:t>
      </w:r>
      <w:r>
        <w:rPr>
          <w:rFonts w:hint="default" w:ascii="Times New Roman" w:hAnsi="Times New Roman" w:eastAsia="方正仿宋_GBK" w:cs="Times New Roman"/>
          <w:kern w:val="2"/>
          <w:sz w:val="32"/>
          <w:szCs w:val="22"/>
          <w:highlight w:val="none"/>
          <w:lang w:val="en-US" w:eastAsia="zh-CN" w:bidi="ar-SA"/>
        </w:rPr>
        <w:t>电力运行</w:t>
      </w:r>
      <w:r>
        <w:rPr>
          <w:rFonts w:hint="eastAsia" w:ascii="Times New Roman" w:hAnsi="Times New Roman" w:eastAsia="方正仿宋_GBK" w:cs="Times New Roman"/>
          <w:kern w:val="2"/>
          <w:sz w:val="32"/>
          <w:szCs w:val="22"/>
          <w:highlight w:val="none"/>
          <w:lang w:val="en-US" w:eastAsia="zh-CN" w:bidi="ar-SA"/>
        </w:rPr>
        <w:t>管理</w:t>
      </w:r>
      <w:r>
        <w:rPr>
          <w:rFonts w:hint="default" w:ascii="Times New Roman" w:hAnsi="Times New Roman" w:eastAsia="方正仿宋_GBK" w:cs="Times New Roman"/>
          <w:kern w:val="2"/>
          <w:sz w:val="32"/>
          <w:szCs w:val="22"/>
          <w:highlight w:val="none"/>
          <w:lang w:val="en-US" w:eastAsia="zh-CN" w:bidi="ar-SA"/>
        </w:rPr>
        <w:t>部门</w:t>
      </w:r>
      <w:r>
        <w:rPr>
          <w:rFonts w:hint="eastAsia" w:ascii="Times New Roman" w:hAnsi="Times New Roman" w:eastAsia="方正仿宋_GBK" w:cs="Times New Roman"/>
          <w:kern w:val="2"/>
          <w:sz w:val="32"/>
          <w:szCs w:val="22"/>
          <w:highlight w:val="none"/>
          <w:lang w:val="en-US" w:eastAsia="zh-CN" w:bidi="ar-SA"/>
        </w:rPr>
        <w:t>会同电网企业，全面排查现有景观照明设施，鼓励采用高效节能灯具，合理设置照明时间和亮度，避免过度照明和能源浪费。党政机关、企事业单位、商场超市等单位要严格落实《关于加强电力需求侧管理进一步优化景观照明和空调用电管理的通知》（冀发改运行〔2023〕1013号），强化空调用能管理，夏季空调温度设置不应低于26摄氏度，鼓励在高峰时段（19:00-21:00）间歇式降低空调负荷。</w:t>
      </w:r>
    </w:p>
    <w:p w14:paraId="16DE5BA9">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textAlignment w:val="auto"/>
        <w:rPr>
          <w:rFonts w:hint="default" w:ascii="Times New Roman" w:hAnsi="Times New Roman" w:eastAsia="方正仿宋_GBK" w:cs="Times New Roman"/>
          <w:kern w:val="2"/>
          <w:sz w:val="32"/>
          <w:szCs w:val="22"/>
          <w:highlight w:val="none"/>
          <w:lang w:val="zh-CN" w:eastAsia="zh-CN" w:bidi="ar-SA"/>
        </w:rPr>
      </w:pPr>
      <w:r>
        <w:rPr>
          <w:rFonts w:hint="eastAsia" w:ascii="Times New Roman" w:hAnsi="Times New Roman" w:eastAsia="方正仿宋_GBK" w:cs="Times New Roman"/>
          <w:b/>
          <w:bCs/>
          <w:sz w:val="32"/>
          <w:szCs w:val="22"/>
          <w:highlight w:val="none"/>
          <w:lang w:val="en-US" w:eastAsia="zh-CN"/>
        </w:rPr>
        <w:t>2</w:t>
      </w:r>
      <w:r>
        <w:rPr>
          <w:rFonts w:hint="default" w:ascii="Times New Roman" w:hAnsi="Times New Roman" w:eastAsia="方正仿宋_GBK" w:cs="Times New Roman"/>
          <w:b/>
          <w:bCs/>
          <w:sz w:val="32"/>
          <w:szCs w:val="22"/>
          <w:highlight w:val="none"/>
          <w:lang w:val="en-US" w:eastAsia="zh-CN"/>
        </w:rPr>
        <w:t>.</w:t>
      </w:r>
      <w:r>
        <w:rPr>
          <w:rFonts w:hint="eastAsia" w:ascii="Times New Roman" w:hAnsi="Times New Roman" w:cs="Times New Roman"/>
          <w:b/>
          <w:bCs/>
          <w:sz w:val="32"/>
          <w:szCs w:val="22"/>
          <w:highlight w:val="none"/>
          <w:lang w:val="zh-CN" w:eastAsia="zh-CN"/>
        </w:rPr>
        <w:t>实施</w:t>
      </w:r>
      <w:r>
        <w:rPr>
          <w:rFonts w:hint="default" w:ascii="Times New Roman" w:hAnsi="Times New Roman" w:eastAsia="方正仿宋_GBK" w:cs="Times New Roman"/>
          <w:b/>
          <w:bCs/>
          <w:sz w:val="32"/>
          <w:szCs w:val="22"/>
          <w:highlight w:val="none"/>
          <w:lang w:val="zh-CN" w:eastAsia="zh-CN"/>
        </w:rPr>
        <w:t>工业</w:t>
      </w:r>
      <w:r>
        <w:rPr>
          <w:rFonts w:hint="default" w:ascii="Times New Roman" w:hAnsi="Times New Roman" w:eastAsia="方正仿宋_GBK" w:cs="Times New Roman"/>
          <w:b/>
          <w:bCs/>
          <w:sz w:val="32"/>
          <w:szCs w:val="22"/>
          <w:highlight w:val="none"/>
          <w:lang w:val="en-US" w:eastAsia="zh-CN"/>
        </w:rPr>
        <w:t>企业</w:t>
      </w:r>
      <w:r>
        <w:rPr>
          <w:rFonts w:hint="eastAsia" w:ascii="Times New Roman" w:hAnsi="Times New Roman" w:eastAsia="方正仿宋_GBK" w:cs="Times New Roman"/>
          <w:b/>
          <w:bCs/>
          <w:sz w:val="32"/>
          <w:szCs w:val="22"/>
          <w:highlight w:val="none"/>
          <w:lang w:val="en-US" w:eastAsia="zh-CN"/>
        </w:rPr>
        <w:t>节能</w:t>
      </w:r>
      <w:r>
        <w:rPr>
          <w:rFonts w:hint="default" w:ascii="Times New Roman" w:hAnsi="Times New Roman" w:eastAsia="方正仿宋_GBK" w:cs="Times New Roman"/>
          <w:b/>
          <w:bCs/>
          <w:sz w:val="32"/>
          <w:szCs w:val="22"/>
          <w:highlight w:val="none"/>
          <w:lang w:val="zh-CN" w:eastAsia="zh-CN"/>
        </w:rPr>
        <w:t>降耗。</w:t>
      </w:r>
      <w:r>
        <w:rPr>
          <w:rFonts w:hint="default" w:ascii="Times New Roman" w:hAnsi="Times New Roman" w:eastAsia="方正仿宋_GBK" w:cs="Times New Roman"/>
          <w:b w:val="0"/>
          <w:bCs w:val="0"/>
          <w:sz w:val="32"/>
          <w:szCs w:val="22"/>
          <w:highlight w:val="none"/>
          <w:lang w:val="zh-CN" w:eastAsia="zh-CN"/>
        </w:rPr>
        <w:t>各县（市、区）电力运行管理部门要会同电网企业引导</w:t>
      </w:r>
      <w:r>
        <w:rPr>
          <w:rFonts w:hint="eastAsia" w:ascii="Times New Roman" w:hAnsi="Times New Roman" w:cs="Times New Roman"/>
          <w:b w:val="0"/>
          <w:bCs w:val="0"/>
          <w:sz w:val="32"/>
          <w:szCs w:val="22"/>
          <w:highlight w:val="none"/>
          <w:lang w:val="zh-CN" w:eastAsia="zh-CN"/>
        </w:rPr>
        <w:t>“</w:t>
      </w:r>
      <w:r>
        <w:rPr>
          <w:rFonts w:hint="default" w:ascii="Times New Roman" w:hAnsi="Times New Roman" w:eastAsia="方正仿宋_GBK" w:cs="Times New Roman"/>
          <w:b w:val="0"/>
          <w:bCs w:val="0"/>
          <w:sz w:val="32"/>
          <w:szCs w:val="22"/>
          <w:highlight w:val="none"/>
          <w:lang w:val="zh-CN" w:eastAsia="zh-CN"/>
        </w:rPr>
        <w:t>两高</w:t>
      </w:r>
      <w:r>
        <w:rPr>
          <w:rFonts w:hint="eastAsia" w:ascii="Times New Roman" w:hAnsi="Times New Roman" w:cs="Times New Roman"/>
          <w:b w:val="0"/>
          <w:bCs w:val="0"/>
          <w:sz w:val="32"/>
          <w:szCs w:val="22"/>
          <w:highlight w:val="none"/>
          <w:lang w:val="zh-CN" w:eastAsia="zh-CN"/>
        </w:rPr>
        <w:t>”</w:t>
      </w:r>
      <w:r>
        <w:rPr>
          <w:rFonts w:hint="default" w:ascii="Times New Roman" w:hAnsi="Times New Roman" w:eastAsia="方正仿宋_GBK" w:cs="Times New Roman"/>
          <w:b w:val="0"/>
          <w:bCs w:val="0"/>
          <w:sz w:val="32"/>
          <w:szCs w:val="22"/>
          <w:highlight w:val="none"/>
          <w:lang w:val="zh-CN" w:eastAsia="zh-CN"/>
        </w:rPr>
        <w:t>企业节能改造和用电灵活控制改造，组织开展工业企业能效诊断，推动企业淘汰高耗能设备，提升清洁生产水平及能源、资源综合利用水平。坚决遏制高耗能高排放项目盲目发展，全面提升能源利用率。</w:t>
      </w:r>
    </w:p>
    <w:p w14:paraId="51170A4D">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textAlignment w:val="auto"/>
        <w:rPr>
          <w:rFonts w:hint="default" w:ascii="Times New Roman" w:hAnsi="Times New Roman" w:eastAsia="方正仿宋_GBK" w:cs="Times New Roman"/>
          <w:kern w:val="2"/>
          <w:sz w:val="32"/>
          <w:szCs w:val="22"/>
          <w:highlight w:val="none"/>
          <w:lang w:val="zh-CN" w:eastAsia="zh-CN" w:bidi="ar-SA"/>
        </w:rPr>
      </w:pPr>
      <w:r>
        <w:rPr>
          <w:rFonts w:hint="default" w:ascii="Times New Roman" w:hAnsi="Times New Roman" w:eastAsia="方正仿宋_GBK" w:cs="Times New Roman"/>
          <w:b/>
          <w:bCs/>
          <w:kern w:val="2"/>
          <w:sz w:val="32"/>
          <w:szCs w:val="22"/>
          <w:highlight w:val="none"/>
          <w:lang w:val="en-US" w:eastAsia="zh-CN" w:bidi="ar-SA"/>
        </w:rPr>
        <w:t>3.</w:t>
      </w:r>
      <w:r>
        <w:rPr>
          <w:rFonts w:hint="default" w:ascii="Times New Roman" w:hAnsi="Times New Roman" w:eastAsia="方正仿宋_GBK" w:cs="Times New Roman"/>
          <w:b/>
          <w:bCs/>
          <w:kern w:val="2"/>
          <w:sz w:val="32"/>
          <w:szCs w:val="22"/>
          <w:highlight w:val="none"/>
          <w:lang w:val="zh-CN" w:eastAsia="zh-CN" w:bidi="ar-SA"/>
        </w:rPr>
        <w:t>开展居民节电活动。</w:t>
      </w:r>
      <w:r>
        <w:rPr>
          <w:rFonts w:hint="default" w:ascii="Times New Roman" w:hAnsi="Times New Roman" w:eastAsia="方正仿宋_GBK" w:cs="Times New Roman"/>
          <w:b w:val="0"/>
          <w:bCs w:val="0"/>
          <w:kern w:val="2"/>
          <w:sz w:val="32"/>
          <w:szCs w:val="22"/>
          <w:highlight w:val="none"/>
          <w:lang w:val="zh-CN" w:eastAsia="zh-CN" w:bidi="ar-SA"/>
        </w:rPr>
        <w:t>各县（市、区）电力运行管理部门要广泛开展科学用电、节约用电宣传，组织开展线上线下节电活动。电网企业要开展</w:t>
      </w:r>
      <w:r>
        <w:rPr>
          <w:rFonts w:hint="eastAsia" w:ascii="Times New Roman" w:hAnsi="Times New Roman" w:cs="Times New Roman"/>
          <w:b w:val="0"/>
          <w:bCs w:val="0"/>
          <w:kern w:val="2"/>
          <w:sz w:val="32"/>
          <w:szCs w:val="22"/>
          <w:highlight w:val="none"/>
          <w:lang w:val="zh-CN" w:eastAsia="zh-CN" w:bidi="ar-SA"/>
        </w:rPr>
        <w:t>“</w:t>
      </w:r>
      <w:r>
        <w:rPr>
          <w:rFonts w:hint="default" w:ascii="Times New Roman" w:hAnsi="Times New Roman" w:eastAsia="方正仿宋_GBK" w:cs="Times New Roman"/>
          <w:b w:val="0"/>
          <w:bCs w:val="0"/>
          <w:kern w:val="2"/>
          <w:sz w:val="32"/>
          <w:szCs w:val="22"/>
          <w:highlight w:val="none"/>
          <w:lang w:val="zh-CN" w:eastAsia="zh-CN" w:bidi="ar-SA"/>
        </w:rPr>
        <w:t>e起节电</w:t>
      </w:r>
      <w:r>
        <w:rPr>
          <w:rFonts w:hint="eastAsia" w:ascii="Times New Roman" w:hAnsi="Times New Roman" w:cs="Times New Roman"/>
          <w:b w:val="0"/>
          <w:bCs w:val="0"/>
          <w:kern w:val="2"/>
          <w:sz w:val="32"/>
          <w:szCs w:val="22"/>
          <w:highlight w:val="none"/>
          <w:lang w:val="zh-CN" w:eastAsia="zh-CN" w:bidi="ar-SA"/>
        </w:rPr>
        <w:t>”</w:t>
      </w:r>
      <w:r>
        <w:rPr>
          <w:rFonts w:hint="default" w:ascii="Times New Roman" w:hAnsi="Times New Roman" w:eastAsia="方正仿宋_GBK" w:cs="Times New Roman"/>
          <w:b w:val="0"/>
          <w:bCs w:val="0"/>
          <w:kern w:val="2"/>
          <w:sz w:val="32"/>
          <w:szCs w:val="22"/>
          <w:highlight w:val="none"/>
          <w:lang w:val="zh-CN" w:eastAsia="zh-CN" w:bidi="ar-SA"/>
        </w:rPr>
        <w:t>活动，引导广大群众在用电尖峰时段错避峰</w:t>
      </w:r>
      <w:r>
        <w:rPr>
          <w:rFonts w:hint="eastAsia" w:ascii="Times New Roman" w:hAnsi="Times New Roman" w:cs="Times New Roman"/>
          <w:b w:val="0"/>
          <w:bCs w:val="0"/>
          <w:kern w:val="2"/>
          <w:sz w:val="32"/>
          <w:szCs w:val="22"/>
          <w:highlight w:val="none"/>
          <w:lang w:val="zh-CN" w:eastAsia="zh-CN" w:bidi="ar-SA"/>
        </w:rPr>
        <w:t>用电</w:t>
      </w:r>
      <w:r>
        <w:rPr>
          <w:rFonts w:hint="default" w:ascii="Times New Roman" w:hAnsi="Times New Roman" w:eastAsia="方正仿宋_GBK" w:cs="Times New Roman"/>
          <w:b w:val="0"/>
          <w:bCs w:val="0"/>
          <w:kern w:val="2"/>
          <w:sz w:val="32"/>
          <w:szCs w:val="22"/>
          <w:highlight w:val="none"/>
          <w:lang w:val="zh-CN" w:eastAsia="zh-CN" w:bidi="ar-SA"/>
        </w:rPr>
        <w:t>，降低尖峰负荷，</w:t>
      </w:r>
      <w:r>
        <w:rPr>
          <w:rFonts w:hint="eastAsia" w:ascii="Times New Roman" w:hAnsi="Times New Roman" w:cs="Times New Roman"/>
          <w:b w:val="0"/>
          <w:bCs w:val="0"/>
          <w:kern w:val="2"/>
          <w:sz w:val="32"/>
          <w:szCs w:val="22"/>
          <w:highlight w:val="none"/>
          <w:lang w:val="zh-CN" w:eastAsia="zh-CN" w:bidi="ar-SA"/>
        </w:rPr>
        <w:t>提高全社会运行效率，</w:t>
      </w:r>
      <w:r>
        <w:rPr>
          <w:rFonts w:hint="default" w:ascii="Times New Roman" w:hAnsi="Times New Roman" w:eastAsia="方正仿宋_GBK" w:cs="Times New Roman"/>
          <w:b w:val="0"/>
          <w:bCs w:val="0"/>
          <w:kern w:val="2"/>
          <w:sz w:val="32"/>
          <w:szCs w:val="22"/>
          <w:highlight w:val="none"/>
          <w:lang w:val="zh-CN" w:eastAsia="zh-CN" w:bidi="ar-SA"/>
        </w:rPr>
        <w:t>鼓励居民充电桩参与节电活动。加强峰谷电价、居民阶梯电价宣传力度，引导用户削峰填谷。</w:t>
      </w:r>
    </w:p>
    <w:p w14:paraId="3A6E2DE7">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楷体_GBK" w:hAnsi="方正楷体_GBK" w:eastAsia="方正楷体_GBK" w:cs="方正楷体_GBK"/>
          <w:sz w:val="32"/>
          <w:szCs w:val="32"/>
          <w:highlight w:val="none"/>
          <w:lang w:val="en-US" w:eastAsia="zh-CN"/>
        </w:rPr>
      </w:pPr>
      <w:r>
        <w:rPr>
          <w:rFonts w:hint="eastAsia" w:ascii="方正楷体_GBK" w:hAnsi="方正楷体_GBK" w:eastAsia="方正楷体_GBK" w:cs="方正楷体_GBK"/>
          <w:sz w:val="32"/>
          <w:szCs w:val="32"/>
          <w:highlight w:val="none"/>
          <w:lang w:val="en-US" w:eastAsia="zh-CN"/>
        </w:rPr>
        <w:t>（二）前置顶峰错峰资源</w:t>
      </w:r>
    </w:p>
    <w:p w14:paraId="17C3F52B">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b/>
          <w:bCs/>
          <w:sz w:val="32"/>
          <w:szCs w:val="32"/>
          <w:highlight w:val="none"/>
          <w:lang w:val="en-US" w:eastAsia="zh-CN"/>
        </w:rPr>
        <w:t>1.实施工业企业弹性检修。</w:t>
      </w:r>
      <w:r>
        <w:rPr>
          <w:rFonts w:hint="default" w:ascii="Times New Roman" w:hAnsi="Times New Roman" w:eastAsia="方正仿宋_GBK" w:cs="Times New Roman"/>
          <w:sz w:val="32"/>
          <w:szCs w:val="32"/>
          <w:highlight w:val="none"/>
          <w:lang w:val="en-US" w:eastAsia="zh-CN"/>
        </w:rPr>
        <w:t>各县（市、区）电力运行管理部门组织供电企业全面排查用电容量1000千伏安及以上工业企业检修计划，对可安排在度夏、度冬供应紧张时段且具有一定时间弹性的停电检修用户，经供用电双方同意后签署调度协议，在用电负荷高峰期间，由双方协商安排停电检修时间。</w:t>
      </w:r>
    </w:p>
    <w:p w14:paraId="334B626B">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b/>
          <w:bCs/>
          <w:sz w:val="32"/>
          <w:szCs w:val="32"/>
          <w:highlight w:val="none"/>
          <w:lang w:val="en-US" w:eastAsia="zh-CN"/>
        </w:rPr>
        <w:t>2.推进发电资源增发保供。</w:t>
      </w:r>
      <w:r>
        <w:rPr>
          <w:rFonts w:hint="default" w:ascii="Times New Roman" w:hAnsi="Times New Roman" w:eastAsia="方正仿宋_GBK" w:cs="Times New Roman"/>
          <w:sz w:val="32"/>
          <w:szCs w:val="32"/>
          <w:highlight w:val="none"/>
          <w:lang w:val="en-US" w:eastAsia="zh-CN"/>
        </w:rPr>
        <w:t>各县（市、区）电力运行管理部门要组织电网企业排查梳理用户侧储能设施，指导用户在电力供应紧张时段优化充放电策略，提升顶峰放电能力，减少尖峰时段用网负荷。鼓励大数据中心等拥有自备应急发电机的用户，在不影响自身安全的条件下，实施离网自供，参与需求响应获得补贴。</w:t>
      </w:r>
    </w:p>
    <w:p w14:paraId="7BD1D777">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b/>
          <w:bCs/>
          <w:sz w:val="32"/>
          <w:szCs w:val="32"/>
          <w:highlight w:val="none"/>
          <w:lang w:val="en-US" w:eastAsia="zh-CN"/>
        </w:rPr>
        <w:t>3.引导自备电厂调产增发。</w:t>
      </w:r>
      <w:r>
        <w:rPr>
          <w:rFonts w:hint="default" w:ascii="Times New Roman" w:hAnsi="Times New Roman" w:eastAsia="方正仿宋_GBK" w:cs="Times New Roman"/>
          <w:sz w:val="32"/>
          <w:szCs w:val="32"/>
          <w:highlight w:val="none"/>
          <w:lang w:val="en-US" w:eastAsia="zh-CN"/>
        </w:rPr>
        <w:t>自备电厂企业用户要做好度夏前检修消缺，供应紧张时段严格按电力调度机构要求应开尽开、应发尽发。电网企业要指导综合利用自备电厂用户结合生产计划动态调整调产增发方案，在电网供应短缺时期，合理减少产能并将节省的三余资源让渡到自备电厂，实现</w:t>
      </w:r>
      <w:r>
        <w:rPr>
          <w:rFonts w:hint="eastAsia" w:ascii="Times New Roman" w:hAnsi="Times New Roman" w:cs="Times New Roman"/>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生产负荷压减+机组出力增加</w:t>
      </w:r>
      <w:r>
        <w:rPr>
          <w:rFonts w:hint="eastAsia" w:ascii="Times New Roman" w:hAnsi="Times New Roman" w:cs="Times New Roman"/>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的叠加效果。电网企业要逐户开展新并网自备电厂调产增发能力测试，引导参与需求响应市场。</w:t>
      </w:r>
    </w:p>
    <w:p w14:paraId="229EEDE5">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楷体_GBK" w:hAnsi="方正楷体_GBK" w:eastAsia="方正楷体_GBK" w:cs="方正楷体_GBK"/>
          <w:b w:val="0"/>
          <w:bCs w:val="0"/>
          <w:sz w:val="32"/>
          <w:szCs w:val="32"/>
          <w:highlight w:val="none"/>
          <w:lang w:val="en-US" w:eastAsia="zh-CN"/>
        </w:rPr>
      </w:pPr>
      <w:r>
        <w:rPr>
          <w:rFonts w:hint="eastAsia" w:ascii="方正楷体_GBK" w:hAnsi="方正楷体_GBK" w:eastAsia="方正楷体_GBK" w:cs="方正楷体_GBK"/>
          <w:b w:val="0"/>
          <w:bCs w:val="0"/>
          <w:sz w:val="32"/>
          <w:szCs w:val="32"/>
          <w:highlight w:val="none"/>
          <w:lang w:val="en-US" w:eastAsia="zh-CN"/>
        </w:rPr>
        <w:t>（三）坚持需求响应优先</w:t>
      </w:r>
    </w:p>
    <w:p w14:paraId="0C427A21">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b/>
          <w:bCs/>
          <w:sz w:val="32"/>
          <w:szCs w:val="32"/>
          <w:highlight w:val="none"/>
          <w:lang w:val="en-US" w:eastAsia="zh-CN"/>
        </w:rPr>
        <w:t>1.持续扩大需求响应市场规模。</w:t>
      </w:r>
      <w:r>
        <w:rPr>
          <w:rFonts w:hint="default" w:ascii="Times New Roman" w:hAnsi="Times New Roman" w:eastAsia="方正仿宋_GBK" w:cs="Times New Roman"/>
          <w:sz w:val="32"/>
          <w:szCs w:val="32"/>
          <w:highlight w:val="none"/>
          <w:lang w:val="en-US" w:eastAsia="zh-CN"/>
        </w:rPr>
        <w:t>各县（市、区）电力运行管理部门要会同电网企业广泛开展大中型用户走访，宣传需求响应政策和市场规则，引导纳入需求响应资源池。鼓励虚拟电厂运营商挖掘聚合未签约入市的需求侧小零散资源，引导参与需求响应市场。</w:t>
      </w:r>
    </w:p>
    <w:p w14:paraId="065DE777">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b/>
          <w:bCs/>
          <w:sz w:val="32"/>
          <w:szCs w:val="32"/>
          <w:highlight w:val="none"/>
          <w:lang w:val="en-US" w:eastAsia="zh-CN"/>
        </w:rPr>
        <w:t>2.建立快速、实时负荷资源库。</w:t>
      </w:r>
      <w:r>
        <w:rPr>
          <w:rFonts w:hint="default" w:ascii="Times New Roman" w:hAnsi="Times New Roman" w:eastAsia="方正仿宋_GBK" w:cs="Times New Roman"/>
          <w:sz w:val="32"/>
          <w:szCs w:val="32"/>
          <w:highlight w:val="none"/>
          <w:lang w:val="en-US" w:eastAsia="zh-CN"/>
        </w:rPr>
        <w:t>各县（市、区）电力运行管理部门要组织电网企业开展用户侧储能、冷链仓储、充电设施、自备发电机离网自供等典型行业、典型场景资源排查，摸清行业负荷特性、调节机理和响应时效，在具备条件的用户内部分路安装监控设备，建立快速、实时负荷资源库，完善电网</w:t>
      </w:r>
      <w:r>
        <w:rPr>
          <w:rFonts w:hint="eastAsia" w:ascii="Times New Roman" w:hAnsi="Times New Roman" w:cs="Times New Roman"/>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用户协同调用机制，确保外购电通道突发故障、新能源发电严重不足等突发供应缺口且短时无法恢复时，精准置换调度事故拉路资源，保障电网运行安全。</w:t>
      </w:r>
    </w:p>
    <w:p w14:paraId="0628604F">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b/>
          <w:bCs/>
          <w:sz w:val="32"/>
          <w:szCs w:val="32"/>
          <w:highlight w:val="none"/>
          <w:lang w:val="en-US" w:eastAsia="zh-CN"/>
        </w:rPr>
        <w:t>3.开展市场主体可调节能力核定。</w:t>
      </w:r>
      <w:r>
        <w:rPr>
          <w:rFonts w:hint="default" w:ascii="Times New Roman" w:hAnsi="Times New Roman" w:eastAsia="方正仿宋_GBK" w:cs="Times New Roman"/>
          <w:sz w:val="32"/>
          <w:szCs w:val="32"/>
          <w:highlight w:val="none"/>
          <w:lang w:val="en-US" w:eastAsia="zh-CN"/>
        </w:rPr>
        <w:t>各县</w:t>
      </w:r>
      <w:r>
        <w:rPr>
          <w:rFonts w:hint="eastAsia" w:ascii="Times New Roman" w:hAnsi="Times New Roman" w:cs="Times New Roman"/>
          <w:sz w:val="32"/>
          <w:szCs w:val="32"/>
          <w:highlight w:val="none"/>
          <w:lang w:val="en-US" w:eastAsia="zh-CN"/>
        </w:rPr>
        <w:t>（市、区）</w:t>
      </w:r>
      <w:r>
        <w:rPr>
          <w:rFonts w:hint="default" w:ascii="Times New Roman" w:hAnsi="Times New Roman" w:eastAsia="方正仿宋_GBK" w:cs="Times New Roman"/>
          <w:sz w:val="32"/>
          <w:szCs w:val="32"/>
          <w:highlight w:val="none"/>
          <w:lang w:val="en-US" w:eastAsia="zh-CN"/>
        </w:rPr>
        <w:t>电力负荷管理中心要开展需求响应用户走访，服务用户做好负荷压降操作方案和应急预案，确保精准响应日前、日内调节需求。按照河北省电力需求响应市场运营规则建立</w:t>
      </w:r>
      <w:r>
        <w:rPr>
          <w:rFonts w:hint="eastAsia" w:ascii="Times New Roman" w:hAnsi="Times New Roman" w:cs="Times New Roman"/>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用户申报+系统评估</w:t>
      </w:r>
      <w:r>
        <w:rPr>
          <w:rFonts w:hint="eastAsia" w:ascii="Times New Roman" w:hAnsi="Times New Roman" w:cs="Times New Roman"/>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双重校核机制，实现用户签约规模和调节能力动态调整，确保调节能力精准可用。</w:t>
      </w:r>
    </w:p>
    <w:p w14:paraId="44A3E9C8">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b/>
          <w:bCs/>
          <w:sz w:val="32"/>
          <w:szCs w:val="32"/>
          <w:highlight w:val="none"/>
          <w:lang w:val="en-US" w:eastAsia="zh-CN"/>
        </w:rPr>
        <w:t>4.做好虚拟电厂接网服务。</w:t>
      </w:r>
      <w:r>
        <w:rPr>
          <w:rFonts w:hint="default" w:ascii="Times New Roman" w:hAnsi="Times New Roman" w:eastAsia="方正仿宋_GBK" w:cs="Times New Roman"/>
          <w:sz w:val="32"/>
          <w:szCs w:val="32"/>
          <w:highlight w:val="none"/>
          <w:lang w:val="en-US" w:eastAsia="zh-CN"/>
        </w:rPr>
        <w:t>在省电力负荷管理中心规范虚拟电厂接网服务流程前提下，市</w:t>
      </w:r>
      <w:r>
        <w:rPr>
          <w:rFonts w:hint="eastAsia" w:ascii="Times New Roman" w:hAnsi="Times New Roman" w:cs="Times New Roman"/>
          <w:sz w:val="32"/>
          <w:szCs w:val="32"/>
          <w:highlight w:val="none"/>
          <w:lang w:val="en-US" w:eastAsia="zh-CN"/>
        </w:rPr>
        <w:t>电力</w:t>
      </w:r>
      <w:r>
        <w:rPr>
          <w:rFonts w:hint="default" w:ascii="Times New Roman" w:hAnsi="Times New Roman" w:eastAsia="方正仿宋_GBK" w:cs="Times New Roman"/>
          <w:sz w:val="32"/>
          <w:szCs w:val="32"/>
          <w:highlight w:val="none"/>
          <w:lang w:val="en-US" w:eastAsia="zh-CN"/>
        </w:rPr>
        <w:t>负荷管理中心配合做好依托新型电力负荷管理系统虚拟电厂省级管理平台常态化开展资质审核、能力校核、运行监测、市场交易等服务工作。虚拟电厂运营商应严格按照国家、行业标准和相关政策要求开展支持系统建设，确保安全接入虚拟电厂省级管理平台，规范参与电网互动。</w:t>
      </w:r>
    </w:p>
    <w:p w14:paraId="058D895D">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b/>
          <w:bCs/>
          <w:sz w:val="32"/>
          <w:szCs w:val="32"/>
          <w:highlight w:val="none"/>
          <w:lang w:val="en-US" w:eastAsia="zh-CN"/>
        </w:rPr>
        <w:t>5.规范需求响应市场运营。</w:t>
      </w:r>
      <w:r>
        <w:rPr>
          <w:rFonts w:hint="default" w:ascii="Times New Roman" w:hAnsi="Times New Roman" w:eastAsia="方正仿宋_GBK" w:cs="Times New Roman"/>
          <w:sz w:val="32"/>
          <w:szCs w:val="32"/>
          <w:highlight w:val="none"/>
          <w:lang w:val="en-US" w:eastAsia="zh-CN"/>
        </w:rPr>
        <w:t>迎峰度夏（冬）期间，</w:t>
      </w:r>
      <w:r>
        <w:rPr>
          <w:rFonts w:hint="eastAsia" w:ascii="Times New Roman" w:hAnsi="Times New Roman" w:cs="Times New Roman"/>
          <w:sz w:val="32"/>
          <w:szCs w:val="32"/>
          <w:highlight w:val="none"/>
          <w:lang w:val="en-US" w:eastAsia="zh-CN"/>
        </w:rPr>
        <w:t>市</w:t>
      </w:r>
      <w:r>
        <w:rPr>
          <w:rFonts w:hint="default" w:ascii="Times New Roman" w:hAnsi="Times New Roman" w:eastAsia="方正仿宋_GBK" w:cs="Times New Roman"/>
          <w:sz w:val="32"/>
          <w:szCs w:val="32"/>
          <w:highlight w:val="none"/>
          <w:lang w:val="en-US" w:eastAsia="zh-CN"/>
        </w:rPr>
        <w:t>电力负荷管理中心要规范开展需求响应月度竞价出清。预测存在电力缺口时，适时启动需求响应市场，开展响应邀约、过程监测、效果评估、结果公示、补贴发放等工作。提前做好需求响应市场技术支持系统功能核查，保障平稳运转。</w:t>
      </w:r>
    </w:p>
    <w:p w14:paraId="4B5F8C17">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方正楷体_GBK" w:cs="Times New Roman"/>
          <w:sz w:val="32"/>
          <w:szCs w:val="32"/>
          <w:highlight w:val="none"/>
          <w:lang w:val="en-US" w:eastAsia="zh-CN"/>
        </w:rPr>
      </w:pPr>
      <w:r>
        <w:rPr>
          <w:rFonts w:hint="default" w:ascii="Times New Roman" w:hAnsi="Times New Roman" w:eastAsia="方正楷体_GBK" w:cs="Times New Roman"/>
          <w:sz w:val="32"/>
          <w:szCs w:val="32"/>
          <w:highlight w:val="none"/>
          <w:lang w:val="en-US" w:eastAsia="zh-CN"/>
        </w:rPr>
        <w:t>（</w:t>
      </w:r>
      <w:r>
        <w:rPr>
          <w:rFonts w:hint="eastAsia" w:ascii="Times New Roman" w:hAnsi="Times New Roman" w:eastAsia="方正楷体_GBK" w:cs="Times New Roman"/>
          <w:sz w:val="32"/>
          <w:szCs w:val="32"/>
          <w:highlight w:val="none"/>
          <w:lang w:val="en-US" w:eastAsia="zh-CN"/>
        </w:rPr>
        <w:t>四</w:t>
      </w:r>
      <w:r>
        <w:rPr>
          <w:rFonts w:hint="default" w:ascii="Times New Roman" w:hAnsi="Times New Roman" w:eastAsia="方正楷体_GBK" w:cs="Times New Roman"/>
          <w:sz w:val="32"/>
          <w:szCs w:val="32"/>
          <w:highlight w:val="none"/>
          <w:lang w:val="en-US" w:eastAsia="zh-CN"/>
        </w:rPr>
        <w:t>）落实有序用电保底</w:t>
      </w:r>
    </w:p>
    <w:p w14:paraId="3F3872BC">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textAlignment w:val="auto"/>
        <w:rPr>
          <w:rFonts w:hint="default" w:ascii="Times New Roman" w:hAnsi="Times New Roman" w:eastAsia="方正仿宋_GBK" w:cs="Times New Roman"/>
          <w:b w:val="0"/>
          <w:bCs w:val="0"/>
          <w:kern w:val="2"/>
          <w:sz w:val="32"/>
          <w:szCs w:val="22"/>
          <w:highlight w:val="none"/>
          <w:lang w:val="zh-CN" w:eastAsia="zh-CN" w:bidi="ar-SA"/>
        </w:rPr>
      </w:pPr>
      <w:r>
        <w:rPr>
          <w:rFonts w:hint="default" w:ascii="Times New Roman" w:hAnsi="Times New Roman" w:eastAsia="方正仿宋_GBK" w:cs="Times New Roman"/>
          <w:b/>
          <w:bCs/>
          <w:sz w:val="32"/>
          <w:szCs w:val="22"/>
          <w:highlight w:val="none"/>
          <w:lang w:val="zh-CN" w:eastAsia="zh-CN"/>
        </w:rPr>
        <w:t>1.明确</w:t>
      </w:r>
      <w:r>
        <w:rPr>
          <w:rFonts w:hint="eastAsia" w:ascii="Times New Roman" w:hAnsi="Times New Roman" w:eastAsia="方正仿宋_GBK" w:cs="Times New Roman"/>
          <w:b/>
          <w:bCs/>
          <w:sz w:val="32"/>
          <w:szCs w:val="22"/>
          <w:highlight w:val="none"/>
          <w:lang w:val="zh-CN" w:eastAsia="zh-CN"/>
        </w:rPr>
        <w:t>负荷管理</w:t>
      </w:r>
      <w:r>
        <w:rPr>
          <w:rFonts w:hint="default" w:ascii="Times New Roman" w:hAnsi="Times New Roman" w:eastAsia="方正仿宋_GBK" w:cs="Times New Roman"/>
          <w:b/>
          <w:bCs/>
          <w:sz w:val="32"/>
          <w:szCs w:val="22"/>
          <w:highlight w:val="none"/>
          <w:lang w:val="zh-CN" w:eastAsia="zh-CN"/>
        </w:rPr>
        <w:t>指标。</w:t>
      </w:r>
      <w:r>
        <w:rPr>
          <w:rFonts w:hint="default" w:ascii="Times New Roman" w:hAnsi="Times New Roman" w:eastAsia="方正仿宋_GBK" w:cs="Times New Roman"/>
          <w:kern w:val="2"/>
          <w:sz w:val="32"/>
          <w:szCs w:val="22"/>
          <w:highlight w:val="none"/>
          <w:lang w:val="zh-CN" w:eastAsia="zh-CN" w:bidi="ar-SA"/>
        </w:rPr>
        <w:t>在可预知电力供应不足等情况下，依靠提升发电出力、市场组织、需求响应、应急调度等各类措施后，仍无法满足电力电量供需平衡时，依法依规实施有序用电，控制部分用电负荷。落实国家发展改革委电力负荷管理办法要求，按照不低于本地区历史最大负荷的30%，参考各</w:t>
      </w:r>
      <w:r>
        <w:rPr>
          <w:rFonts w:hint="eastAsia" w:ascii="Times New Roman" w:hAnsi="Times New Roman" w:eastAsia="方正仿宋_GBK" w:cs="Times New Roman"/>
          <w:kern w:val="2"/>
          <w:sz w:val="32"/>
          <w:szCs w:val="22"/>
          <w:highlight w:val="none"/>
          <w:lang w:val="zh-CN" w:eastAsia="zh-CN" w:bidi="ar-SA"/>
        </w:rPr>
        <w:t>县（市、区）</w:t>
      </w:r>
      <w:r>
        <w:rPr>
          <w:rFonts w:hint="default" w:ascii="Times New Roman" w:hAnsi="Times New Roman" w:eastAsia="方正仿宋_GBK" w:cs="Times New Roman"/>
          <w:kern w:val="2"/>
          <w:sz w:val="32"/>
          <w:szCs w:val="22"/>
          <w:highlight w:val="none"/>
          <w:lang w:val="zh-CN" w:eastAsia="zh-CN" w:bidi="ar-SA"/>
        </w:rPr>
        <w:t>工业负荷及行业分布，细化分解6级指标。</w:t>
      </w:r>
    </w:p>
    <w:p w14:paraId="751819FB">
      <w:pPr>
        <w:pStyle w:val="21"/>
        <w:keepNext w:val="0"/>
        <w:keepLines w:val="0"/>
        <w:pageBreakBefore w:val="0"/>
        <w:widowControl w:val="0"/>
        <w:numPr>
          <w:ilvl w:val="0"/>
          <w:numId w:val="0"/>
        </w:numPr>
        <w:kinsoku/>
        <w:wordWrap/>
        <w:overflowPunct/>
        <w:topLinePunct w:val="0"/>
        <w:autoSpaceDE/>
        <w:autoSpaceDN/>
        <w:bidi w:val="0"/>
        <w:adjustRightInd/>
        <w:snapToGrid/>
        <w:spacing w:line="580" w:lineRule="exact"/>
        <w:jc w:val="center"/>
        <w:textAlignment w:val="auto"/>
        <w:rPr>
          <w:rFonts w:hint="default" w:ascii="Times New Roman" w:hAnsi="Times New Roman" w:eastAsia="宋体" w:cs="Times New Roman"/>
          <w:b/>
          <w:bCs/>
          <w:sz w:val="28"/>
          <w:szCs w:val="28"/>
          <w:highlight w:val="none"/>
          <w:lang w:val="en-US" w:eastAsia="zh-CN"/>
        </w:rPr>
      </w:pPr>
      <w:r>
        <w:rPr>
          <w:rFonts w:hint="default" w:ascii="Times New Roman" w:hAnsi="Times New Roman" w:eastAsia="宋体" w:cs="Times New Roman"/>
          <w:b/>
          <w:bCs/>
          <w:sz w:val="32"/>
          <w:szCs w:val="32"/>
          <w:highlight w:val="none"/>
          <w:lang w:val="en-US" w:eastAsia="zh-CN"/>
        </w:rPr>
        <w:t>202</w:t>
      </w:r>
      <w:r>
        <w:rPr>
          <w:rFonts w:hint="eastAsia" w:ascii="Times New Roman" w:hAnsi="Times New Roman" w:eastAsia="宋体" w:cs="Times New Roman"/>
          <w:b/>
          <w:bCs/>
          <w:sz w:val="32"/>
          <w:szCs w:val="32"/>
          <w:highlight w:val="none"/>
          <w:lang w:val="en-US" w:eastAsia="zh-CN"/>
        </w:rPr>
        <w:t>6</w:t>
      </w:r>
      <w:r>
        <w:rPr>
          <w:rFonts w:hint="default" w:ascii="Times New Roman" w:hAnsi="Times New Roman" w:eastAsia="宋体" w:cs="Times New Roman"/>
          <w:b/>
          <w:bCs/>
          <w:sz w:val="32"/>
          <w:szCs w:val="32"/>
          <w:highlight w:val="none"/>
          <w:lang w:val="en-US" w:eastAsia="zh-CN"/>
        </w:rPr>
        <w:t>年邯郸</w:t>
      </w:r>
      <w:r>
        <w:rPr>
          <w:rFonts w:hint="eastAsia" w:ascii="Times New Roman" w:hAnsi="Times New Roman" w:eastAsia="宋体" w:cs="Times New Roman"/>
          <w:b/>
          <w:bCs/>
          <w:sz w:val="32"/>
          <w:szCs w:val="32"/>
          <w:highlight w:val="none"/>
          <w:lang w:val="en-US" w:eastAsia="zh-CN"/>
        </w:rPr>
        <w:t>市</w:t>
      </w:r>
      <w:r>
        <w:rPr>
          <w:rFonts w:hint="default" w:ascii="Times New Roman" w:hAnsi="Times New Roman" w:eastAsia="宋体" w:cs="Times New Roman"/>
          <w:b/>
          <w:bCs/>
          <w:sz w:val="32"/>
          <w:szCs w:val="32"/>
          <w:highlight w:val="none"/>
          <w:lang w:val="en-US" w:eastAsia="zh-CN"/>
        </w:rPr>
        <w:t>电力负荷管理指标</w:t>
      </w:r>
    </w:p>
    <w:p w14:paraId="22A94B01">
      <w:pPr>
        <w:pStyle w:val="21"/>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440" w:firstLineChars="200"/>
        <w:jc w:val="right"/>
        <w:textAlignment w:val="auto"/>
        <w:rPr>
          <w:rFonts w:hint="eastAsia" w:ascii="方正仿宋_GBK" w:hAnsi="方正仿宋_GBK" w:eastAsia="方正仿宋_GBK" w:cs="方正仿宋_GBK"/>
          <w:color w:val="auto"/>
          <w:sz w:val="22"/>
          <w:szCs w:val="22"/>
          <w:highlight w:val="none"/>
          <w:lang w:val="en-US" w:eastAsia="zh-CN"/>
        </w:rPr>
      </w:pPr>
      <w:r>
        <w:rPr>
          <w:rFonts w:hint="eastAsia" w:ascii="方正仿宋_GBK" w:hAnsi="方正仿宋_GBK" w:eastAsia="方正仿宋_GBK" w:cs="方正仿宋_GBK"/>
          <w:sz w:val="22"/>
          <w:szCs w:val="22"/>
          <w:highlight w:val="none"/>
          <w:lang w:val="en-US" w:eastAsia="zh-CN"/>
        </w:rPr>
        <w:t>单位：万千瓦</w:t>
      </w:r>
    </w:p>
    <w:tbl>
      <w:tblPr>
        <w:tblStyle w:val="8"/>
        <w:tblW w:w="864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8"/>
        <w:gridCol w:w="1188"/>
        <w:gridCol w:w="1046"/>
        <w:gridCol w:w="1135"/>
        <w:gridCol w:w="1135"/>
        <w:gridCol w:w="1136"/>
        <w:gridCol w:w="1136"/>
        <w:gridCol w:w="1136"/>
      </w:tblGrid>
      <w:tr w14:paraId="1B049C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5" w:hRule="exact"/>
          <w:tblHeader/>
          <w:jc w:val="center"/>
        </w:trPr>
        <w:tc>
          <w:tcPr>
            <w:tcW w:w="728" w:type="dxa"/>
            <w:tcBorders>
              <w:top w:val="single" w:color="000000" w:sz="8" w:space="0"/>
              <w:left w:val="single" w:color="000000" w:sz="8" w:space="0"/>
              <w:bottom w:val="single" w:color="000000" w:sz="4" w:space="0"/>
              <w:right w:val="single" w:color="000000" w:sz="4" w:space="0"/>
            </w:tcBorders>
            <w:noWrap/>
            <w:vAlign w:val="center"/>
          </w:tcPr>
          <w:p w14:paraId="5CFB06DF">
            <w:pPr>
              <w:keepNext w:val="0"/>
              <w:keepLines w:val="0"/>
              <w:pageBreakBefore w:val="0"/>
              <w:widowControl/>
              <w:suppressLineNumbers w:val="0"/>
              <w:kinsoku/>
              <w:wordWrap/>
              <w:overflowPunct/>
              <w:topLinePunct w:val="0"/>
              <w:autoSpaceDE/>
              <w:autoSpaceDN/>
              <w:bidi w:val="0"/>
              <w:adjustRightInd/>
              <w:snapToGrid/>
              <w:spacing w:line="580" w:lineRule="exact"/>
              <w:jc w:val="center"/>
              <w:textAlignment w:val="center"/>
              <w:rPr>
                <w:rFonts w:hint="default" w:ascii="Times New Roman" w:hAnsi="Times New Roman" w:eastAsia="方正仿宋_GBK" w:cs="Times New Roman"/>
                <w:b/>
                <w:bCs/>
                <w:i w:val="0"/>
                <w:iCs w:val="0"/>
                <w:color w:val="000000"/>
                <w:sz w:val="24"/>
                <w:szCs w:val="24"/>
                <w:highlight w:val="none"/>
                <w:u w:val="none"/>
              </w:rPr>
            </w:pPr>
            <w:r>
              <w:rPr>
                <w:rFonts w:hint="default" w:ascii="Times New Roman" w:hAnsi="Times New Roman" w:eastAsia="方正仿宋_GBK" w:cs="Times New Roman"/>
                <w:b/>
                <w:bCs/>
                <w:i w:val="0"/>
                <w:iCs w:val="0"/>
                <w:color w:val="000000"/>
                <w:sz w:val="24"/>
                <w:szCs w:val="24"/>
                <w:highlight w:val="none"/>
                <w:u w:val="none"/>
                <w:lang w:val="en-US" w:eastAsia="zh-CN"/>
              </w:rPr>
              <w:t>序号</w:t>
            </w:r>
          </w:p>
        </w:tc>
        <w:tc>
          <w:tcPr>
            <w:tcW w:w="1188" w:type="dxa"/>
            <w:tcBorders>
              <w:top w:val="single" w:color="000000" w:sz="8" w:space="0"/>
              <w:left w:val="single" w:color="000000" w:sz="4" w:space="0"/>
              <w:bottom w:val="single" w:color="000000" w:sz="4" w:space="0"/>
              <w:right w:val="single" w:color="000000" w:sz="4" w:space="0"/>
            </w:tcBorders>
            <w:noWrap w:val="0"/>
            <w:vAlign w:val="center"/>
          </w:tcPr>
          <w:p w14:paraId="57A0175D">
            <w:pPr>
              <w:keepNext w:val="0"/>
              <w:keepLines w:val="0"/>
              <w:pageBreakBefore w:val="0"/>
              <w:widowControl/>
              <w:suppressLineNumbers w:val="0"/>
              <w:kinsoku/>
              <w:wordWrap/>
              <w:overflowPunct/>
              <w:topLinePunct w:val="0"/>
              <w:autoSpaceDE/>
              <w:autoSpaceDN/>
              <w:bidi w:val="0"/>
              <w:adjustRightInd/>
              <w:snapToGrid/>
              <w:spacing w:line="580" w:lineRule="exact"/>
              <w:jc w:val="center"/>
              <w:textAlignment w:val="center"/>
              <w:rPr>
                <w:rFonts w:hint="default" w:ascii="Times New Roman" w:hAnsi="Times New Roman" w:eastAsia="方正仿宋_GBK" w:cs="Times New Roman"/>
                <w:b/>
                <w:bCs/>
                <w:i w:val="0"/>
                <w:iCs w:val="0"/>
                <w:color w:val="000000"/>
                <w:sz w:val="24"/>
                <w:szCs w:val="24"/>
                <w:highlight w:val="none"/>
                <w:u w:val="none"/>
              </w:rPr>
            </w:pPr>
            <w:r>
              <w:rPr>
                <w:rFonts w:hint="default" w:ascii="Times New Roman" w:hAnsi="Times New Roman" w:eastAsia="方正仿宋_GBK" w:cs="Times New Roman"/>
                <w:b/>
                <w:bCs/>
                <w:i w:val="0"/>
                <w:iCs w:val="0"/>
                <w:color w:val="000000"/>
                <w:kern w:val="0"/>
                <w:sz w:val="24"/>
                <w:szCs w:val="24"/>
                <w:highlight w:val="none"/>
                <w:u w:val="none"/>
                <w:lang w:val="en-US" w:eastAsia="zh-CN" w:bidi="ar"/>
              </w:rPr>
              <w:t>地区</w:t>
            </w:r>
          </w:p>
        </w:tc>
        <w:tc>
          <w:tcPr>
            <w:tcW w:w="1046" w:type="dxa"/>
            <w:tcBorders>
              <w:top w:val="single" w:color="000000" w:sz="8" w:space="0"/>
              <w:left w:val="single" w:color="000000" w:sz="4" w:space="0"/>
              <w:bottom w:val="single" w:color="000000" w:sz="4" w:space="0"/>
              <w:right w:val="single" w:color="000000" w:sz="4" w:space="0"/>
            </w:tcBorders>
            <w:noWrap w:val="0"/>
            <w:vAlign w:val="center"/>
          </w:tcPr>
          <w:p w14:paraId="57FC786A">
            <w:pPr>
              <w:keepNext w:val="0"/>
              <w:keepLines w:val="0"/>
              <w:pageBreakBefore w:val="0"/>
              <w:widowControl/>
              <w:suppressLineNumbers w:val="0"/>
              <w:kinsoku/>
              <w:wordWrap/>
              <w:overflowPunct/>
              <w:topLinePunct w:val="0"/>
              <w:autoSpaceDE w:val="0"/>
              <w:autoSpaceDN/>
              <w:bidi w:val="0"/>
              <w:adjustRightInd/>
              <w:snapToGrid w:val="0"/>
              <w:spacing w:before="0" w:beforeLines="0" w:beforeAutospacing="0" w:after="0" w:afterLines="0" w:afterAutospacing="0" w:line="460" w:lineRule="exact"/>
              <w:ind w:left="0" w:leftChars="0" w:right="0" w:rightChars="0" w:firstLine="0" w:firstLineChars="0"/>
              <w:jc w:val="center"/>
              <w:textAlignment w:val="center"/>
              <w:rPr>
                <w:rFonts w:hint="default" w:ascii="Times New Roman" w:hAnsi="Times New Roman" w:eastAsia="方正仿宋_GBK" w:cs="Times New Roman"/>
                <w:b/>
                <w:color w:val="000000"/>
                <w:kern w:val="0"/>
                <w:sz w:val="21"/>
                <w:szCs w:val="21"/>
                <w:highlight w:val="none"/>
              </w:rPr>
            </w:pPr>
            <w:r>
              <w:rPr>
                <w:rFonts w:hint="default" w:ascii="Times New Roman" w:hAnsi="Times New Roman" w:eastAsia="方正仿宋_GBK" w:cs="Times New Roman"/>
                <w:b/>
                <w:color w:val="000000"/>
                <w:kern w:val="0"/>
                <w:sz w:val="21"/>
                <w:szCs w:val="21"/>
                <w:highlight w:val="none"/>
                <w:lang w:val="en-US" w:eastAsia="zh-CN" w:bidi="ar"/>
              </w:rPr>
              <w:t>Ⅵ预警</w:t>
            </w:r>
          </w:p>
          <w:p w14:paraId="0154D9FA">
            <w:pPr>
              <w:keepNext w:val="0"/>
              <w:keepLines w:val="0"/>
              <w:pageBreakBefore w:val="0"/>
              <w:widowControl/>
              <w:suppressLineNumbers w:val="0"/>
              <w:kinsoku/>
              <w:wordWrap/>
              <w:overflowPunct/>
              <w:topLinePunct w:val="0"/>
              <w:autoSpaceDE w:val="0"/>
              <w:autoSpaceDN/>
              <w:bidi w:val="0"/>
              <w:adjustRightInd/>
              <w:snapToGrid w:val="0"/>
              <w:spacing w:before="0" w:beforeLines="0" w:beforeAutospacing="0" w:after="0" w:afterLines="0" w:afterAutospacing="0" w:line="460" w:lineRule="exact"/>
              <w:ind w:left="0" w:leftChars="0" w:right="0" w:rightChars="0" w:firstLine="0" w:firstLineChars="0"/>
              <w:jc w:val="center"/>
              <w:textAlignment w:val="center"/>
              <w:rPr>
                <w:rFonts w:hint="default" w:ascii="Times New Roman" w:hAnsi="Times New Roman" w:eastAsia="方正仿宋_GBK" w:cs="Times New Roman"/>
                <w:b/>
                <w:bCs/>
                <w:i w:val="0"/>
                <w:iCs w:val="0"/>
                <w:color w:val="000000"/>
                <w:sz w:val="21"/>
                <w:szCs w:val="21"/>
                <w:highlight w:val="none"/>
                <w:u w:val="none"/>
              </w:rPr>
            </w:pPr>
            <w:r>
              <w:rPr>
                <w:rFonts w:hint="default" w:ascii="Times New Roman" w:hAnsi="Times New Roman" w:eastAsia="方正仿宋_GBK" w:cs="Times New Roman"/>
                <w:b/>
                <w:color w:val="000000"/>
                <w:kern w:val="0"/>
                <w:sz w:val="21"/>
                <w:szCs w:val="21"/>
                <w:highlight w:val="none"/>
                <w:lang w:val="en-US" w:eastAsia="zh-CN" w:bidi="ar"/>
              </w:rPr>
              <w:t>缺口5%</w:t>
            </w:r>
          </w:p>
        </w:tc>
        <w:tc>
          <w:tcPr>
            <w:tcW w:w="1135" w:type="dxa"/>
            <w:tcBorders>
              <w:top w:val="single" w:color="000000" w:sz="8" w:space="0"/>
              <w:left w:val="single" w:color="000000" w:sz="4" w:space="0"/>
              <w:bottom w:val="single" w:color="000000" w:sz="4" w:space="0"/>
              <w:right w:val="single" w:color="000000" w:sz="4" w:space="0"/>
            </w:tcBorders>
            <w:noWrap w:val="0"/>
            <w:vAlign w:val="center"/>
          </w:tcPr>
          <w:p w14:paraId="0B85EF20">
            <w:pPr>
              <w:keepNext w:val="0"/>
              <w:keepLines w:val="0"/>
              <w:pageBreakBefore w:val="0"/>
              <w:widowControl/>
              <w:suppressLineNumbers w:val="0"/>
              <w:kinsoku/>
              <w:wordWrap/>
              <w:overflowPunct/>
              <w:topLinePunct w:val="0"/>
              <w:autoSpaceDE w:val="0"/>
              <w:autoSpaceDN/>
              <w:bidi w:val="0"/>
              <w:adjustRightInd/>
              <w:snapToGrid w:val="0"/>
              <w:spacing w:before="0" w:beforeLines="0" w:beforeAutospacing="0" w:after="0" w:afterLines="0" w:afterAutospacing="0" w:line="460" w:lineRule="exact"/>
              <w:ind w:left="0" w:leftChars="0" w:right="0" w:rightChars="0" w:firstLine="0" w:firstLineChars="0"/>
              <w:jc w:val="center"/>
              <w:textAlignment w:val="center"/>
              <w:rPr>
                <w:rFonts w:hint="default" w:ascii="Times New Roman" w:hAnsi="Times New Roman" w:eastAsia="方正仿宋_GBK" w:cs="Times New Roman"/>
                <w:b/>
                <w:color w:val="000000"/>
                <w:kern w:val="0"/>
                <w:sz w:val="21"/>
                <w:szCs w:val="21"/>
                <w:highlight w:val="none"/>
              </w:rPr>
            </w:pPr>
            <w:r>
              <w:rPr>
                <w:rFonts w:hint="default" w:ascii="Times New Roman" w:hAnsi="Times New Roman" w:eastAsia="方正仿宋_GBK" w:cs="Times New Roman"/>
                <w:b/>
                <w:color w:val="000000"/>
                <w:kern w:val="0"/>
                <w:sz w:val="21"/>
                <w:szCs w:val="21"/>
                <w:highlight w:val="none"/>
                <w:lang w:val="en-US" w:eastAsia="zh-CN" w:bidi="ar"/>
              </w:rPr>
              <w:t>Ⅴ预警</w:t>
            </w:r>
          </w:p>
          <w:p w14:paraId="1CA837B3">
            <w:pPr>
              <w:keepNext w:val="0"/>
              <w:keepLines w:val="0"/>
              <w:pageBreakBefore w:val="0"/>
              <w:widowControl/>
              <w:suppressLineNumbers w:val="0"/>
              <w:kinsoku/>
              <w:wordWrap/>
              <w:overflowPunct/>
              <w:topLinePunct w:val="0"/>
              <w:autoSpaceDE w:val="0"/>
              <w:autoSpaceDN/>
              <w:bidi w:val="0"/>
              <w:adjustRightInd/>
              <w:snapToGrid w:val="0"/>
              <w:spacing w:before="0" w:beforeLines="0" w:beforeAutospacing="0" w:after="0" w:afterLines="0" w:afterAutospacing="0" w:line="460" w:lineRule="exact"/>
              <w:ind w:left="0" w:leftChars="0" w:right="0" w:rightChars="0" w:firstLine="0" w:firstLineChars="0"/>
              <w:jc w:val="center"/>
              <w:textAlignment w:val="center"/>
              <w:rPr>
                <w:rFonts w:hint="default" w:ascii="Times New Roman" w:hAnsi="Times New Roman" w:eastAsia="方正仿宋_GBK" w:cs="Times New Roman"/>
                <w:b/>
                <w:bCs/>
                <w:i w:val="0"/>
                <w:iCs w:val="0"/>
                <w:color w:val="000000"/>
                <w:sz w:val="21"/>
                <w:szCs w:val="21"/>
                <w:highlight w:val="none"/>
                <w:u w:val="none"/>
              </w:rPr>
            </w:pPr>
            <w:r>
              <w:rPr>
                <w:rFonts w:hint="default" w:ascii="Times New Roman" w:hAnsi="Times New Roman" w:eastAsia="方正仿宋_GBK" w:cs="Times New Roman"/>
                <w:b/>
                <w:color w:val="000000"/>
                <w:kern w:val="0"/>
                <w:sz w:val="21"/>
                <w:szCs w:val="21"/>
                <w:highlight w:val="none"/>
                <w:lang w:val="en-US" w:eastAsia="zh-CN" w:bidi="ar"/>
              </w:rPr>
              <w:t>缺口10%</w:t>
            </w:r>
          </w:p>
        </w:tc>
        <w:tc>
          <w:tcPr>
            <w:tcW w:w="1135" w:type="dxa"/>
            <w:tcBorders>
              <w:top w:val="single" w:color="000000" w:sz="8" w:space="0"/>
              <w:left w:val="single" w:color="000000" w:sz="4" w:space="0"/>
              <w:bottom w:val="single" w:color="000000" w:sz="4" w:space="0"/>
              <w:right w:val="single" w:color="000000" w:sz="4" w:space="0"/>
            </w:tcBorders>
            <w:noWrap w:val="0"/>
            <w:vAlign w:val="center"/>
          </w:tcPr>
          <w:p w14:paraId="7DAFE34E">
            <w:pPr>
              <w:keepNext w:val="0"/>
              <w:keepLines w:val="0"/>
              <w:pageBreakBefore w:val="0"/>
              <w:widowControl/>
              <w:suppressLineNumbers w:val="0"/>
              <w:kinsoku/>
              <w:wordWrap/>
              <w:overflowPunct/>
              <w:topLinePunct w:val="0"/>
              <w:autoSpaceDE w:val="0"/>
              <w:autoSpaceDN/>
              <w:bidi w:val="0"/>
              <w:adjustRightInd/>
              <w:snapToGrid w:val="0"/>
              <w:spacing w:before="0" w:beforeLines="0" w:beforeAutospacing="0" w:after="0" w:afterLines="0" w:afterAutospacing="0" w:line="460" w:lineRule="exact"/>
              <w:ind w:left="0" w:leftChars="0" w:right="0" w:rightChars="0" w:firstLine="0" w:firstLineChars="0"/>
              <w:jc w:val="center"/>
              <w:textAlignment w:val="center"/>
              <w:rPr>
                <w:rFonts w:hint="default" w:ascii="Times New Roman" w:hAnsi="Times New Roman" w:eastAsia="方正仿宋_GBK" w:cs="Times New Roman"/>
                <w:b/>
                <w:color w:val="000000"/>
                <w:kern w:val="0"/>
                <w:sz w:val="21"/>
                <w:szCs w:val="21"/>
                <w:highlight w:val="none"/>
              </w:rPr>
            </w:pPr>
            <w:r>
              <w:rPr>
                <w:rFonts w:hint="default" w:ascii="Times New Roman" w:hAnsi="Times New Roman" w:eastAsia="方正仿宋_GBK" w:cs="Times New Roman"/>
                <w:b/>
                <w:color w:val="000000"/>
                <w:kern w:val="0"/>
                <w:sz w:val="21"/>
                <w:szCs w:val="21"/>
                <w:highlight w:val="none"/>
                <w:lang w:val="en-US" w:eastAsia="zh-CN" w:bidi="ar"/>
              </w:rPr>
              <w:t>Ⅳ预警</w:t>
            </w:r>
          </w:p>
          <w:p w14:paraId="2BED3C0F">
            <w:pPr>
              <w:keepNext w:val="0"/>
              <w:keepLines w:val="0"/>
              <w:pageBreakBefore w:val="0"/>
              <w:widowControl/>
              <w:suppressLineNumbers w:val="0"/>
              <w:kinsoku/>
              <w:wordWrap/>
              <w:overflowPunct/>
              <w:topLinePunct w:val="0"/>
              <w:autoSpaceDE w:val="0"/>
              <w:autoSpaceDN/>
              <w:bidi w:val="0"/>
              <w:adjustRightInd/>
              <w:snapToGrid w:val="0"/>
              <w:spacing w:before="0" w:beforeLines="0" w:beforeAutospacing="0" w:after="0" w:afterLines="0" w:afterAutospacing="0" w:line="460" w:lineRule="exact"/>
              <w:ind w:left="0" w:leftChars="0" w:right="0" w:rightChars="0" w:firstLine="0" w:firstLineChars="0"/>
              <w:jc w:val="center"/>
              <w:textAlignment w:val="center"/>
              <w:rPr>
                <w:rFonts w:hint="default" w:ascii="Times New Roman" w:hAnsi="Times New Roman" w:eastAsia="方正仿宋_GBK" w:cs="Times New Roman"/>
                <w:b/>
                <w:bCs/>
                <w:i w:val="0"/>
                <w:iCs w:val="0"/>
                <w:color w:val="000000"/>
                <w:sz w:val="21"/>
                <w:szCs w:val="21"/>
                <w:highlight w:val="none"/>
                <w:u w:val="none"/>
              </w:rPr>
            </w:pPr>
            <w:r>
              <w:rPr>
                <w:rFonts w:hint="default" w:ascii="Times New Roman" w:hAnsi="Times New Roman" w:eastAsia="方正仿宋_GBK" w:cs="Times New Roman"/>
                <w:b/>
                <w:color w:val="000000"/>
                <w:kern w:val="0"/>
                <w:sz w:val="21"/>
                <w:szCs w:val="21"/>
                <w:highlight w:val="none"/>
                <w:lang w:val="en-US" w:eastAsia="zh-CN" w:bidi="ar"/>
              </w:rPr>
              <w:t>缺口15%</w:t>
            </w:r>
          </w:p>
        </w:tc>
        <w:tc>
          <w:tcPr>
            <w:tcW w:w="1136" w:type="dxa"/>
            <w:tcBorders>
              <w:top w:val="single" w:color="000000" w:sz="8" w:space="0"/>
              <w:left w:val="single" w:color="000000" w:sz="4" w:space="0"/>
              <w:bottom w:val="single" w:color="000000" w:sz="4" w:space="0"/>
              <w:right w:val="single" w:color="000000" w:sz="4" w:space="0"/>
            </w:tcBorders>
            <w:noWrap w:val="0"/>
            <w:vAlign w:val="center"/>
          </w:tcPr>
          <w:p w14:paraId="3762A3D3">
            <w:pPr>
              <w:keepNext w:val="0"/>
              <w:keepLines w:val="0"/>
              <w:pageBreakBefore w:val="0"/>
              <w:widowControl/>
              <w:suppressLineNumbers w:val="0"/>
              <w:kinsoku/>
              <w:wordWrap/>
              <w:overflowPunct/>
              <w:topLinePunct w:val="0"/>
              <w:autoSpaceDE w:val="0"/>
              <w:autoSpaceDN/>
              <w:bidi w:val="0"/>
              <w:adjustRightInd/>
              <w:snapToGrid w:val="0"/>
              <w:spacing w:before="0" w:beforeLines="0" w:beforeAutospacing="0" w:after="0" w:afterLines="0" w:afterAutospacing="0" w:line="460" w:lineRule="exact"/>
              <w:ind w:left="0" w:leftChars="0" w:right="0" w:rightChars="0" w:firstLine="0" w:firstLineChars="0"/>
              <w:jc w:val="center"/>
              <w:textAlignment w:val="center"/>
              <w:rPr>
                <w:rFonts w:hint="default" w:ascii="Times New Roman" w:hAnsi="Times New Roman" w:eastAsia="方正仿宋_GBK" w:cs="Times New Roman"/>
                <w:b/>
                <w:color w:val="000000"/>
                <w:kern w:val="0"/>
                <w:sz w:val="21"/>
                <w:szCs w:val="21"/>
                <w:highlight w:val="none"/>
              </w:rPr>
            </w:pPr>
            <w:r>
              <w:rPr>
                <w:rFonts w:hint="default" w:ascii="Times New Roman" w:hAnsi="Times New Roman" w:eastAsia="方正仿宋_GBK" w:cs="Times New Roman"/>
                <w:b/>
                <w:color w:val="000000"/>
                <w:kern w:val="0"/>
                <w:sz w:val="21"/>
                <w:szCs w:val="21"/>
                <w:highlight w:val="none"/>
                <w:lang w:val="en-US" w:eastAsia="zh-CN" w:bidi="ar"/>
              </w:rPr>
              <w:t>Ⅲ预警</w:t>
            </w:r>
          </w:p>
          <w:p w14:paraId="408EFC11">
            <w:pPr>
              <w:keepNext w:val="0"/>
              <w:keepLines w:val="0"/>
              <w:pageBreakBefore w:val="0"/>
              <w:widowControl/>
              <w:suppressLineNumbers w:val="0"/>
              <w:kinsoku/>
              <w:wordWrap/>
              <w:overflowPunct/>
              <w:topLinePunct w:val="0"/>
              <w:autoSpaceDE w:val="0"/>
              <w:autoSpaceDN/>
              <w:bidi w:val="0"/>
              <w:adjustRightInd/>
              <w:snapToGrid w:val="0"/>
              <w:spacing w:before="0" w:beforeLines="0" w:beforeAutospacing="0" w:after="0" w:afterLines="0" w:afterAutospacing="0" w:line="460" w:lineRule="exact"/>
              <w:ind w:left="0" w:leftChars="0" w:right="0" w:rightChars="0" w:firstLine="0" w:firstLineChars="0"/>
              <w:jc w:val="center"/>
              <w:textAlignment w:val="center"/>
              <w:rPr>
                <w:rFonts w:hint="default" w:ascii="Times New Roman" w:hAnsi="Times New Roman" w:eastAsia="方正仿宋_GBK" w:cs="Times New Roman"/>
                <w:b/>
                <w:bCs/>
                <w:i w:val="0"/>
                <w:iCs w:val="0"/>
                <w:color w:val="000000"/>
                <w:sz w:val="21"/>
                <w:szCs w:val="21"/>
                <w:highlight w:val="none"/>
                <w:u w:val="none"/>
              </w:rPr>
            </w:pPr>
            <w:r>
              <w:rPr>
                <w:rFonts w:hint="default" w:ascii="Times New Roman" w:hAnsi="Times New Roman" w:eastAsia="方正仿宋_GBK" w:cs="Times New Roman"/>
                <w:b/>
                <w:color w:val="000000"/>
                <w:kern w:val="0"/>
                <w:sz w:val="21"/>
                <w:szCs w:val="21"/>
                <w:highlight w:val="none"/>
                <w:lang w:val="en-US" w:eastAsia="zh-CN" w:bidi="ar"/>
              </w:rPr>
              <w:t>缺口20%</w:t>
            </w:r>
          </w:p>
        </w:tc>
        <w:tc>
          <w:tcPr>
            <w:tcW w:w="1136" w:type="dxa"/>
            <w:tcBorders>
              <w:top w:val="single" w:color="000000" w:sz="8" w:space="0"/>
              <w:left w:val="single" w:color="000000" w:sz="4" w:space="0"/>
              <w:bottom w:val="single" w:color="000000" w:sz="4" w:space="0"/>
              <w:right w:val="single" w:color="000000" w:sz="4" w:space="0"/>
            </w:tcBorders>
            <w:noWrap w:val="0"/>
            <w:vAlign w:val="center"/>
          </w:tcPr>
          <w:p w14:paraId="2C8B474F">
            <w:pPr>
              <w:keepNext w:val="0"/>
              <w:keepLines w:val="0"/>
              <w:pageBreakBefore w:val="0"/>
              <w:widowControl/>
              <w:suppressLineNumbers w:val="0"/>
              <w:kinsoku/>
              <w:wordWrap/>
              <w:overflowPunct/>
              <w:topLinePunct w:val="0"/>
              <w:autoSpaceDE w:val="0"/>
              <w:autoSpaceDN/>
              <w:bidi w:val="0"/>
              <w:adjustRightInd/>
              <w:snapToGrid w:val="0"/>
              <w:spacing w:before="0" w:beforeLines="0" w:beforeAutospacing="0" w:after="0" w:afterLines="0" w:afterAutospacing="0" w:line="460" w:lineRule="exact"/>
              <w:ind w:left="0" w:leftChars="0" w:right="0" w:rightChars="0" w:firstLine="0" w:firstLineChars="0"/>
              <w:jc w:val="center"/>
              <w:textAlignment w:val="center"/>
              <w:rPr>
                <w:rFonts w:hint="default" w:ascii="Times New Roman" w:hAnsi="Times New Roman" w:eastAsia="方正仿宋_GBK" w:cs="Times New Roman"/>
                <w:b/>
                <w:color w:val="000000"/>
                <w:kern w:val="0"/>
                <w:sz w:val="21"/>
                <w:szCs w:val="21"/>
                <w:highlight w:val="none"/>
              </w:rPr>
            </w:pPr>
            <w:r>
              <w:rPr>
                <w:rFonts w:hint="default" w:ascii="Times New Roman" w:hAnsi="Times New Roman" w:eastAsia="方正仿宋_GBK" w:cs="Times New Roman"/>
                <w:b/>
                <w:color w:val="000000"/>
                <w:kern w:val="0"/>
                <w:sz w:val="21"/>
                <w:szCs w:val="21"/>
                <w:highlight w:val="none"/>
                <w:lang w:val="en-US" w:eastAsia="zh-CN" w:bidi="ar"/>
              </w:rPr>
              <w:t>Ⅱ预警</w:t>
            </w:r>
          </w:p>
          <w:p w14:paraId="305F7432">
            <w:pPr>
              <w:keepNext w:val="0"/>
              <w:keepLines w:val="0"/>
              <w:pageBreakBefore w:val="0"/>
              <w:widowControl/>
              <w:suppressLineNumbers w:val="0"/>
              <w:kinsoku/>
              <w:wordWrap/>
              <w:overflowPunct/>
              <w:topLinePunct w:val="0"/>
              <w:autoSpaceDE w:val="0"/>
              <w:autoSpaceDN/>
              <w:bidi w:val="0"/>
              <w:adjustRightInd/>
              <w:snapToGrid w:val="0"/>
              <w:spacing w:before="0" w:beforeLines="0" w:beforeAutospacing="0" w:after="0" w:afterLines="0" w:afterAutospacing="0" w:line="460" w:lineRule="exact"/>
              <w:ind w:left="0" w:leftChars="0" w:right="0" w:rightChars="0" w:firstLine="0" w:firstLineChars="0"/>
              <w:jc w:val="center"/>
              <w:textAlignment w:val="center"/>
              <w:rPr>
                <w:rFonts w:hint="default" w:ascii="Times New Roman" w:hAnsi="Times New Roman" w:eastAsia="方正仿宋_GBK" w:cs="Times New Roman"/>
                <w:b/>
                <w:bCs/>
                <w:i w:val="0"/>
                <w:iCs w:val="0"/>
                <w:color w:val="000000"/>
                <w:sz w:val="21"/>
                <w:szCs w:val="21"/>
                <w:highlight w:val="none"/>
                <w:u w:val="none"/>
              </w:rPr>
            </w:pPr>
            <w:r>
              <w:rPr>
                <w:rFonts w:hint="default" w:ascii="Times New Roman" w:hAnsi="Times New Roman" w:eastAsia="方正仿宋_GBK" w:cs="Times New Roman"/>
                <w:b/>
                <w:color w:val="000000"/>
                <w:kern w:val="0"/>
                <w:sz w:val="21"/>
                <w:szCs w:val="21"/>
                <w:highlight w:val="none"/>
                <w:lang w:val="en-US" w:eastAsia="zh-CN" w:bidi="ar"/>
              </w:rPr>
              <w:t>缺口25%</w:t>
            </w:r>
          </w:p>
        </w:tc>
        <w:tc>
          <w:tcPr>
            <w:tcW w:w="1136" w:type="dxa"/>
            <w:tcBorders>
              <w:top w:val="single" w:color="000000" w:sz="8" w:space="0"/>
              <w:left w:val="single" w:color="000000" w:sz="4" w:space="0"/>
              <w:bottom w:val="single" w:color="000000" w:sz="4" w:space="0"/>
              <w:right w:val="single" w:color="000000" w:sz="8" w:space="0"/>
            </w:tcBorders>
            <w:noWrap w:val="0"/>
            <w:vAlign w:val="center"/>
          </w:tcPr>
          <w:p w14:paraId="06B1988F">
            <w:pPr>
              <w:keepNext w:val="0"/>
              <w:keepLines w:val="0"/>
              <w:pageBreakBefore w:val="0"/>
              <w:widowControl/>
              <w:suppressLineNumbers w:val="0"/>
              <w:kinsoku/>
              <w:wordWrap/>
              <w:overflowPunct/>
              <w:topLinePunct w:val="0"/>
              <w:autoSpaceDE w:val="0"/>
              <w:autoSpaceDN/>
              <w:bidi w:val="0"/>
              <w:adjustRightInd/>
              <w:snapToGrid w:val="0"/>
              <w:spacing w:before="0" w:beforeLines="0" w:beforeAutospacing="0" w:after="0" w:afterLines="0" w:afterAutospacing="0" w:line="460" w:lineRule="exact"/>
              <w:ind w:left="0" w:leftChars="0" w:right="0" w:rightChars="0" w:firstLine="0" w:firstLineChars="0"/>
              <w:jc w:val="center"/>
              <w:textAlignment w:val="center"/>
              <w:rPr>
                <w:rFonts w:hint="default" w:ascii="Times New Roman" w:hAnsi="Times New Roman" w:eastAsia="方正仿宋_GBK" w:cs="Times New Roman"/>
                <w:b/>
                <w:color w:val="000000"/>
                <w:kern w:val="0"/>
                <w:sz w:val="21"/>
                <w:szCs w:val="21"/>
                <w:highlight w:val="none"/>
              </w:rPr>
            </w:pPr>
            <w:r>
              <w:rPr>
                <w:rFonts w:hint="default" w:ascii="Times New Roman" w:hAnsi="Times New Roman" w:eastAsia="方正仿宋_GBK" w:cs="Times New Roman"/>
                <w:b/>
                <w:color w:val="000000"/>
                <w:kern w:val="0"/>
                <w:sz w:val="21"/>
                <w:szCs w:val="21"/>
                <w:highlight w:val="none"/>
                <w:lang w:val="en-US" w:eastAsia="zh-CN" w:bidi="ar"/>
              </w:rPr>
              <w:t>Ⅰ预警</w:t>
            </w:r>
          </w:p>
          <w:p w14:paraId="3BD4995B">
            <w:pPr>
              <w:keepNext w:val="0"/>
              <w:keepLines w:val="0"/>
              <w:pageBreakBefore w:val="0"/>
              <w:widowControl/>
              <w:suppressLineNumbers w:val="0"/>
              <w:kinsoku/>
              <w:wordWrap/>
              <w:overflowPunct/>
              <w:topLinePunct w:val="0"/>
              <w:autoSpaceDE w:val="0"/>
              <w:autoSpaceDN/>
              <w:bidi w:val="0"/>
              <w:adjustRightInd/>
              <w:snapToGrid w:val="0"/>
              <w:spacing w:before="0" w:beforeLines="0" w:beforeAutospacing="0" w:after="0" w:afterLines="0" w:afterAutospacing="0" w:line="460" w:lineRule="exact"/>
              <w:ind w:left="0" w:leftChars="0" w:right="0" w:rightChars="0" w:firstLine="0" w:firstLineChars="0"/>
              <w:jc w:val="center"/>
              <w:textAlignment w:val="center"/>
              <w:rPr>
                <w:rFonts w:hint="default" w:ascii="Times New Roman" w:hAnsi="Times New Roman" w:eastAsia="方正仿宋_GBK" w:cs="Times New Roman"/>
                <w:b/>
                <w:bCs/>
                <w:i w:val="0"/>
                <w:iCs w:val="0"/>
                <w:color w:val="000000"/>
                <w:sz w:val="21"/>
                <w:szCs w:val="21"/>
                <w:highlight w:val="none"/>
                <w:u w:val="none"/>
              </w:rPr>
            </w:pPr>
            <w:r>
              <w:rPr>
                <w:rFonts w:hint="default" w:ascii="Times New Roman" w:hAnsi="Times New Roman" w:eastAsia="方正仿宋_GBK" w:cs="Times New Roman"/>
                <w:b/>
                <w:color w:val="000000"/>
                <w:kern w:val="0"/>
                <w:sz w:val="21"/>
                <w:szCs w:val="21"/>
                <w:highlight w:val="none"/>
                <w:lang w:val="en-US" w:eastAsia="zh-CN" w:bidi="ar"/>
              </w:rPr>
              <w:t>缺口30%</w:t>
            </w:r>
          </w:p>
        </w:tc>
      </w:tr>
      <w:tr w14:paraId="27C7A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728" w:type="dxa"/>
            <w:tcBorders>
              <w:top w:val="single" w:color="000000" w:sz="4" w:space="0"/>
              <w:left w:val="single" w:color="000000" w:sz="8" w:space="0"/>
              <w:bottom w:val="single" w:color="000000" w:sz="4" w:space="0"/>
              <w:right w:val="single" w:color="000000" w:sz="4" w:space="0"/>
            </w:tcBorders>
            <w:noWrap w:val="0"/>
            <w:vAlign w:val="center"/>
          </w:tcPr>
          <w:p w14:paraId="4F46BC71">
            <w:pPr>
              <w:keepNext w:val="0"/>
              <w:keepLines w:val="0"/>
              <w:pageBreakBefore w:val="0"/>
              <w:widowControl/>
              <w:kinsoku/>
              <w:wordWrap/>
              <w:overflowPunct/>
              <w:topLinePunct w:val="0"/>
              <w:autoSpaceDE/>
              <w:autoSpaceDN/>
              <w:bidi w:val="0"/>
              <w:adjustRightInd/>
              <w:snapToGrid/>
              <w:spacing w:line="580" w:lineRule="exact"/>
              <w:jc w:val="center"/>
              <w:textAlignment w:val="center"/>
              <w:rPr>
                <w:rFonts w:hint="default" w:ascii="Times New Roman" w:hAnsi="Times New Roman" w:eastAsia="宋体" w:cs="Times New Roman"/>
                <w:i w:val="0"/>
                <w:iCs w:val="0"/>
                <w:color w:val="000000"/>
                <w:kern w:val="0"/>
                <w:sz w:val="22"/>
                <w:szCs w:val="22"/>
                <w:highlight w:val="none"/>
                <w:u w:val="none"/>
                <w:lang w:bidi="ar"/>
              </w:rPr>
            </w:pPr>
            <w:r>
              <w:rPr>
                <w:rFonts w:hint="default" w:ascii="Times New Roman" w:hAnsi="Times New Roman" w:eastAsia="宋体" w:cs="Times New Roman"/>
                <w:color w:val="000000"/>
                <w:kern w:val="0"/>
                <w:sz w:val="22"/>
                <w:szCs w:val="22"/>
                <w:highlight w:val="none"/>
                <w:u w:val="none"/>
                <w:lang w:bidi="ar"/>
              </w:rPr>
              <w:t>1</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782FECEF">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4"/>
                <w:szCs w:val="24"/>
                <w:highlight w:val="none"/>
                <w:lang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直供区</w:t>
            </w:r>
          </w:p>
        </w:tc>
        <w:tc>
          <w:tcPr>
            <w:tcW w:w="1046" w:type="dxa"/>
            <w:tcBorders>
              <w:top w:val="single" w:color="000000" w:sz="4" w:space="0"/>
              <w:left w:val="single" w:color="000000" w:sz="4" w:space="0"/>
              <w:bottom w:val="single" w:color="000000" w:sz="4" w:space="0"/>
              <w:right w:val="single" w:color="000000" w:sz="4" w:space="0"/>
            </w:tcBorders>
            <w:noWrap w:val="0"/>
            <w:vAlign w:val="center"/>
          </w:tcPr>
          <w:p w14:paraId="786602A0">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val="en-US"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24.12</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14:paraId="0FFD289E">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47.37</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14:paraId="28EBC4D2">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71.49</w:t>
            </w:r>
          </w:p>
        </w:tc>
        <w:tc>
          <w:tcPr>
            <w:tcW w:w="1136" w:type="dxa"/>
            <w:tcBorders>
              <w:top w:val="single" w:color="000000" w:sz="4" w:space="0"/>
              <w:left w:val="single" w:color="000000" w:sz="4" w:space="0"/>
              <w:bottom w:val="single" w:color="000000" w:sz="4" w:space="0"/>
              <w:right w:val="single" w:color="000000" w:sz="4" w:space="0"/>
            </w:tcBorders>
            <w:noWrap w:val="0"/>
            <w:vAlign w:val="center"/>
          </w:tcPr>
          <w:p w14:paraId="5721DCD3">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95.61</w:t>
            </w:r>
          </w:p>
        </w:tc>
        <w:tc>
          <w:tcPr>
            <w:tcW w:w="1136" w:type="dxa"/>
            <w:tcBorders>
              <w:top w:val="single" w:color="000000" w:sz="4" w:space="0"/>
              <w:left w:val="single" w:color="000000" w:sz="4" w:space="0"/>
              <w:bottom w:val="single" w:color="000000" w:sz="4" w:space="0"/>
              <w:right w:val="single" w:color="000000" w:sz="4" w:space="0"/>
            </w:tcBorders>
            <w:noWrap w:val="0"/>
            <w:vAlign w:val="center"/>
          </w:tcPr>
          <w:p w14:paraId="2077BEA3">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118.41</w:t>
            </w:r>
          </w:p>
        </w:tc>
        <w:tc>
          <w:tcPr>
            <w:tcW w:w="1136" w:type="dxa"/>
            <w:tcBorders>
              <w:top w:val="single" w:color="000000" w:sz="4" w:space="0"/>
              <w:left w:val="single" w:color="000000" w:sz="4" w:space="0"/>
              <w:bottom w:val="single" w:color="000000" w:sz="4" w:space="0"/>
              <w:right w:val="single" w:color="000000" w:sz="8" w:space="0"/>
            </w:tcBorders>
            <w:noWrap w:val="0"/>
            <w:vAlign w:val="center"/>
          </w:tcPr>
          <w:p w14:paraId="64759A70">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143.41</w:t>
            </w:r>
          </w:p>
        </w:tc>
      </w:tr>
      <w:tr w14:paraId="1A42EB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728" w:type="dxa"/>
            <w:tcBorders>
              <w:top w:val="single" w:color="000000" w:sz="4" w:space="0"/>
              <w:left w:val="single" w:color="000000" w:sz="8" w:space="0"/>
              <w:bottom w:val="single" w:color="000000" w:sz="4" w:space="0"/>
              <w:right w:val="single" w:color="000000" w:sz="4" w:space="0"/>
            </w:tcBorders>
            <w:noWrap w:val="0"/>
            <w:vAlign w:val="center"/>
          </w:tcPr>
          <w:p w14:paraId="7BE79E03">
            <w:pPr>
              <w:keepNext w:val="0"/>
              <w:keepLines w:val="0"/>
              <w:pageBreakBefore w:val="0"/>
              <w:widowControl/>
              <w:kinsoku/>
              <w:wordWrap/>
              <w:overflowPunct/>
              <w:topLinePunct w:val="0"/>
              <w:autoSpaceDE/>
              <w:autoSpaceDN/>
              <w:bidi w:val="0"/>
              <w:adjustRightInd/>
              <w:snapToGrid/>
              <w:spacing w:line="580" w:lineRule="exact"/>
              <w:jc w:val="center"/>
              <w:textAlignment w:val="center"/>
              <w:rPr>
                <w:rFonts w:hint="default" w:ascii="Times New Roman" w:hAnsi="Times New Roman" w:eastAsia="宋体" w:cs="Times New Roman"/>
                <w:i w:val="0"/>
                <w:iCs w:val="0"/>
                <w:color w:val="000000"/>
                <w:kern w:val="0"/>
                <w:sz w:val="22"/>
                <w:szCs w:val="22"/>
                <w:highlight w:val="none"/>
                <w:u w:val="none"/>
                <w:lang w:bidi="ar"/>
              </w:rPr>
            </w:pPr>
            <w:r>
              <w:rPr>
                <w:rFonts w:hint="default" w:ascii="Times New Roman" w:hAnsi="Times New Roman" w:eastAsia="宋体" w:cs="Times New Roman"/>
                <w:color w:val="000000"/>
                <w:kern w:val="0"/>
                <w:sz w:val="22"/>
                <w:szCs w:val="22"/>
                <w:highlight w:val="none"/>
                <w:u w:val="none"/>
                <w:lang w:bidi="ar"/>
              </w:rPr>
              <w:t>2</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6B859191">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4"/>
                <w:szCs w:val="24"/>
                <w:highlight w:val="none"/>
                <w:lang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武安市</w:t>
            </w:r>
          </w:p>
        </w:tc>
        <w:tc>
          <w:tcPr>
            <w:tcW w:w="1046" w:type="dxa"/>
            <w:tcBorders>
              <w:top w:val="single" w:color="000000" w:sz="4" w:space="0"/>
              <w:left w:val="single" w:color="000000" w:sz="4" w:space="0"/>
              <w:bottom w:val="single" w:color="000000" w:sz="4" w:space="0"/>
              <w:right w:val="single" w:color="000000" w:sz="4" w:space="0"/>
            </w:tcBorders>
            <w:noWrap w:val="0"/>
            <w:vAlign w:val="center"/>
          </w:tcPr>
          <w:p w14:paraId="2033F3A7">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9.22</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14:paraId="190C3609">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18.10</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14:paraId="7AA780ED">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27.32</w:t>
            </w:r>
          </w:p>
        </w:tc>
        <w:tc>
          <w:tcPr>
            <w:tcW w:w="1136" w:type="dxa"/>
            <w:tcBorders>
              <w:top w:val="single" w:color="000000" w:sz="4" w:space="0"/>
              <w:left w:val="single" w:color="000000" w:sz="4" w:space="0"/>
              <w:bottom w:val="single" w:color="000000" w:sz="4" w:space="0"/>
              <w:right w:val="single" w:color="000000" w:sz="4" w:space="0"/>
            </w:tcBorders>
            <w:noWrap w:val="0"/>
            <w:vAlign w:val="center"/>
          </w:tcPr>
          <w:p w14:paraId="2A7C0395">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36.54</w:t>
            </w:r>
          </w:p>
        </w:tc>
        <w:tc>
          <w:tcPr>
            <w:tcW w:w="1136" w:type="dxa"/>
            <w:tcBorders>
              <w:top w:val="single" w:color="000000" w:sz="4" w:space="0"/>
              <w:left w:val="single" w:color="000000" w:sz="4" w:space="0"/>
              <w:bottom w:val="single" w:color="000000" w:sz="4" w:space="0"/>
              <w:right w:val="single" w:color="000000" w:sz="4" w:space="0"/>
            </w:tcBorders>
            <w:noWrap w:val="0"/>
            <w:vAlign w:val="center"/>
          </w:tcPr>
          <w:p w14:paraId="12A6AD78">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45.25</w:t>
            </w:r>
          </w:p>
        </w:tc>
        <w:tc>
          <w:tcPr>
            <w:tcW w:w="1136" w:type="dxa"/>
            <w:tcBorders>
              <w:top w:val="single" w:color="000000" w:sz="4" w:space="0"/>
              <w:left w:val="single" w:color="000000" w:sz="4" w:space="0"/>
              <w:bottom w:val="single" w:color="000000" w:sz="4" w:space="0"/>
              <w:right w:val="single" w:color="000000" w:sz="8" w:space="0"/>
            </w:tcBorders>
            <w:noWrap w:val="0"/>
            <w:vAlign w:val="center"/>
          </w:tcPr>
          <w:p w14:paraId="03F72B53">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54.81</w:t>
            </w:r>
          </w:p>
        </w:tc>
      </w:tr>
      <w:tr w14:paraId="112CC4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728" w:type="dxa"/>
            <w:tcBorders>
              <w:top w:val="single" w:color="000000" w:sz="4" w:space="0"/>
              <w:left w:val="single" w:color="000000" w:sz="8" w:space="0"/>
              <w:bottom w:val="single" w:color="000000" w:sz="4" w:space="0"/>
              <w:right w:val="single" w:color="000000" w:sz="4" w:space="0"/>
            </w:tcBorders>
            <w:noWrap w:val="0"/>
            <w:vAlign w:val="center"/>
          </w:tcPr>
          <w:p w14:paraId="29F9CE17">
            <w:pPr>
              <w:keepNext w:val="0"/>
              <w:keepLines w:val="0"/>
              <w:pageBreakBefore w:val="0"/>
              <w:widowControl/>
              <w:kinsoku/>
              <w:wordWrap/>
              <w:overflowPunct/>
              <w:topLinePunct w:val="0"/>
              <w:autoSpaceDE/>
              <w:autoSpaceDN/>
              <w:bidi w:val="0"/>
              <w:adjustRightInd/>
              <w:snapToGrid/>
              <w:spacing w:line="580" w:lineRule="exact"/>
              <w:jc w:val="center"/>
              <w:textAlignment w:val="center"/>
              <w:rPr>
                <w:rFonts w:hint="default" w:ascii="Times New Roman" w:hAnsi="Times New Roman" w:eastAsia="宋体" w:cs="Times New Roman"/>
                <w:i w:val="0"/>
                <w:iCs w:val="0"/>
                <w:color w:val="000000"/>
                <w:kern w:val="0"/>
                <w:sz w:val="22"/>
                <w:szCs w:val="22"/>
                <w:highlight w:val="none"/>
                <w:u w:val="none"/>
                <w:lang w:bidi="ar"/>
              </w:rPr>
            </w:pPr>
            <w:r>
              <w:rPr>
                <w:rFonts w:hint="default" w:ascii="Times New Roman" w:hAnsi="Times New Roman" w:eastAsia="宋体" w:cs="Times New Roman"/>
                <w:color w:val="000000"/>
                <w:kern w:val="0"/>
                <w:sz w:val="22"/>
                <w:szCs w:val="22"/>
                <w:highlight w:val="none"/>
                <w:u w:val="none"/>
                <w:lang w:bidi="ar"/>
              </w:rPr>
              <w:t>3</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69DDE2AF">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4"/>
                <w:szCs w:val="24"/>
                <w:highlight w:val="none"/>
                <w:lang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永年区</w:t>
            </w:r>
          </w:p>
        </w:tc>
        <w:tc>
          <w:tcPr>
            <w:tcW w:w="1046" w:type="dxa"/>
            <w:tcBorders>
              <w:top w:val="single" w:color="000000" w:sz="4" w:space="0"/>
              <w:left w:val="single" w:color="000000" w:sz="4" w:space="0"/>
              <w:bottom w:val="single" w:color="000000" w:sz="4" w:space="0"/>
              <w:right w:val="single" w:color="000000" w:sz="4" w:space="0"/>
            </w:tcBorders>
            <w:noWrap w:val="0"/>
            <w:vAlign w:val="center"/>
          </w:tcPr>
          <w:p w14:paraId="08556736">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4.93</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14:paraId="655EC603">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9.67</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14:paraId="154CEE10">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14.60</w:t>
            </w:r>
          </w:p>
        </w:tc>
        <w:tc>
          <w:tcPr>
            <w:tcW w:w="1136" w:type="dxa"/>
            <w:tcBorders>
              <w:top w:val="single" w:color="000000" w:sz="4" w:space="0"/>
              <w:left w:val="single" w:color="000000" w:sz="4" w:space="0"/>
              <w:bottom w:val="single" w:color="000000" w:sz="4" w:space="0"/>
              <w:right w:val="single" w:color="000000" w:sz="4" w:space="0"/>
            </w:tcBorders>
            <w:noWrap w:val="0"/>
            <w:vAlign w:val="center"/>
          </w:tcPr>
          <w:p w14:paraId="75CCBDBD">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19.53</w:t>
            </w:r>
          </w:p>
        </w:tc>
        <w:tc>
          <w:tcPr>
            <w:tcW w:w="1136" w:type="dxa"/>
            <w:tcBorders>
              <w:top w:val="single" w:color="000000" w:sz="4" w:space="0"/>
              <w:left w:val="single" w:color="000000" w:sz="4" w:space="0"/>
              <w:bottom w:val="single" w:color="000000" w:sz="4" w:space="0"/>
              <w:right w:val="single" w:color="000000" w:sz="4" w:space="0"/>
            </w:tcBorders>
            <w:noWrap w:val="0"/>
            <w:vAlign w:val="center"/>
          </w:tcPr>
          <w:p w14:paraId="63CCDABA">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24.18</w:t>
            </w:r>
          </w:p>
        </w:tc>
        <w:tc>
          <w:tcPr>
            <w:tcW w:w="1136" w:type="dxa"/>
            <w:tcBorders>
              <w:top w:val="single" w:color="000000" w:sz="4" w:space="0"/>
              <w:left w:val="single" w:color="000000" w:sz="4" w:space="0"/>
              <w:bottom w:val="single" w:color="000000" w:sz="4" w:space="0"/>
              <w:right w:val="single" w:color="000000" w:sz="8" w:space="0"/>
            </w:tcBorders>
            <w:noWrap w:val="0"/>
            <w:vAlign w:val="center"/>
          </w:tcPr>
          <w:p w14:paraId="62A36A76">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29.29</w:t>
            </w:r>
          </w:p>
        </w:tc>
      </w:tr>
      <w:tr w14:paraId="3974B6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728" w:type="dxa"/>
            <w:tcBorders>
              <w:top w:val="single" w:color="000000" w:sz="4" w:space="0"/>
              <w:left w:val="single" w:color="000000" w:sz="8" w:space="0"/>
              <w:bottom w:val="single" w:color="000000" w:sz="4" w:space="0"/>
              <w:right w:val="single" w:color="000000" w:sz="4" w:space="0"/>
            </w:tcBorders>
            <w:noWrap w:val="0"/>
            <w:vAlign w:val="center"/>
          </w:tcPr>
          <w:p w14:paraId="34DD6FC6">
            <w:pPr>
              <w:keepNext w:val="0"/>
              <w:keepLines w:val="0"/>
              <w:pageBreakBefore w:val="0"/>
              <w:widowControl/>
              <w:kinsoku/>
              <w:wordWrap/>
              <w:overflowPunct/>
              <w:topLinePunct w:val="0"/>
              <w:autoSpaceDE/>
              <w:autoSpaceDN/>
              <w:bidi w:val="0"/>
              <w:adjustRightInd/>
              <w:snapToGrid/>
              <w:spacing w:line="580" w:lineRule="exact"/>
              <w:jc w:val="center"/>
              <w:textAlignment w:val="center"/>
              <w:rPr>
                <w:rFonts w:hint="default" w:ascii="Times New Roman" w:hAnsi="Times New Roman" w:eastAsia="宋体" w:cs="Times New Roman"/>
                <w:i w:val="0"/>
                <w:iCs w:val="0"/>
                <w:color w:val="000000"/>
                <w:kern w:val="0"/>
                <w:sz w:val="22"/>
                <w:szCs w:val="22"/>
                <w:highlight w:val="none"/>
                <w:u w:val="none"/>
                <w:lang w:bidi="ar"/>
              </w:rPr>
            </w:pPr>
            <w:r>
              <w:rPr>
                <w:rFonts w:hint="default" w:ascii="Times New Roman" w:hAnsi="Times New Roman" w:eastAsia="宋体" w:cs="Times New Roman"/>
                <w:color w:val="000000"/>
                <w:kern w:val="0"/>
                <w:sz w:val="22"/>
                <w:szCs w:val="22"/>
                <w:highlight w:val="none"/>
                <w:u w:val="none"/>
                <w:lang w:bidi="ar"/>
              </w:rPr>
              <w:t>4</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457BB59F">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4"/>
                <w:szCs w:val="24"/>
                <w:highlight w:val="none"/>
                <w:lang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成安县</w:t>
            </w:r>
          </w:p>
        </w:tc>
        <w:tc>
          <w:tcPr>
            <w:tcW w:w="1046" w:type="dxa"/>
            <w:tcBorders>
              <w:top w:val="single" w:color="000000" w:sz="4" w:space="0"/>
              <w:left w:val="single" w:color="000000" w:sz="4" w:space="0"/>
              <w:bottom w:val="single" w:color="000000" w:sz="4" w:space="0"/>
              <w:right w:val="single" w:color="000000" w:sz="4" w:space="0"/>
            </w:tcBorders>
            <w:noWrap w:val="0"/>
            <w:vAlign w:val="center"/>
          </w:tcPr>
          <w:p w14:paraId="51B2B68E">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2.46</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14:paraId="6B899168">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4.83</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14:paraId="660F9423">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7.30</w:t>
            </w:r>
          </w:p>
        </w:tc>
        <w:tc>
          <w:tcPr>
            <w:tcW w:w="1136" w:type="dxa"/>
            <w:tcBorders>
              <w:top w:val="single" w:color="000000" w:sz="4" w:space="0"/>
              <w:left w:val="single" w:color="000000" w:sz="4" w:space="0"/>
              <w:bottom w:val="single" w:color="000000" w:sz="4" w:space="0"/>
              <w:right w:val="single" w:color="000000" w:sz="4" w:space="0"/>
            </w:tcBorders>
            <w:noWrap w:val="0"/>
            <w:vAlign w:val="center"/>
          </w:tcPr>
          <w:p w14:paraId="09DD4F02">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9.76</w:t>
            </w:r>
          </w:p>
        </w:tc>
        <w:tc>
          <w:tcPr>
            <w:tcW w:w="1136" w:type="dxa"/>
            <w:tcBorders>
              <w:top w:val="single" w:color="000000" w:sz="4" w:space="0"/>
              <w:left w:val="single" w:color="000000" w:sz="4" w:space="0"/>
              <w:bottom w:val="single" w:color="000000" w:sz="4" w:space="0"/>
              <w:right w:val="single" w:color="000000" w:sz="4" w:space="0"/>
            </w:tcBorders>
            <w:noWrap w:val="0"/>
            <w:vAlign w:val="center"/>
          </w:tcPr>
          <w:p w14:paraId="30D16FC3">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12.09</w:t>
            </w:r>
          </w:p>
        </w:tc>
        <w:tc>
          <w:tcPr>
            <w:tcW w:w="1136" w:type="dxa"/>
            <w:tcBorders>
              <w:top w:val="single" w:color="000000" w:sz="4" w:space="0"/>
              <w:left w:val="single" w:color="000000" w:sz="4" w:space="0"/>
              <w:bottom w:val="single" w:color="000000" w:sz="4" w:space="0"/>
              <w:right w:val="single" w:color="000000" w:sz="8" w:space="0"/>
            </w:tcBorders>
            <w:noWrap w:val="0"/>
            <w:vAlign w:val="center"/>
          </w:tcPr>
          <w:p w14:paraId="623BED72">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14.64</w:t>
            </w:r>
          </w:p>
        </w:tc>
      </w:tr>
      <w:tr w14:paraId="1C485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728" w:type="dxa"/>
            <w:tcBorders>
              <w:top w:val="single" w:color="000000" w:sz="4" w:space="0"/>
              <w:left w:val="single" w:color="000000" w:sz="8" w:space="0"/>
              <w:bottom w:val="single" w:color="000000" w:sz="4" w:space="0"/>
              <w:right w:val="single" w:color="000000" w:sz="4" w:space="0"/>
            </w:tcBorders>
            <w:noWrap w:val="0"/>
            <w:vAlign w:val="center"/>
          </w:tcPr>
          <w:p w14:paraId="2DC2EAF0">
            <w:pPr>
              <w:keepNext w:val="0"/>
              <w:keepLines w:val="0"/>
              <w:pageBreakBefore w:val="0"/>
              <w:widowControl/>
              <w:kinsoku/>
              <w:wordWrap/>
              <w:overflowPunct/>
              <w:topLinePunct w:val="0"/>
              <w:autoSpaceDE/>
              <w:autoSpaceDN/>
              <w:bidi w:val="0"/>
              <w:adjustRightInd/>
              <w:snapToGrid/>
              <w:spacing w:line="580" w:lineRule="exact"/>
              <w:jc w:val="center"/>
              <w:textAlignment w:val="center"/>
              <w:rPr>
                <w:rFonts w:hint="default" w:ascii="Times New Roman" w:hAnsi="Times New Roman" w:eastAsia="宋体" w:cs="Times New Roman"/>
                <w:i w:val="0"/>
                <w:iCs w:val="0"/>
                <w:color w:val="000000"/>
                <w:kern w:val="0"/>
                <w:sz w:val="22"/>
                <w:szCs w:val="22"/>
                <w:highlight w:val="none"/>
                <w:u w:val="none"/>
                <w:lang w:bidi="ar"/>
              </w:rPr>
            </w:pPr>
            <w:r>
              <w:rPr>
                <w:rFonts w:hint="default" w:ascii="Times New Roman" w:hAnsi="Times New Roman" w:eastAsia="宋体" w:cs="Times New Roman"/>
                <w:color w:val="000000"/>
                <w:kern w:val="0"/>
                <w:sz w:val="22"/>
                <w:szCs w:val="22"/>
                <w:highlight w:val="none"/>
                <w:u w:val="none"/>
                <w:lang w:bidi="ar"/>
              </w:rPr>
              <w:t>5</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66034207">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4"/>
                <w:szCs w:val="24"/>
                <w:highlight w:val="none"/>
                <w:lang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鸡泽县</w:t>
            </w:r>
          </w:p>
        </w:tc>
        <w:tc>
          <w:tcPr>
            <w:tcW w:w="1046" w:type="dxa"/>
            <w:tcBorders>
              <w:top w:val="single" w:color="000000" w:sz="4" w:space="0"/>
              <w:left w:val="single" w:color="000000" w:sz="4" w:space="0"/>
              <w:bottom w:val="single" w:color="000000" w:sz="4" w:space="0"/>
              <w:right w:val="single" w:color="000000" w:sz="4" w:space="0"/>
            </w:tcBorders>
            <w:noWrap w:val="0"/>
            <w:vAlign w:val="center"/>
          </w:tcPr>
          <w:p w14:paraId="28265847">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1.97</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14:paraId="0753DB70">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3.86</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14:paraId="6D902BB2">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5.83</w:t>
            </w:r>
          </w:p>
        </w:tc>
        <w:tc>
          <w:tcPr>
            <w:tcW w:w="1136" w:type="dxa"/>
            <w:tcBorders>
              <w:top w:val="single" w:color="000000" w:sz="4" w:space="0"/>
              <w:left w:val="single" w:color="000000" w:sz="4" w:space="0"/>
              <w:bottom w:val="single" w:color="000000" w:sz="4" w:space="0"/>
              <w:right w:val="single" w:color="000000" w:sz="4" w:space="0"/>
            </w:tcBorders>
            <w:noWrap w:val="0"/>
            <w:vAlign w:val="center"/>
          </w:tcPr>
          <w:p w14:paraId="3928B8A0">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7.80</w:t>
            </w:r>
          </w:p>
        </w:tc>
        <w:tc>
          <w:tcPr>
            <w:tcW w:w="1136" w:type="dxa"/>
            <w:tcBorders>
              <w:top w:val="single" w:color="000000" w:sz="4" w:space="0"/>
              <w:left w:val="single" w:color="000000" w:sz="4" w:space="0"/>
              <w:bottom w:val="single" w:color="000000" w:sz="4" w:space="0"/>
              <w:right w:val="single" w:color="000000" w:sz="4" w:space="0"/>
            </w:tcBorders>
            <w:noWrap w:val="0"/>
            <w:vAlign w:val="center"/>
          </w:tcPr>
          <w:p w14:paraId="319E21BE">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9.66</w:t>
            </w:r>
          </w:p>
        </w:tc>
        <w:tc>
          <w:tcPr>
            <w:tcW w:w="1136" w:type="dxa"/>
            <w:tcBorders>
              <w:top w:val="single" w:color="000000" w:sz="4" w:space="0"/>
              <w:left w:val="single" w:color="000000" w:sz="4" w:space="0"/>
              <w:bottom w:val="single" w:color="000000" w:sz="4" w:space="0"/>
              <w:right w:val="single" w:color="000000" w:sz="8" w:space="0"/>
            </w:tcBorders>
            <w:noWrap w:val="0"/>
            <w:vAlign w:val="center"/>
          </w:tcPr>
          <w:p w14:paraId="352A51E2">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10.70</w:t>
            </w:r>
          </w:p>
        </w:tc>
      </w:tr>
      <w:tr w14:paraId="58F049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728" w:type="dxa"/>
            <w:tcBorders>
              <w:top w:val="single" w:color="000000" w:sz="4" w:space="0"/>
              <w:left w:val="single" w:color="000000" w:sz="8" w:space="0"/>
              <w:bottom w:val="single" w:color="000000" w:sz="4" w:space="0"/>
              <w:right w:val="single" w:color="000000" w:sz="4" w:space="0"/>
            </w:tcBorders>
            <w:noWrap w:val="0"/>
            <w:vAlign w:val="center"/>
          </w:tcPr>
          <w:p w14:paraId="1DE0C0C5">
            <w:pPr>
              <w:keepNext w:val="0"/>
              <w:keepLines w:val="0"/>
              <w:pageBreakBefore w:val="0"/>
              <w:widowControl/>
              <w:kinsoku/>
              <w:wordWrap/>
              <w:overflowPunct/>
              <w:topLinePunct w:val="0"/>
              <w:autoSpaceDE/>
              <w:autoSpaceDN/>
              <w:bidi w:val="0"/>
              <w:adjustRightInd/>
              <w:snapToGrid/>
              <w:spacing w:line="580" w:lineRule="exact"/>
              <w:jc w:val="center"/>
              <w:textAlignment w:val="center"/>
              <w:rPr>
                <w:rFonts w:hint="default" w:ascii="Times New Roman" w:hAnsi="Times New Roman" w:eastAsia="宋体" w:cs="Times New Roman"/>
                <w:i w:val="0"/>
                <w:iCs w:val="0"/>
                <w:color w:val="000000"/>
                <w:kern w:val="0"/>
                <w:sz w:val="22"/>
                <w:szCs w:val="22"/>
                <w:highlight w:val="none"/>
                <w:u w:val="none"/>
                <w:lang w:bidi="ar"/>
              </w:rPr>
            </w:pPr>
            <w:r>
              <w:rPr>
                <w:rFonts w:hint="default" w:ascii="Times New Roman" w:hAnsi="Times New Roman" w:eastAsia="宋体" w:cs="Times New Roman"/>
                <w:color w:val="000000"/>
                <w:kern w:val="0"/>
                <w:sz w:val="22"/>
                <w:szCs w:val="22"/>
                <w:highlight w:val="none"/>
                <w:u w:val="none"/>
                <w:lang w:bidi="ar"/>
              </w:rPr>
              <w:t>6</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7B5CC3D3">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4"/>
                <w:szCs w:val="24"/>
                <w:highlight w:val="none"/>
                <w:lang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峰峰矿区</w:t>
            </w:r>
          </w:p>
        </w:tc>
        <w:tc>
          <w:tcPr>
            <w:tcW w:w="1046" w:type="dxa"/>
            <w:tcBorders>
              <w:top w:val="single" w:color="000000" w:sz="4" w:space="0"/>
              <w:left w:val="single" w:color="000000" w:sz="4" w:space="0"/>
              <w:bottom w:val="single" w:color="000000" w:sz="4" w:space="0"/>
              <w:right w:val="single" w:color="000000" w:sz="4" w:space="0"/>
            </w:tcBorders>
            <w:noWrap w:val="0"/>
            <w:vAlign w:val="center"/>
          </w:tcPr>
          <w:p w14:paraId="7C3C6528">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1.64</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14:paraId="0BEF156A">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3.23</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14:paraId="6567F132">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4.87</w:t>
            </w:r>
          </w:p>
        </w:tc>
        <w:tc>
          <w:tcPr>
            <w:tcW w:w="1136" w:type="dxa"/>
            <w:tcBorders>
              <w:top w:val="single" w:color="000000" w:sz="4" w:space="0"/>
              <w:left w:val="single" w:color="000000" w:sz="4" w:space="0"/>
              <w:bottom w:val="single" w:color="000000" w:sz="4" w:space="0"/>
              <w:right w:val="single" w:color="000000" w:sz="4" w:space="0"/>
            </w:tcBorders>
            <w:noWrap w:val="0"/>
            <w:vAlign w:val="center"/>
          </w:tcPr>
          <w:p w14:paraId="121DB2D3">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6.51</w:t>
            </w:r>
          </w:p>
        </w:tc>
        <w:tc>
          <w:tcPr>
            <w:tcW w:w="1136" w:type="dxa"/>
            <w:tcBorders>
              <w:top w:val="single" w:color="000000" w:sz="4" w:space="0"/>
              <w:left w:val="single" w:color="000000" w:sz="4" w:space="0"/>
              <w:bottom w:val="single" w:color="000000" w:sz="4" w:space="0"/>
              <w:right w:val="single" w:color="000000" w:sz="4" w:space="0"/>
            </w:tcBorders>
            <w:noWrap w:val="0"/>
            <w:vAlign w:val="center"/>
          </w:tcPr>
          <w:p w14:paraId="41D53F2F">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8.06</w:t>
            </w:r>
          </w:p>
        </w:tc>
        <w:tc>
          <w:tcPr>
            <w:tcW w:w="1136" w:type="dxa"/>
            <w:tcBorders>
              <w:top w:val="single" w:color="000000" w:sz="4" w:space="0"/>
              <w:left w:val="single" w:color="000000" w:sz="4" w:space="0"/>
              <w:bottom w:val="single" w:color="000000" w:sz="4" w:space="0"/>
              <w:right w:val="single" w:color="000000" w:sz="8" w:space="0"/>
            </w:tcBorders>
            <w:noWrap w:val="0"/>
            <w:vAlign w:val="center"/>
          </w:tcPr>
          <w:p w14:paraId="1CDA3625">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9.77</w:t>
            </w:r>
          </w:p>
        </w:tc>
      </w:tr>
      <w:tr w14:paraId="28BE66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728" w:type="dxa"/>
            <w:tcBorders>
              <w:top w:val="single" w:color="000000" w:sz="4" w:space="0"/>
              <w:left w:val="single" w:color="000000" w:sz="8" w:space="0"/>
              <w:bottom w:val="single" w:color="000000" w:sz="4" w:space="0"/>
              <w:right w:val="single" w:color="000000" w:sz="4" w:space="0"/>
            </w:tcBorders>
            <w:noWrap w:val="0"/>
            <w:vAlign w:val="center"/>
          </w:tcPr>
          <w:p w14:paraId="58FC49A0">
            <w:pPr>
              <w:keepNext w:val="0"/>
              <w:keepLines w:val="0"/>
              <w:pageBreakBefore w:val="0"/>
              <w:widowControl/>
              <w:kinsoku/>
              <w:wordWrap/>
              <w:overflowPunct/>
              <w:topLinePunct w:val="0"/>
              <w:autoSpaceDE/>
              <w:autoSpaceDN/>
              <w:bidi w:val="0"/>
              <w:adjustRightInd/>
              <w:snapToGrid/>
              <w:spacing w:line="580" w:lineRule="exact"/>
              <w:jc w:val="center"/>
              <w:textAlignment w:val="center"/>
              <w:rPr>
                <w:rFonts w:hint="default" w:ascii="Times New Roman" w:hAnsi="Times New Roman" w:eastAsia="宋体" w:cs="Times New Roman"/>
                <w:i w:val="0"/>
                <w:iCs w:val="0"/>
                <w:color w:val="000000"/>
                <w:kern w:val="0"/>
                <w:sz w:val="22"/>
                <w:szCs w:val="22"/>
                <w:highlight w:val="none"/>
                <w:u w:val="none"/>
                <w:lang w:bidi="ar"/>
              </w:rPr>
            </w:pPr>
            <w:r>
              <w:rPr>
                <w:rFonts w:hint="default" w:ascii="Times New Roman" w:hAnsi="Times New Roman" w:eastAsia="宋体" w:cs="Times New Roman"/>
                <w:color w:val="000000"/>
                <w:kern w:val="0"/>
                <w:sz w:val="22"/>
                <w:szCs w:val="22"/>
                <w:highlight w:val="none"/>
                <w:u w:val="none"/>
                <w:lang w:bidi="ar"/>
              </w:rPr>
              <w:t>7</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5A40E0E3">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4"/>
                <w:szCs w:val="24"/>
                <w:highlight w:val="none"/>
                <w:lang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涉县</w:t>
            </w:r>
          </w:p>
        </w:tc>
        <w:tc>
          <w:tcPr>
            <w:tcW w:w="1046" w:type="dxa"/>
            <w:tcBorders>
              <w:top w:val="single" w:color="000000" w:sz="4" w:space="0"/>
              <w:left w:val="single" w:color="000000" w:sz="4" w:space="0"/>
              <w:bottom w:val="single" w:color="000000" w:sz="4" w:space="0"/>
              <w:right w:val="single" w:color="000000" w:sz="4" w:space="0"/>
            </w:tcBorders>
            <w:noWrap w:val="0"/>
            <w:vAlign w:val="center"/>
          </w:tcPr>
          <w:p w14:paraId="6301EE63">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1.56</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14:paraId="7BE84510">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3.07</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14:paraId="4BC383EF">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4.63</w:t>
            </w:r>
          </w:p>
        </w:tc>
        <w:tc>
          <w:tcPr>
            <w:tcW w:w="1136" w:type="dxa"/>
            <w:tcBorders>
              <w:top w:val="single" w:color="000000" w:sz="4" w:space="0"/>
              <w:left w:val="single" w:color="000000" w:sz="4" w:space="0"/>
              <w:bottom w:val="single" w:color="000000" w:sz="4" w:space="0"/>
              <w:right w:val="single" w:color="000000" w:sz="4" w:space="0"/>
            </w:tcBorders>
            <w:noWrap w:val="0"/>
            <w:vAlign w:val="center"/>
          </w:tcPr>
          <w:p w14:paraId="79C2ED8A">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6.20</w:t>
            </w:r>
          </w:p>
        </w:tc>
        <w:tc>
          <w:tcPr>
            <w:tcW w:w="1136" w:type="dxa"/>
            <w:tcBorders>
              <w:top w:val="single" w:color="000000" w:sz="4" w:space="0"/>
              <w:left w:val="single" w:color="000000" w:sz="4" w:space="0"/>
              <w:bottom w:val="single" w:color="000000" w:sz="4" w:space="0"/>
              <w:right w:val="single" w:color="000000" w:sz="4" w:space="0"/>
            </w:tcBorders>
            <w:noWrap w:val="0"/>
            <w:vAlign w:val="center"/>
          </w:tcPr>
          <w:p w14:paraId="33270031">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7.68</w:t>
            </w:r>
          </w:p>
        </w:tc>
        <w:tc>
          <w:tcPr>
            <w:tcW w:w="1136" w:type="dxa"/>
            <w:tcBorders>
              <w:top w:val="single" w:color="000000" w:sz="4" w:space="0"/>
              <w:left w:val="single" w:color="000000" w:sz="4" w:space="0"/>
              <w:bottom w:val="single" w:color="000000" w:sz="4" w:space="0"/>
              <w:right w:val="single" w:color="000000" w:sz="8" w:space="0"/>
            </w:tcBorders>
            <w:noWrap w:val="0"/>
            <w:vAlign w:val="center"/>
          </w:tcPr>
          <w:p w14:paraId="56D63F69">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9.30</w:t>
            </w:r>
          </w:p>
        </w:tc>
      </w:tr>
      <w:tr w14:paraId="3B0945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728" w:type="dxa"/>
            <w:tcBorders>
              <w:top w:val="single" w:color="000000" w:sz="4" w:space="0"/>
              <w:left w:val="single" w:color="000000" w:sz="8" w:space="0"/>
              <w:bottom w:val="single" w:color="000000" w:sz="4" w:space="0"/>
              <w:right w:val="single" w:color="000000" w:sz="4" w:space="0"/>
            </w:tcBorders>
            <w:noWrap w:val="0"/>
            <w:vAlign w:val="center"/>
          </w:tcPr>
          <w:p w14:paraId="0990E969">
            <w:pPr>
              <w:keepNext w:val="0"/>
              <w:keepLines w:val="0"/>
              <w:pageBreakBefore w:val="0"/>
              <w:widowControl/>
              <w:kinsoku/>
              <w:wordWrap/>
              <w:overflowPunct/>
              <w:topLinePunct w:val="0"/>
              <w:autoSpaceDE/>
              <w:autoSpaceDN/>
              <w:bidi w:val="0"/>
              <w:adjustRightInd/>
              <w:snapToGrid/>
              <w:spacing w:line="580" w:lineRule="exact"/>
              <w:jc w:val="center"/>
              <w:textAlignment w:val="center"/>
              <w:rPr>
                <w:rFonts w:hint="default" w:ascii="Times New Roman" w:hAnsi="Times New Roman" w:eastAsia="宋体" w:cs="Times New Roman"/>
                <w:color w:val="000000"/>
                <w:kern w:val="0"/>
                <w:sz w:val="22"/>
                <w:szCs w:val="22"/>
                <w:highlight w:val="none"/>
                <w:u w:val="none"/>
                <w:lang w:val="en-US" w:eastAsia="zh-CN" w:bidi="ar"/>
              </w:rPr>
            </w:pPr>
            <w:r>
              <w:rPr>
                <w:rFonts w:hint="default" w:ascii="Times New Roman" w:hAnsi="Times New Roman" w:cs="Times New Roman"/>
                <w:color w:val="000000"/>
                <w:kern w:val="0"/>
                <w:sz w:val="22"/>
                <w:szCs w:val="22"/>
                <w:highlight w:val="none"/>
                <w:u w:val="none"/>
                <w:lang w:val="en-US" w:eastAsia="zh-CN" w:bidi="ar"/>
              </w:rPr>
              <w:t>8</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724910F6">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4"/>
                <w:szCs w:val="24"/>
                <w:highlight w:val="none"/>
                <w:lang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磁县</w:t>
            </w:r>
          </w:p>
        </w:tc>
        <w:tc>
          <w:tcPr>
            <w:tcW w:w="1046" w:type="dxa"/>
            <w:tcBorders>
              <w:top w:val="single" w:color="000000" w:sz="4" w:space="0"/>
              <w:left w:val="single" w:color="000000" w:sz="4" w:space="0"/>
              <w:bottom w:val="single" w:color="000000" w:sz="4" w:space="0"/>
              <w:right w:val="single" w:color="000000" w:sz="4" w:space="0"/>
            </w:tcBorders>
            <w:noWrap w:val="0"/>
            <w:vAlign w:val="center"/>
          </w:tcPr>
          <w:p w14:paraId="6B904442">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val="en-US" w:eastAsia="zh-CN"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1.54</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14:paraId="7731DB90">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val="en-US" w:eastAsia="zh-CN"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3.02</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14:paraId="76174535">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val="en-US" w:eastAsia="zh-CN"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4.56</w:t>
            </w:r>
          </w:p>
        </w:tc>
        <w:tc>
          <w:tcPr>
            <w:tcW w:w="1136" w:type="dxa"/>
            <w:tcBorders>
              <w:top w:val="single" w:color="000000" w:sz="4" w:space="0"/>
              <w:left w:val="single" w:color="000000" w:sz="4" w:space="0"/>
              <w:bottom w:val="single" w:color="000000" w:sz="4" w:space="0"/>
              <w:right w:val="single" w:color="000000" w:sz="4" w:space="0"/>
            </w:tcBorders>
            <w:noWrap w:val="0"/>
            <w:vAlign w:val="center"/>
          </w:tcPr>
          <w:p w14:paraId="7074FB50">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val="en-US" w:eastAsia="zh-CN"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6.10</w:t>
            </w:r>
          </w:p>
        </w:tc>
        <w:tc>
          <w:tcPr>
            <w:tcW w:w="1136" w:type="dxa"/>
            <w:tcBorders>
              <w:top w:val="single" w:color="000000" w:sz="4" w:space="0"/>
              <w:left w:val="single" w:color="000000" w:sz="4" w:space="0"/>
              <w:bottom w:val="single" w:color="000000" w:sz="4" w:space="0"/>
              <w:right w:val="single" w:color="000000" w:sz="4" w:space="0"/>
            </w:tcBorders>
            <w:noWrap w:val="0"/>
            <w:vAlign w:val="center"/>
          </w:tcPr>
          <w:p w14:paraId="7424C412">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val="en-US" w:eastAsia="zh-CN"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7.55</w:t>
            </w:r>
          </w:p>
        </w:tc>
        <w:tc>
          <w:tcPr>
            <w:tcW w:w="1136" w:type="dxa"/>
            <w:tcBorders>
              <w:top w:val="single" w:color="000000" w:sz="4" w:space="0"/>
              <w:left w:val="single" w:color="000000" w:sz="4" w:space="0"/>
              <w:bottom w:val="single" w:color="000000" w:sz="4" w:space="0"/>
              <w:right w:val="single" w:color="000000" w:sz="8" w:space="0"/>
            </w:tcBorders>
            <w:noWrap w:val="0"/>
            <w:vAlign w:val="center"/>
          </w:tcPr>
          <w:p w14:paraId="03D65B19">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val="en-US" w:eastAsia="zh-CN"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9.15</w:t>
            </w:r>
          </w:p>
        </w:tc>
      </w:tr>
      <w:tr w14:paraId="62EF04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728" w:type="dxa"/>
            <w:tcBorders>
              <w:top w:val="single" w:color="000000" w:sz="4" w:space="0"/>
              <w:left w:val="single" w:color="000000" w:sz="8" w:space="0"/>
              <w:bottom w:val="single" w:color="000000" w:sz="4" w:space="0"/>
              <w:right w:val="single" w:color="000000" w:sz="4" w:space="0"/>
            </w:tcBorders>
            <w:noWrap w:val="0"/>
            <w:vAlign w:val="center"/>
          </w:tcPr>
          <w:p w14:paraId="2B30636F">
            <w:pPr>
              <w:keepNext w:val="0"/>
              <w:keepLines w:val="0"/>
              <w:pageBreakBefore w:val="0"/>
              <w:widowControl/>
              <w:kinsoku/>
              <w:wordWrap/>
              <w:overflowPunct/>
              <w:topLinePunct w:val="0"/>
              <w:autoSpaceDE/>
              <w:autoSpaceDN/>
              <w:bidi w:val="0"/>
              <w:adjustRightInd/>
              <w:snapToGrid/>
              <w:spacing w:line="580" w:lineRule="exact"/>
              <w:jc w:val="center"/>
              <w:textAlignment w:val="center"/>
              <w:rPr>
                <w:rFonts w:hint="default" w:ascii="Times New Roman" w:hAnsi="Times New Roman" w:eastAsia="宋体" w:cs="Times New Roman"/>
                <w:color w:val="000000"/>
                <w:kern w:val="0"/>
                <w:sz w:val="22"/>
                <w:szCs w:val="22"/>
                <w:highlight w:val="none"/>
                <w:u w:val="none"/>
                <w:lang w:val="en-US" w:eastAsia="zh-CN" w:bidi="ar"/>
              </w:rPr>
            </w:pPr>
            <w:r>
              <w:rPr>
                <w:rFonts w:hint="default" w:ascii="Times New Roman" w:hAnsi="Times New Roman" w:cs="Times New Roman"/>
                <w:color w:val="000000"/>
                <w:kern w:val="0"/>
                <w:sz w:val="22"/>
                <w:szCs w:val="22"/>
                <w:highlight w:val="none"/>
                <w:u w:val="none"/>
                <w:lang w:val="en-US" w:eastAsia="zh-CN" w:bidi="ar"/>
              </w:rPr>
              <w:t>9</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7AEEDA0D">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4"/>
                <w:szCs w:val="24"/>
                <w:highlight w:val="none"/>
                <w:lang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魏县</w:t>
            </w:r>
          </w:p>
        </w:tc>
        <w:tc>
          <w:tcPr>
            <w:tcW w:w="1046" w:type="dxa"/>
            <w:tcBorders>
              <w:top w:val="single" w:color="000000" w:sz="4" w:space="0"/>
              <w:left w:val="single" w:color="000000" w:sz="4" w:space="0"/>
              <w:bottom w:val="single" w:color="000000" w:sz="4" w:space="0"/>
              <w:right w:val="single" w:color="000000" w:sz="4" w:space="0"/>
            </w:tcBorders>
            <w:noWrap w:val="0"/>
            <w:vAlign w:val="center"/>
          </w:tcPr>
          <w:p w14:paraId="7415C374">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val="en-US" w:eastAsia="zh-CN"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1.29</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14:paraId="62F98458">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val="en-US" w:eastAsia="zh-CN"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2.53</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14:paraId="430E0DEE">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val="en-US" w:eastAsia="zh-CN"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3.82</w:t>
            </w:r>
          </w:p>
        </w:tc>
        <w:tc>
          <w:tcPr>
            <w:tcW w:w="1136" w:type="dxa"/>
            <w:tcBorders>
              <w:top w:val="single" w:color="000000" w:sz="4" w:space="0"/>
              <w:left w:val="single" w:color="000000" w:sz="4" w:space="0"/>
              <w:bottom w:val="single" w:color="000000" w:sz="4" w:space="0"/>
              <w:right w:val="single" w:color="000000" w:sz="4" w:space="0"/>
            </w:tcBorders>
            <w:noWrap w:val="0"/>
            <w:vAlign w:val="center"/>
          </w:tcPr>
          <w:p w14:paraId="7092A1EB">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val="en-US" w:eastAsia="zh-CN"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5.11</w:t>
            </w:r>
          </w:p>
        </w:tc>
        <w:tc>
          <w:tcPr>
            <w:tcW w:w="1136" w:type="dxa"/>
            <w:tcBorders>
              <w:top w:val="single" w:color="000000" w:sz="4" w:space="0"/>
              <w:left w:val="single" w:color="000000" w:sz="4" w:space="0"/>
              <w:bottom w:val="single" w:color="000000" w:sz="4" w:space="0"/>
              <w:right w:val="single" w:color="000000" w:sz="4" w:space="0"/>
            </w:tcBorders>
            <w:noWrap w:val="0"/>
            <w:vAlign w:val="center"/>
          </w:tcPr>
          <w:p w14:paraId="24936F48">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val="en-US" w:eastAsia="zh-CN"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6.33</w:t>
            </w:r>
          </w:p>
        </w:tc>
        <w:tc>
          <w:tcPr>
            <w:tcW w:w="1136" w:type="dxa"/>
            <w:tcBorders>
              <w:top w:val="single" w:color="000000" w:sz="4" w:space="0"/>
              <w:left w:val="single" w:color="000000" w:sz="4" w:space="0"/>
              <w:bottom w:val="single" w:color="000000" w:sz="4" w:space="0"/>
              <w:right w:val="single" w:color="000000" w:sz="8" w:space="0"/>
            </w:tcBorders>
            <w:noWrap w:val="0"/>
            <w:vAlign w:val="center"/>
          </w:tcPr>
          <w:p w14:paraId="1BCFA969">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val="en-US" w:eastAsia="zh-CN"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7.66</w:t>
            </w:r>
          </w:p>
        </w:tc>
      </w:tr>
      <w:tr w14:paraId="5D0C3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728" w:type="dxa"/>
            <w:tcBorders>
              <w:top w:val="single" w:color="000000" w:sz="4" w:space="0"/>
              <w:left w:val="single" w:color="000000" w:sz="8" w:space="0"/>
              <w:bottom w:val="single" w:color="000000" w:sz="4" w:space="0"/>
              <w:right w:val="single" w:color="000000" w:sz="4" w:space="0"/>
            </w:tcBorders>
            <w:noWrap w:val="0"/>
            <w:vAlign w:val="center"/>
          </w:tcPr>
          <w:p w14:paraId="616DB6F7">
            <w:pPr>
              <w:keepNext w:val="0"/>
              <w:keepLines w:val="0"/>
              <w:pageBreakBefore w:val="0"/>
              <w:widowControl/>
              <w:kinsoku/>
              <w:wordWrap/>
              <w:overflowPunct/>
              <w:topLinePunct w:val="0"/>
              <w:autoSpaceDE/>
              <w:autoSpaceDN/>
              <w:bidi w:val="0"/>
              <w:adjustRightInd/>
              <w:snapToGrid/>
              <w:spacing w:line="580" w:lineRule="exact"/>
              <w:jc w:val="center"/>
              <w:textAlignment w:val="center"/>
              <w:rPr>
                <w:rFonts w:hint="default" w:ascii="Times New Roman" w:hAnsi="Times New Roman" w:eastAsia="宋体" w:cs="Times New Roman"/>
                <w:color w:val="000000"/>
                <w:kern w:val="0"/>
                <w:sz w:val="22"/>
                <w:szCs w:val="22"/>
                <w:highlight w:val="none"/>
                <w:u w:val="none"/>
                <w:lang w:val="en-US" w:eastAsia="zh-CN" w:bidi="ar"/>
              </w:rPr>
            </w:pPr>
            <w:r>
              <w:rPr>
                <w:rFonts w:hint="default" w:ascii="Times New Roman" w:hAnsi="Times New Roman" w:cs="Times New Roman"/>
                <w:color w:val="000000"/>
                <w:kern w:val="0"/>
                <w:sz w:val="22"/>
                <w:szCs w:val="22"/>
                <w:highlight w:val="none"/>
                <w:u w:val="none"/>
                <w:lang w:val="en-US" w:eastAsia="zh-CN" w:bidi="ar"/>
              </w:rPr>
              <w:t>10</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5DFA2EDB">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4"/>
                <w:szCs w:val="24"/>
                <w:highlight w:val="none"/>
                <w:lang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大名县</w:t>
            </w:r>
          </w:p>
        </w:tc>
        <w:tc>
          <w:tcPr>
            <w:tcW w:w="1046" w:type="dxa"/>
            <w:tcBorders>
              <w:top w:val="single" w:color="000000" w:sz="4" w:space="0"/>
              <w:left w:val="single" w:color="000000" w:sz="4" w:space="0"/>
              <w:bottom w:val="single" w:color="000000" w:sz="4" w:space="0"/>
              <w:right w:val="single" w:color="000000" w:sz="4" w:space="0"/>
            </w:tcBorders>
            <w:noWrap w:val="0"/>
            <w:vAlign w:val="center"/>
          </w:tcPr>
          <w:p w14:paraId="3F79F5F3">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val="en-US" w:eastAsia="zh-CN"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1.23</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14:paraId="4257A09A">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val="en-US" w:eastAsia="zh-CN"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2.41</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14:paraId="0329FA3B">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val="en-US" w:eastAsia="zh-CN"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3.63</w:t>
            </w:r>
          </w:p>
        </w:tc>
        <w:tc>
          <w:tcPr>
            <w:tcW w:w="1136" w:type="dxa"/>
            <w:tcBorders>
              <w:top w:val="single" w:color="000000" w:sz="4" w:space="0"/>
              <w:left w:val="single" w:color="000000" w:sz="4" w:space="0"/>
              <w:bottom w:val="single" w:color="000000" w:sz="4" w:space="0"/>
              <w:right w:val="single" w:color="000000" w:sz="4" w:space="0"/>
            </w:tcBorders>
            <w:noWrap w:val="0"/>
            <w:vAlign w:val="center"/>
          </w:tcPr>
          <w:p w14:paraId="0CFCAF3C">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val="en-US" w:eastAsia="zh-CN"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4.86</w:t>
            </w:r>
          </w:p>
        </w:tc>
        <w:tc>
          <w:tcPr>
            <w:tcW w:w="1136" w:type="dxa"/>
            <w:tcBorders>
              <w:top w:val="single" w:color="000000" w:sz="4" w:space="0"/>
              <w:left w:val="single" w:color="000000" w:sz="4" w:space="0"/>
              <w:bottom w:val="single" w:color="000000" w:sz="4" w:space="0"/>
              <w:right w:val="single" w:color="000000" w:sz="4" w:space="0"/>
            </w:tcBorders>
            <w:noWrap w:val="0"/>
            <w:vAlign w:val="center"/>
          </w:tcPr>
          <w:p w14:paraId="1CC86C74">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val="en-US" w:eastAsia="zh-CN"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6.02</w:t>
            </w:r>
          </w:p>
        </w:tc>
        <w:tc>
          <w:tcPr>
            <w:tcW w:w="1136" w:type="dxa"/>
            <w:tcBorders>
              <w:top w:val="single" w:color="000000" w:sz="4" w:space="0"/>
              <w:left w:val="single" w:color="000000" w:sz="4" w:space="0"/>
              <w:bottom w:val="single" w:color="000000" w:sz="4" w:space="0"/>
              <w:right w:val="single" w:color="000000" w:sz="8" w:space="0"/>
            </w:tcBorders>
            <w:noWrap w:val="0"/>
            <w:vAlign w:val="center"/>
          </w:tcPr>
          <w:p w14:paraId="02CBFECC">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val="en-US" w:eastAsia="zh-CN"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7.29</w:t>
            </w:r>
          </w:p>
        </w:tc>
      </w:tr>
      <w:tr w14:paraId="2AE7AE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728" w:type="dxa"/>
            <w:tcBorders>
              <w:top w:val="single" w:color="000000" w:sz="4" w:space="0"/>
              <w:left w:val="single" w:color="000000" w:sz="8" w:space="0"/>
              <w:bottom w:val="single" w:color="000000" w:sz="4" w:space="0"/>
              <w:right w:val="single" w:color="000000" w:sz="4" w:space="0"/>
            </w:tcBorders>
            <w:noWrap w:val="0"/>
            <w:vAlign w:val="center"/>
          </w:tcPr>
          <w:p w14:paraId="4C10EEA3">
            <w:pPr>
              <w:keepNext w:val="0"/>
              <w:keepLines w:val="0"/>
              <w:pageBreakBefore w:val="0"/>
              <w:widowControl/>
              <w:kinsoku/>
              <w:wordWrap/>
              <w:overflowPunct/>
              <w:topLinePunct w:val="0"/>
              <w:autoSpaceDE/>
              <w:autoSpaceDN/>
              <w:bidi w:val="0"/>
              <w:adjustRightInd/>
              <w:snapToGrid/>
              <w:spacing w:line="580" w:lineRule="exact"/>
              <w:jc w:val="center"/>
              <w:textAlignment w:val="center"/>
              <w:rPr>
                <w:rFonts w:hint="default" w:ascii="Times New Roman" w:hAnsi="Times New Roman" w:eastAsia="宋体" w:cs="Times New Roman"/>
                <w:color w:val="000000"/>
                <w:kern w:val="0"/>
                <w:sz w:val="22"/>
                <w:szCs w:val="22"/>
                <w:highlight w:val="none"/>
                <w:u w:val="none"/>
                <w:lang w:val="en-US" w:eastAsia="zh-CN" w:bidi="ar"/>
              </w:rPr>
            </w:pPr>
            <w:r>
              <w:rPr>
                <w:rFonts w:hint="default" w:ascii="Times New Roman" w:hAnsi="Times New Roman" w:cs="Times New Roman"/>
                <w:color w:val="000000"/>
                <w:kern w:val="0"/>
                <w:sz w:val="22"/>
                <w:szCs w:val="22"/>
                <w:highlight w:val="none"/>
                <w:u w:val="none"/>
                <w:lang w:val="en-US" w:eastAsia="zh-CN" w:bidi="ar"/>
              </w:rPr>
              <w:t>11</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2FDC5432">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4"/>
                <w:szCs w:val="24"/>
                <w:highlight w:val="none"/>
                <w:lang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肥乡区</w:t>
            </w:r>
          </w:p>
        </w:tc>
        <w:tc>
          <w:tcPr>
            <w:tcW w:w="1046" w:type="dxa"/>
            <w:tcBorders>
              <w:top w:val="single" w:color="000000" w:sz="4" w:space="0"/>
              <w:left w:val="single" w:color="000000" w:sz="4" w:space="0"/>
              <w:bottom w:val="single" w:color="000000" w:sz="4" w:space="0"/>
              <w:right w:val="single" w:color="000000" w:sz="4" w:space="0"/>
            </w:tcBorders>
            <w:noWrap w:val="0"/>
            <w:vAlign w:val="center"/>
          </w:tcPr>
          <w:p w14:paraId="0A253EF4">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val="en-US" w:eastAsia="zh-CN"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1.11</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14:paraId="4F263B21">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val="en-US" w:eastAsia="zh-CN"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2.17</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14:paraId="00D737F4">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val="en-US" w:eastAsia="zh-CN"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3.28</w:t>
            </w:r>
          </w:p>
        </w:tc>
        <w:tc>
          <w:tcPr>
            <w:tcW w:w="1136" w:type="dxa"/>
            <w:tcBorders>
              <w:top w:val="single" w:color="000000" w:sz="4" w:space="0"/>
              <w:left w:val="single" w:color="000000" w:sz="4" w:space="0"/>
              <w:bottom w:val="single" w:color="000000" w:sz="4" w:space="0"/>
              <w:right w:val="single" w:color="000000" w:sz="4" w:space="0"/>
            </w:tcBorders>
            <w:noWrap w:val="0"/>
            <w:vAlign w:val="center"/>
          </w:tcPr>
          <w:p w14:paraId="290A6A50">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val="en-US" w:eastAsia="zh-CN"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4.38</w:t>
            </w:r>
          </w:p>
        </w:tc>
        <w:tc>
          <w:tcPr>
            <w:tcW w:w="1136" w:type="dxa"/>
            <w:tcBorders>
              <w:top w:val="single" w:color="000000" w:sz="4" w:space="0"/>
              <w:left w:val="single" w:color="000000" w:sz="4" w:space="0"/>
              <w:bottom w:val="single" w:color="000000" w:sz="4" w:space="0"/>
              <w:right w:val="single" w:color="000000" w:sz="4" w:space="0"/>
            </w:tcBorders>
            <w:noWrap w:val="0"/>
            <w:vAlign w:val="center"/>
          </w:tcPr>
          <w:p w14:paraId="6450DC7A">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val="en-US" w:eastAsia="zh-CN"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5.43</w:t>
            </w:r>
          </w:p>
        </w:tc>
        <w:tc>
          <w:tcPr>
            <w:tcW w:w="1136" w:type="dxa"/>
            <w:tcBorders>
              <w:top w:val="single" w:color="000000" w:sz="4" w:space="0"/>
              <w:left w:val="single" w:color="000000" w:sz="4" w:space="0"/>
              <w:bottom w:val="single" w:color="000000" w:sz="4" w:space="0"/>
              <w:right w:val="single" w:color="000000" w:sz="8" w:space="0"/>
            </w:tcBorders>
            <w:noWrap w:val="0"/>
            <w:vAlign w:val="center"/>
          </w:tcPr>
          <w:p w14:paraId="39963926">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val="en-US" w:eastAsia="zh-CN"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5.57</w:t>
            </w:r>
          </w:p>
        </w:tc>
      </w:tr>
      <w:tr w14:paraId="7D493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728" w:type="dxa"/>
            <w:tcBorders>
              <w:top w:val="single" w:color="000000" w:sz="4" w:space="0"/>
              <w:left w:val="single" w:color="000000" w:sz="8" w:space="0"/>
              <w:bottom w:val="single" w:color="000000" w:sz="4" w:space="0"/>
              <w:right w:val="single" w:color="000000" w:sz="4" w:space="0"/>
            </w:tcBorders>
            <w:noWrap w:val="0"/>
            <w:vAlign w:val="center"/>
          </w:tcPr>
          <w:p w14:paraId="3D0E17DA">
            <w:pPr>
              <w:keepNext w:val="0"/>
              <w:keepLines w:val="0"/>
              <w:pageBreakBefore w:val="0"/>
              <w:widowControl/>
              <w:kinsoku/>
              <w:wordWrap/>
              <w:overflowPunct/>
              <w:topLinePunct w:val="0"/>
              <w:autoSpaceDE/>
              <w:autoSpaceDN/>
              <w:bidi w:val="0"/>
              <w:adjustRightInd/>
              <w:snapToGrid/>
              <w:spacing w:line="580" w:lineRule="exact"/>
              <w:jc w:val="center"/>
              <w:textAlignment w:val="center"/>
              <w:rPr>
                <w:rFonts w:hint="default" w:ascii="Times New Roman" w:hAnsi="Times New Roman" w:eastAsia="宋体" w:cs="Times New Roman"/>
                <w:color w:val="000000"/>
                <w:kern w:val="0"/>
                <w:sz w:val="22"/>
                <w:szCs w:val="22"/>
                <w:highlight w:val="none"/>
                <w:u w:val="none"/>
                <w:lang w:val="en-US" w:eastAsia="zh-CN" w:bidi="ar"/>
              </w:rPr>
            </w:pPr>
            <w:r>
              <w:rPr>
                <w:rFonts w:hint="default" w:ascii="Times New Roman" w:hAnsi="Times New Roman" w:cs="Times New Roman"/>
                <w:color w:val="000000"/>
                <w:kern w:val="0"/>
                <w:sz w:val="22"/>
                <w:szCs w:val="22"/>
                <w:highlight w:val="none"/>
                <w:u w:val="none"/>
                <w:lang w:val="en-US" w:eastAsia="zh-CN" w:bidi="ar"/>
              </w:rPr>
              <w:t>12</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76890567">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4"/>
                <w:szCs w:val="24"/>
                <w:highlight w:val="none"/>
                <w:lang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曲周县</w:t>
            </w:r>
          </w:p>
        </w:tc>
        <w:tc>
          <w:tcPr>
            <w:tcW w:w="1046" w:type="dxa"/>
            <w:tcBorders>
              <w:top w:val="single" w:color="000000" w:sz="4" w:space="0"/>
              <w:left w:val="single" w:color="000000" w:sz="4" w:space="0"/>
              <w:bottom w:val="single" w:color="000000" w:sz="4" w:space="0"/>
              <w:right w:val="single" w:color="000000" w:sz="4" w:space="0"/>
            </w:tcBorders>
            <w:noWrap w:val="0"/>
            <w:vAlign w:val="center"/>
          </w:tcPr>
          <w:p w14:paraId="3FDB87F4">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val="en-US" w:eastAsia="zh-CN"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1.00</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14:paraId="36A2447E">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val="en-US" w:eastAsia="zh-CN"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1.97</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14:paraId="615D9FDF">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val="en-US" w:eastAsia="zh-CN"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2.97</w:t>
            </w:r>
          </w:p>
        </w:tc>
        <w:tc>
          <w:tcPr>
            <w:tcW w:w="1136" w:type="dxa"/>
            <w:tcBorders>
              <w:top w:val="single" w:color="000000" w:sz="4" w:space="0"/>
              <w:left w:val="single" w:color="000000" w:sz="4" w:space="0"/>
              <w:bottom w:val="single" w:color="000000" w:sz="4" w:space="0"/>
              <w:right w:val="single" w:color="000000" w:sz="4" w:space="0"/>
            </w:tcBorders>
            <w:noWrap w:val="0"/>
            <w:vAlign w:val="center"/>
          </w:tcPr>
          <w:p w14:paraId="757E28BE">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val="en-US" w:eastAsia="zh-CN"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3.97</w:t>
            </w:r>
          </w:p>
        </w:tc>
        <w:tc>
          <w:tcPr>
            <w:tcW w:w="1136" w:type="dxa"/>
            <w:tcBorders>
              <w:top w:val="single" w:color="000000" w:sz="4" w:space="0"/>
              <w:left w:val="single" w:color="000000" w:sz="4" w:space="0"/>
              <w:bottom w:val="single" w:color="000000" w:sz="4" w:space="0"/>
              <w:right w:val="single" w:color="000000" w:sz="4" w:space="0"/>
            </w:tcBorders>
            <w:noWrap w:val="0"/>
            <w:vAlign w:val="center"/>
          </w:tcPr>
          <w:p w14:paraId="5FF254E0">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val="en-US" w:eastAsia="zh-CN"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4.91</w:t>
            </w:r>
          </w:p>
        </w:tc>
        <w:tc>
          <w:tcPr>
            <w:tcW w:w="1136" w:type="dxa"/>
            <w:tcBorders>
              <w:top w:val="single" w:color="000000" w:sz="4" w:space="0"/>
              <w:left w:val="single" w:color="000000" w:sz="4" w:space="0"/>
              <w:bottom w:val="single" w:color="000000" w:sz="4" w:space="0"/>
              <w:right w:val="single" w:color="000000" w:sz="8" w:space="0"/>
            </w:tcBorders>
            <w:noWrap w:val="0"/>
            <w:vAlign w:val="center"/>
          </w:tcPr>
          <w:p w14:paraId="57E18574">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val="en-US" w:eastAsia="zh-CN"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5.95</w:t>
            </w:r>
          </w:p>
        </w:tc>
      </w:tr>
      <w:tr w14:paraId="388D85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728" w:type="dxa"/>
            <w:tcBorders>
              <w:top w:val="single" w:color="000000" w:sz="4" w:space="0"/>
              <w:left w:val="single" w:color="000000" w:sz="8" w:space="0"/>
              <w:bottom w:val="single" w:color="000000" w:sz="4" w:space="0"/>
              <w:right w:val="single" w:color="000000" w:sz="4" w:space="0"/>
            </w:tcBorders>
            <w:noWrap w:val="0"/>
            <w:vAlign w:val="center"/>
          </w:tcPr>
          <w:p w14:paraId="138143F5">
            <w:pPr>
              <w:keepNext w:val="0"/>
              <w:keepLines w:val="0"/>
              <w:pageBreakBefore w:val="0"/>
              <w:widowControl/>
              <w:kinsoku/>
              <w:wordWrap/>
              <w:overflowPunct/>
              <w:topLinePunct w:val="0"/>
              <w:autoSpaceDE/>
              <w:autoSpaceDN/>
              <w:bidi w:val="0"/>
              <w:adjustRightInd/>
              <w:snapToGrid/>
              <w:spacing w:line="580" w:lineRule="exact"/>
              <w:jc w:val="center"/>
              <w:textAlignment w:val="center"/>
              <w:rPr>
                <w:rFonts w:hint="default" w:ascii="Times New Roman" w:hAnsi="Times New Roman" w:eastAsia="宋体" w:cs="Times New Roman"/>
                <w:color w:val="000000"/>
                <w:kern w:val="0"/>
                <w:sz w:val="22"/>
                <w:szCs w:val="22"/>
                <w:highlight w:val="none"/>
                <w:u w:val="none"/>
                <w:lang w:val="en-US" w:eastAsia="zh-CN" w:bidi="ar"/>
              </w:rPr>
            </w:pPr>
            <w:r>
              <w:rPr>
                <w:rFonts w:hint="default" w:ascii="Times New Roman" w:hAnsi="Times New Roman" w:cs="Times New Roman"/>
                <w:color w:val="000000"/>
                <w:kern w:val="0"/>
                <w:sz w:val="22"/>
                <w:szCs w:val="22"/>
                <w:highlight w:val="none"/>
                <w:u w:val="none"/>
                <w:lang w:val="en-US" w:eastAsia="zh-CN" w:bidi="ar"/>
              </w:rPr>
              <w:t>13</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16EBB6A2">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4"/>
                <w:szCs w:val="24"/>
                <w:highlight w:val="none"/>
                <w:lang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邱县</w:t>
            </w:r>
          </w:p>
        </w:tc>
        <w:tc>
          <w:tcPr>
            <w:tcW w:w="1046" w:type="dxa"/>
            <w:tcBorders>
              <w:top w:val="single" w:color="000000" w:sz="4" w:space="0"/>
              <w:left w:val="single" w:color="000000" w:sz="4" w:space="0"/>
              <w:bottom w:val="single" w:color="000000" w:sz="4" w:space="0"/>
              <w:right w:val="single" w:color="000000" w:sz="4" w:space="0"/>
            </w:tcBorders>
            <w:noWrap w:val="0"/>
            <w:vAlign w:val="center"/>
          </w:tcPr>
          <w:p w14:paraId="323125B9">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val="en-US" w:eastAsia="zh-CN"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0.92</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14:paraId="41FCFB5C">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val="en-US" w:eastAsia="zh-CN"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1.80</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14:paraId="6264D10B">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val="en-US" w:eastAsia="zh-CN"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2.72</w:t>
            </w:r>
          </w:p>
        </w:tc>
        <w:tc>
          <w:tcPr>
            <w:tcW w:w="1136" w:type="dxa"/>
            <w:tcBorders>
              <w:top w:val="single" w:color="000000" w:sz="4" w:space="0"/>
              <w:left w:val="single" w:color="000000" w:sz="4" w:space="0"/>
              <w:bottom w:val="single" w:color="000000" w:sz="4" w:space="0"/>
              <w:right w:val="single" w:color="000000" w:sz="4" w:space="0"/>
            </w:tcBorders>
            <w:noWrap w:val="0"/>
            <w:vAlign w:val="center"/>
          </w:tcPr>
          <w:p w14:paraId="2F91A623">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val="en-US" w:eastAsia="zh-CN"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3.64</w:t>
            </w:r>
          </w:p>
        </w:tc>
        <w:tc>
          <w:tcPr>
            <w:tcW w:w="1136" w:type="dxa"/>
            <w:tcBorders>
              <w:top w:val="single" w:color="000000" w:sz="4" w:space="0"/>
              <w:left w:val="single" w:color="000000" w:sz="4" w:space="0"/>
              <w:bottom w:val="single" w:color="000000" w:sz="4" w:space="0"/>
              <w:right w:val="single" w:color="000000" w:sz="4" w:space="0"/>
            </w:tcBorders>
            <w:noWrap w:val="0"/>
            <w:vAlign w:val="center"/>
          </w:tcPr>
          <w:p w14:paraId="5478ECC0">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val="en-US" w:eastAsia="zh-CN"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4.51</w:t>
            </w:r>
          </w:p>
        </w:tc>
        <w:tc>
          <w:tcPr>
            <w:tcW w:w="1136" w:type="dxa"/>
            <w:tcBorders>
              <w:top w:val="single" w:color="000000" w:sz="4" w:space="0"/>
              <w:left w:val="single" w:color="000000" w:sz="4" w:space="0"/>
              <w:bottom w:val="single" w:color="000000" w:sz="4" w:space="0"/>
              <w:right w:val="single" w:color="000000" w:sz="8" w:space="0"/>
            </w:tcBorders>
            <w:noWrap w:val="0"/>
            <w:vAlign w:val="center"/>
          </w:tcPr>
          <w:p w14:paraId="704B252C">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val="en-US" w:eastAsia="zh-CN"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5.46</w:t>
            </w:r>
          </w:p>
        </w:tc>
      </w:tr>
      <w:tr w14:paraId="37FB8A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728" w:type="dxa"/>
            <w:tcBorders>
              <w:top w:val="single" w:color="000000" w:sz="4" w:space="0"/>
              <w:left w:val="single" w:color="000000" w:sz="8" w:space="0"/>
              <w:bottom w:val="single" w:color="000000" w:sz="4" w:space="0"/>
              <w:right w:val="single" w:color="000000" w:sz="4" w:space="0"/>
            </w:tcBorders>
            <w:noWrap w:val="0"/>
            <w:vAlign w:val="center"/>
          </w:tcPr>
          <w:p w14:paraId="77829525">
            <w:pPr>
              <w:keepNext w:val="0"/>
              <w:keepLines w:val="0"/>
              <w:pageBreakBefore w:val="0"/>
              <w:widowControl/>
              <w:kinsoku/>
              <w:wordWrap/>
              <w:overflowPunct/>
              <w:topLinePunct w:val="0"/>
              <w:autoSpaceDE/>
              <w:autoSpaceDN/>
              <w:bidi w:val="0"/>
              <w:adjustRightInd/>
              <w:snapToGrid/>
              <w:spacing w:line="580" w:lineRule="exact"/>
              <w:jc w:val="center"/>
              <w:textAlignment w:val="center"/>
              <w:rPr>
                <w:rFonts w:hint="default" w:ascii="Times New Roman" w:hAnsi="Times New Roman" w:eastAsia="宋体" w:cs="Times New Roman"/>
                <w:color w:val="000000"/>
                <w:kern w:val="0"/>
                <w:sz w:val="22"/>
                <w:szCs w:val="22"/>
                <w:highlight w:val="none"/>
                <w:u w:val="none"/>
                <w:lang w:val="en-US" w:eastAsia="zh-CN" w:bidi="ar"/>
              </w:rPr>
            </w:pPr>
            <w:r>
              <w:rPr>
                <w:rFonts w:hint="default" w:ascii="Times New Roman" w:hAnsi="Times New Roman" w:cs="Times New Roman"/>
                <w:color w:val="000000"/>
                <w:kern w:val="0"/>
                <w:sz w:val="22"/>
                <w:szCs w:val="22"/>
                <w:highlight w:val="none"/>
                <w:u w:val="none"/>
                <w:lang w:val="en-US" w:eastAsia="zh-CN" w:bidi="ar"/>
              </w:rPr>
              <w:t>14</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3539C3C8">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4"/>
                <w:szCs w:val="24"/>
                <w:highlight w:val="none"/>
                <w:lang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临漳县</w:t>
            </w:r>
          </w:p>
        </w:tc>
        <w:tc>
          <w:tcPr>
            <w:tcW w:w="1046" w:type="dxa"/>
            <w:tcBorders>
              <w:top w:val="single" w:color="000000" w:sz="4" w:space="0"/>
              <w:left w:val="single" w:color="000000" w:sz="4" w:space="0"/>
              <w:bottom w:val="single" w:color="000000" w:sz="4" w:space="0"/>
              <w:right w:val="single" w:color="000000" w:sz="4" w:space="0"/>
            </w:tcBorders>
            <w:noWrap w:val="0"/>
            <w:vAlign w:val="center"/>
          </w:tcPr>
          <w:p w14:paraId="1D17BBB6">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val="en-US" w:eastAsia="zh-CN"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0.87</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14:paraId="53ABB980">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val="en-US" w:eastAsia="zh-CN"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1.72</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14:paraId="2509545F">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val="en-US" w:eastAsia="zh-CN"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2.59</w:t>
            </w:r>
          </w:p>
        </w:tc>
        <w:tc>
          <w:tcPr>
            <w:tcW w:w="1136" w:type="dxa"/>
            <w:tcBorders>
              <w:top w:val="single" w:color="000000" w:sz="4" w:space="0"/>
              <w:left w:val="single" w:color="000000" w:sz="4" w:space="0"/>
              <w:bottom w:val="single" w:color="000000" w:sz="4" w:space="0"/>
              <w:right w:val="single" w:color="000000" w:sz="4" w:space="0"/>
            </w:tcBorders>
            <w:noWrap w:val="0"/>
            <w:vAlign w:val="center"/>
          </w:tcPr>
          <w:p w14:paraId="0425EA71">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val="en-US" w:eastAsia="zh-CN"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3.47</w:t>
            </w:r>
          </w:p>
        </w:tc>
        <w:tc>
          <w:tcPr>
            <w:tcW w:w="1136" w:type="dxa"/>
            <w:tcBorders>
              <w:top w:val="single" w:color="000000" w:sz="4" w:space="0"/>
              <w:left w:val="single" w:color="000000" w:sz="4" w:space="0"/>
              <w:bottom w:val="single" w:color="000000" w:sz="4" w:space="0"/>
              <w:right w:val="single" w:color="000000" w:sz="4" w:space="0"/>
            </w:tcBorders>
            <w:noWrap w:val="0"/>
            <w:vAlign w:val="center"/>
          </w:tcPr>
          <w:p w14:paraId="450EADB2">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val="en-US" w:eastAsia="zh-CN"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4.29</w:t>
            </w:r>
          </w:p>
        </w:tc>
        <w:tc>
          <w:tcPr>
            <w:tcW w:w="1136" w:type="dxa"/>
            <w:tcBorders>
              <w:top w:val="single" w:color="000000" w:sz="4" w:space="0"/>
              <w:left w:val="single" w:color="000000" w:sz="4" w:space="0"/>
              <w:bottom w:val="single" w:color="000000" w:sz="4" w:space="0"/>
              <w:right w:val="single" w:color="000000" w:sz="8" w:space="0"/>
            </w:tcBorders>
            <w:noWrap w:val="0"/>
            <w:vAlign w:val="center"/>
          </w:tcPr>
          <w:p w14:paraId="28FF860A">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val="en-US" w:eastAsia="zh-CN"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5.20</w:t>
            </w:r>
          </w:p>
        </w:tc>
      </w:tr>
      <w:tr w14:paraId="2AF1BA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728" w:type="dxa"/>
            <w:tcBorders>
              <w:top w:val="single" w:color="000000" w:sz="4" w:space="0"/>
              <w:left w:val="single" w:color="000000" w:sz="8" w:space="0"/>
              <w:bottom w:val="single" w:color="000000" w:sz="4" w:space="0"/>
              <w:right w:val="single" w:color="000000" w:sz="4" w:space="0"/>
            </w:tcBorders>
            <w:noWrap w:val="0"/>
            <w:vAlign w:val="center"/>
          </w:tcPr>
          <w:p w14:paraId="1EB34247">
            <w:pPr>
              <w:keepNext w:val="0"/>
              <w:keepLines w:val="0"/>
              <w:pageBreakBefore w:val="0"/>
              <w:widowControl/>
              <w:kinsoku/>
              <w:wordWrap/>
              <w:overflowPunct/>
              <w:topLinePunct w:val="0"/>
              <w:autoSpaceDE/>
              <w:autoSpaceDN/>
              <w:bidi w:val="0"/>
              <w:adjustRightInd/>
              <w:snapToGrid/>
              <w:spacing w:line="580" w:lineRule="exact"/>
              <w:jc w:val="center"/>
              <w:textAlignment w:val="center"/>
              <w:rPr>
                <w:rFonts w:hint="default" w:ascii="Times New Roman" w:hAnsi="Times New Roman" w:eastAsia="宋体" w:cs="Times New Roman"/>
                <w:color w:val="000000"/>
                <w:kern w:val="0"/>
                <w:sz w:val="22"/>
                <w:szCs w:val="22"/>
                <w:highlight w:val="none"/>
                <w:u w:val="none"/>
                <w:lang w:val="en-US" w:eastAsia="zh-CN" w:bidi="ar"/>
              </w:rPr>
            </w:pPr>
            <w:r>
              <w:rPr>
                <w:rFonts w:hint="default" w:ascii="Times New Roman" w:hAnsi="Times New Roman" w:cs="Times New Roman"/>
                <w:color w:val="000000"/>
                <w:kern w:val="0"/>
                <w:sz w:val="22"/>
                <w:szCs w:val="22"/>
                <w:highlight w:val="none"/>
                <w:u w:val="none"/>
                <w:lang w:val="en-US" w:eastAsia="zh-CN" w:bidi="ar"/>
              </w:rPr>
              <w:t>15</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66FD68E3">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4"/>
                <w:szCs w:val="24"/>
                <w:highlight w:val="none"/>
                <w:lang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馆陶县</w:t>
            </w:r>
          </w:p>
        </w:tc>
        <w:tc>
          <w:tcPr>
            <w:tcW w:w="1046" w:type="dxa"/>
            <w:tcBorders>
              <w:top w:val="single" w:color="000000" w:sz="4" w:space="0"/>
              <w:left w:val="single" w:color="000000" w:sz="4" w:space="0"/>
              <w:bottom w:val="single" w:color="000000" w:sz="4" w:space="0"/>
              <w:right w:val="single" w:color="000000" w:sz="4" w:space="0"/>
            </w:tcBorders>
            <w:noWrap w:val="0"/>
            <w:vAlign w:val="center"/>
          </w:tcPr>
          <w:p w14:paraId="1336B9AA">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val="en-US" w:eastAsia="zh-CN"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0.74</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14:paraId="26C84B55">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val="en-US" w:eastAsia="zh-CN"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1.45</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14:paraId="18640CCB">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val="en-US" w:eastAsia="zh-CN"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2.19</w:t>
            </w:r>
          </w:p>
        </w:tc>
        <w:tc>
          <w:tcPr>
            <w:tcW w:w="1136" w:type="dxa"/>
            <w:tcBorders>
              <w:top w:val="single" w:color="000000" w:sz="4" w:space="0"/>
              <w:left w:val="single" w:color="000000" w:sz="4" w:space="0"/>
              <w:bottom w:val="single" w:color="000000" w:sz="4" w:space="0"/>
              <w:right w:val="single" w:color="000000" w:sz="4" w:space="0"/>
            </w:tcBorders>
            <w:noWrap w:val="0"/>
            <w:vAlign w:val="center"/>
          </w:tcPr>
          <w:p w14:paraId="2605BE0E">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val="en-US" w:eastAsia="zh-CN"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2.93</w:t>
            </w:r>
          </w:p>
        </w:tc>
        <w:tc>
          <w:tcPr>
            <w:tcW w:w="1136" w:type="dxa"/>
            <w:tcBorders>
              <w:top w:val="single" w:color="000000" w:sz="4" w:space="0"/>
              <w:left w:val="single" w:color="000000" w:sz="4" w:space="0"/>
              <w:bottom w:val="single" w:color="000000" w:sz="4" w:space="0"/>
              <w:right w:val="single" w:color="000000" w:sz="4" w:space="0"/>
            </w:tcBorders>
            <w:noWrap w:val="0"/>
            <w:vAlign w:val="center"/>
          </w:tcPr>
          <w:p w14:paraId="1429EE1B">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val="en-US" w:eastAsia="zh-CN"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3.63</w:t>
            </w:r>
          </w:p>
        </w:tc>
        <w:tc>
          <w:tcPr>
            <w:tcW w:w="1136" w:type="dxa"/>
            <w:tcBorders>
              <w:top w:val="single" w:color="000000" w:sz="4" w:space="0"/>
              <w:left w:val="single" w:color="000000" w:sz="4" w:space="0"/>
              <w:bottom w:val="single" w:color="000000" w:sz="4" w:space="0"/>
              <w:right w:val="single" w:color="000000" w:sz="8" w:space="0"/>
            </w:tcBorders>
            <w:noWrap w:val="0"/>
            <w:vAlign w:val="center"/>
          </w:tcPr>
          <w:p w14:paraId="782A3D90">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val="en-US" w:eastAsia="zh-CN"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4.39</w:t>
            </w:r>
          </w:p>
        </w:tc>
      </w:tr>
      <w:tr w14:paraId="4BF26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728" w:type="dxa"/>
            <w:tcBorders>
              <w:top w:val="single" w:color="000000" w:sz="4" w:space="0"/>
              <w:left w:val="single" w:color="000000" w:sz="8" w:space="0"/>
              <w:bottom w:val="single" w:color="000000" w:sz="4" w:space="0"/>
              <w:right w:val="single" w:color="000000" w:sz="4" w:space="0"/>
            </w:tcBorders>
            <w:noWrap w:val="0"/>
            <w:vAlign w:val="center"/>
          </w:tcPr>
          <w:p w14:paraId="697AE562">
            <w:pPr>
              <w:keepNext w:val="0"/>
              <w:keepLines w:val="0"/>
              <w:pageBreakBefore w:val="0"/>
              <w:widowControl/>
              <w:kinsoku/>
              <w:wordWrap/>
              <w:overflowPunct/>
              <w:topLinePunct w:val="0"/>
              <w:autoSpaceDE/>
              <w:autoSpaceDN/>
              <w:bidi w:val="0"/>
              <w:adjustRightInd/>
              <w:snapToGrid/>
              <w:spacing w:line="580" w:lineRule="exact"/>
              <w:jc w:val="center"/>
              <w:textAlignment w:val="center"/>
              <w:rPr>
                <w:rFonts w:hint="default" w:ascii="Times New Roman" w:hAnsi="Times New Roman" w:eastAsia="宋体" w:cs="Times New Roman"/>
                <w:color w:val="000000"/>
                <w:kern w:val="0"/>
                <w:sz w:val="22"/>
                <w:szCs w:val="22"/>
                <w:highlight w:val="none"/>
                <w:u w:val="none"/>
                <w:lang w:val="en-US" w:eastAsia="zh-CN" w:bidi="ar"/>
              </w:rPr>
            </w:pPr>
            <w:r>
              <w:rPr>
                <w:rFonts w:hint="default" w:ascii="Times New Roman" w:hAnsi="Times New Roman" w:cs="Times New Roman"/>
                <w:color w:val="000000"/>
                <w:kern w:val="0"/>
                <w:sz w:val="22"/>
                <w:szCs w:val="22"/>
                <w:highlight w:val="none"/>
                <w:u w:val="none"/>
                <w:lang w:val="en-US" w:eastAsia="zh-CN" w:bidi="ar"/>
              </w:rPr>
              <w:t>16</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11E21906">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4"/>
                <w:szCs w:val="24"/>
                <w:highlight w:val="none"/>
                <w:lang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广平县</w:t>
            </w:r>
          </w:p>
        </w:tc>
        <w:tc>
          <w:tcPr>
            <w:tcW w:w="1046" w:type="dxa"/>
            <w:tcBorders>
              <w:top w:val="single" w:color="000000" w:sz="4" w:space="0"/>
              <w:left w:val="single" w:color="000000" w:sz="4" w:space="0"/>
              <w:bottom w:val="single" w:color="000000" w:sz="4" w:space="0"/>
              <w:right w:val="single" w:color="000000" w:sz="4" w:space="0"/>
            </w:tcBorders>
            <w:noWrap w:val="0"/>
            <w:vAlign w:val="center"/>
          </w:tcPr>
          <w:p w14:paraId="6AD55CE8">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val="en-US" w:eastAsia="zh-CN"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0.41</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14:paraId="0ED280B0">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val="en-US" w:eastAsia="zh-CN"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0.81</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14:paraId="7C4BF9DE">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val="en-US" w:eastAsia="zh-CN"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1.22</w:t>
            </w:r>
          </w:p>
        </w:tc>
        <w:tc>
          <w:tcPr>
            <w:tcW w:w="1136" w:type="dxa"/>
            <w:tcBorders>
              <w:top w:val="single" w:color="000000" w:sz="4" w:space="0"/>
              <w:left w:val="single" w:color="000000" w:sz="4" w:space="0"/>
              <w:bottom w:val="single" w:color="000000" w:sz="4" w:space="0"/>
              <w:right w:val="single" w:color="000000" w:sz="4" w:space="0"/>
            </w:tcBorders>
            <w:noWrap w:val="0"/>
            <w:vAlign w:val="center"/>
          </w:tcPr>
          <w:p w14:paraId="38209C3A">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val="en-US" w:eastAsia="zh-CN"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1.63</w:t>
            </w:r>
          </w:p>
        </w:tc>
        <w:tc>
          <w:tcPr>
            <w:tcW w:w="1136" w:type="dxa"/>
            <w:tcBorders>
              <w:top w:val="single" w:color="000000" w:sz="4" w:space="0"/>
              <w:left w:val="single" w:color="000000" w:sz="4" w:space="0"/>
              <w:bottom w:val="single" w:color="000000" w:sz="4" w:space="0"/>
              <w:right w:val="single" w:color="000000" w:sz="4" w:space="0"/>
            </w:tcBorders>
            <w:noWrap w:val="0"/>
            <w:vAlign w:val="center"/>
          </w:tcPr>
          <w:p w14:paraId="12BD83FB">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val="en-US" w:eastAsia="zh-CN"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2.02</w:t>
            </w:r>
          </w:p>
        </w:tc>
        <w:tc>
          <w:tcPr>
            <w:tcW w:w="1136" w:type="dxa"/>
            <w:tcBorders>
              <w:top w:val="single" w:color="000000" w:sz="4" w:space="0"/>
              <w:left w:val="single" w:color="000000" w:sz="4" w:space="0"/>
              <w:bottom w:val="single" w:color="000000" w:sz="4" w:space="0"/>
              <w:right w:val="single" w:color="000000" w:sz="8" w:space="0"/>
            </w:tcBorders>
            <w:noWrap w:val="0"/>
            <w:vAlign w:val="center"/>
          </w:tcPr>
          <w:p w14:paraId="73616169">
            <w:pPr>
              <w:keepNext w:val="0"/>
              <w:keepLines w:val="0"/>
              <w:widowControl/>
              <w:suppressLineNumbers w:val="0"/>
              <w:spacing w:line="240" w:lineRule="auto"/>
              <w:ind w:firstLine="0" w:firstLineChars="0"/>
              <w:jc w:val="center"/>
              <w:textAlignment w:val="center"/>
              <w:rPr>
                <w:rStyle w:val="10"/>
                <w:rFonts w:hint="default" w:ascii="Times New Roman" w:hAnsi="Times New Roman" w:eastAsia="方正仿宋_GBK" w:cs="Times New Roman"/>
                <w:kern w:val="0"/>
                <w:sz w:val="22"/>
                <w:szCs w:val="22"/>
                <w:highlight w:val="none"/>
                <w:lang w:val="en-US" w:eastAsia="zh-CN"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2.44</w:t>
            </w:r>
          </w:p>
        </w:tc>
      </w:tr>
      <w:tr w14:paraId="493B69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exact"/>
          <w:jc w:val="center"/>
        </w:trPr>
        <w:tc>
          <w:tcPr>
            <w:tcW w:w="1916" w:type="dxa"/>
            <w:gridSpan w:val="2"/>
            <w:tcBorders>
              <w:top w:val="single" w:color="000000" w:sz="4" w:space="0"/>
              <w:left w:val="single" w:color="000000" w:sz="8" w:space="0"/>
              <w:bottom w:val="single" w:color="000000" w:sz="8" w:space="0"/>
              <w:right w:val="single" w:color="000000" w:sz="4" w:space="0"/>
            </w:tcBorders>
            <w:noWrap w:val="0"/>
            <w:vAlign w:val="center"/>
          </w:tcPr>
          <w:p w14:paraId="2AE57637">
            <w:pPr>
              <w:keepNext w:val="0"/>
              <w:keepLines w:val="0"/>
              <w:pageBreakBefore w:val="0"/>
              <w:widowControl/>
              <w:kinsoku/>
              <w:wordWrap/>
              <w:overflowPunct/>
              <w:topLinePunct w:val="0"/>
              <w:autoSpaceDE/>
              <w:autoSpaceDN/>
              <w:bidi w:val="0"/>
              <w:adjustRightInd/>
              <w:snapToGrid/>
              <w:spacing w:line="580" w:lineRule="exact"/>
              <w:jc w:val="center"/>
              <w:textAlignment w:val="center"/>
              <w:rPr>
                <w:rFonts w:hint="default" w:ascii="Times New Roman" w:hAnsi="Times New Roman" w:eastAsia="宋体" w:cs="Times New Roman"/>
                <w:i w:val="0"/>
                <w:iCs w:val="0"/>
                <w:color w:val="000000"/>
                <w:kern w:val="0"/>
                <w:sz w:val="22"/>
                <w:szCs w:val="22"/>
                <w:highlight w:val="none"/>
                <w:u w:val="none"/>
                <w:lang w:bidi="ar"/>
              </w:rPr>
            </w:pPr>
            <w:r>
              <w:rPr>
                <w:rStyle w:val="10"/>
                <w:rFonts w:hint="eastAsia" w:ascii="方正仿宋_GBK" w:hAnsi="方正仿宋_GBK" w:eastAsia="方正仿宋_GBK" w:cs="方正仿宋_GBK"/>
                <w:kern w:val="0"/>
                <w:sz w:val="24"/>
                <w:szCs w:val="24"/>
                <w:highlight w:val="none"/>
                <w:lang w:bidi="ar"/>
              </w:rPr>
              <w:t>合计</w:t>
            </w:r>
          </w:p>
        </w:tc>
        <w:tc>
          <w:tcPr>
            <w:tcW w:w="1046" w:type="dxa"/>
            <w:tcBorders>
              <w:top w:val="single" w:color="000000" w:sz="4" w:space="0"/>
              <w:left w:val="single" w:color="000000" w:sz="4" w:space="0"/>
              <w:bottom w:val="single" w:color="000000" w:sz="8" w:space="0"/>
              <w:right w:val="single" w:color="000000" w:sz="4" w:space="0"/>
            </w:tcBorders>
            <w:noWrap w:val="0"/>
            <w:vAlign w:val="center"/>
          </w:tcPr>
          <w:p w14:paraId="0D2090B7">
            <w:pPr>
              <w:keepNext w:val="0"/>
              <w:keepLines w:val="0"/>
              <w:pageBreakBefore w:val="0"/>
              <w:widowControl/>
              <w:suppressLineNumbers w:val="0"/>
              <w:kinsoku/>
              <w:topLinePunct w:val="0"/>
              <w:autoSpaceDN/>
              <w:bidi w:val="0"/>
              <w:spacing w:line="580" w:lineRule="exact"/>
              <w:jc w:val="center"/>
              <w:textAlignment w:val="center"/>
              <w:rPr>
                <w:rStyle w:val="10"/>
                <w:rFonts w:hint="default" w:ascii="Times New Roman" w:hAnsi="Times New Roman" w:eastAsia="宋体" w:cs="Times New Roman"/>
                <w:kern w:val="0"/>
                <w:sz w:val="22"/>
                <w:szCs w:val="22"/>
                <w:highlight w:val="none"/>
                <w:lang w:val="en-US" w:eastAsia="zh-CN" w:bidi="ar"/>
              </w:rPr>
            </w:pPr>
            <w:r>
              <w:rPr>
                <w:rFonts w:hint="eastAsia" w:ascii="Times New Roman" w:hAnsi="Times New Roman" w:eastAsia="等线" w:cs="Times New Roman"/>
                <w:i w:val="0"/>
                <w:iCs w:val="0"/>
                <w:color w:val="000000"/>
                <w:kern w:val="0"/>
                <w:sz w:val="22"/>
                <w:szCs w:val="22"/>
                <w:highlight w:val="none"/>
                <w:u w:val="none"/>
                <w:lang w:val="en-US" w:eastAsia="zh-CN" w:bidi="ar"/>
              </w:rPr>
              <w:t>55</w:t>
            </w:r>
          </w:p>
        </w:tc>
        <w:tc>
          <w:tcPr>
            <w:tcW w:w="1135" w:type="dxa"/>
            <w:tcBorders>
              <w:top w:val="single" w:color="000000" w:sz="4" w:space="0"/>
              <w:left w:val="single" w:color="000000" w:sz="4" w:space="0"/>
              <w:bottom w:val="single" w:color="000000" w:sz="8" w:space="0"/>
              <w:right w:val="single" w:color="000000" w:sz="4" w:space="0"/>
            </w:tcBorders>
            <w:noWrap w:val="0"/>
            <w:vAlign w:val="center"/>
          </w:tcPr>
          <w:p w14:paraId="5744E1BD">
            <w:pPr>
              <w:keepNext w:val="0"/>
              <w:keepLines w:val="0"/>
              <w:pageBreakBefore w:val="0"/>
              <w:widowControl/>
              <w:suppressLineNumbers w:val="0"/>
              <w:kinsoku/>
              <w:topLinePunct w:val="0"/>
              <w:autoSpaceDN/>
              <w:bidi w:val="0"/>
              <w:spacing w:line="580" w:lineRule="exact"/>
              <w:jc w:val="center"/>
              <w:textAlignment w:val="center"/>
              <w:rPr>
                <w:rStyle w:val="10"/>
                <w:rFonts w:hint="default" w:ascii="Times New Roman" w:hAnsi="Times New Roman" w:eastAsia="宋体" w:cs="Times New Roman"/>
                <w:kern w:val="0"/>
                <w:sz w:val="22"/>
                <w:szCs w:val="22"/>
                <w:highlight w:val="none"/>
                <w:lang w:val="en-US" w:eastAsia="zh-CN" w:bidi="ar"/>
              </w:rPr>
            </w:pPr>
            <w:r>
              <w:rPr>
                <w:rFonts w:hint="eastAsia" w:ascii="Times New Roman" w:hAnsi="Times New Roman" w:eastAsia="等线" w:cs="Times New Roman"/>
                <w:i w:val="0"/>
                <w:iCs w:val="0"/>
                <w:color w:val="000000"/>
                <w:kern w:val="0"/>
                <w:sz w:val="22"/>
                <w:szCs w:val="22"/>
                <w:highlight w:val="none"/>
                <w:u w:val="none"/>
                <w:lang w:val="en-US" w:eastAsia="zh-CN" w:bidi="ar"/>
              </w:rPr>
              <w:t>108</w:t>
            </w:r>
          </w:p>
        </w:tc>
        <w:tc>
          <w:tcPr>
            <w:tcW w:w="1135" w:type="dxa"/>
            <w:tcBorders>
              <w:top w:val="single" w:color="000000" w:sz="4" w:space="0"/>
              <w:left w:val="single" w:color="000000" w:sz="4" w:space="0"/>
              <w:bottom w:val="single" w:color="000000" w:sz="8" w:space="0"/>
              <w:right w:val="single" w:color="000000" w:sz="4" w:space="0"/>
            </w:tcBorders>
            <w:noWrap w:val="0"/>
            <w:vAlign w:val="center"/>
          </w:tcPr>
          <w:p w14:paraId="7A3C8671">
            <w:pPr>
              <w:keepNext w:val="0"/>
              <w:keepLines w:val="0"/>
              <w:pageBreakBefore w:val="0"/>
              <w:widowControl/>
              <w:suppressLineNumbers w:val="0"/>
              <w:kinsoku/>
              <w:topLinePunct w:val="0"/>
              <w:autoSpaceDN/>
              <w:bidi w:val="0"/>
              <w:spacing w:line="580" w:lineRule="exact"/>
              <w:jc w:val="center"/>
              <w:textAlignment w:val="center"/>
              <w:rPr>
                <w:rStyle w:val="10"/>
                <w:rFonts w:hint="default" w:ascii="Times New Roman" w:hAnsi="Times New Roman" w:eastAsia="宋体" w:cs="Times New Roman"/>
                <w:kern w:val="0"/>
                <w:sz w:val="22"/>
                <w:szCs w:val="22"/>
                <w:highlight w:val="none"/>
                <w:lang w:val="en-US" w:eastAsia="zh-CN" w:bidi="ar"/>
              </w:rPr>
            </w:pPr>
            <w:r>
              <w:rPr>
                <w:rFonts w:hint="eastAsia" w:ascii="Times New Roman" w:hAnsi="Times New Roman" w:eastAsia="等线" w:cs="Times New Roman"/>
                <w:i w:val="0"/>
                <w:iCs w:val="0"/>
                <w:color w:val="000000"/>
                <w:kern w:val="0"/>
                <w:sz w:val="22"/>
                <w:szCs w:val="22"/>
                <w:highlight w:val="none"/>
                <w:u w:val="none"/>
                <w:lang w:val="en-US" w:eastAsia="zh-CN" w:bidi="ar"/>
              </w:rPr>
              <w:t>163</w:t>
            </w:r>
          </w:p>
        </w:tc>
        <w:tc>
          <w:tcPr>
            <w:tcW w:w="1136" w:type="dxa"/>
            <w:tcBorders>
              <w:top w:val="single" w:color="000000" w:sz="4" w:space="0"/>
              <w:left w:val="single" w:color="000000" w:sz="4" w:space="0"/>
              <w:bottom w:val="single" w:color="000000" w:sz="8" w:space="0"/>
              <w:right w:val="single" w:color="000000" w:sz="4" w:space="0"/>
            </w:tcBorders>
            <w:noWrap w:val="0"/>
            <w:vAlign w:val="center"/>
          </w:tcPr>
          <w:p w14:paraId="502871AB">
            <w:pPr>
              <w:keepNext w:val="0"/>
              <w:keepLines w:val="0"/>
              <w:pageBreakBefore w:val="0"/>
              <w:widowControl/>
              <w:suppressLineNumbers w:val="0"/>
              <w:kinsoku/>
              <w:topLinePunct w:val="0"/>
              <w:autoSpaceDN/>
              <w:bidi w:val="0"/>
              <w:spacing w:line="580" w:lineRule="exact"/>
              <w:jc w:val="center"/>
              <w:textAlignment w:val="center"/>
              <w:rPr>
                <w:rStyle w:val="10"/>
                <w:rFonts w:hint="default" w:ascii="Times New Roman" w:hAnsi="Times New Roman" w:eastAsia="宋体" w:cs="Times New Roman"/>
                <w:kern w:val="0"/>
                <w:sz w:val="22"/>
                <w:szCs w:val="22"/>
                <w:highlight w:val="none"/>
                <w:lang w:val="en-US" w:eastAsia="zh-CN" w:bidi="ar"/>
              </w:rPr>
            </w:pPr>
            <w:r>
              <w:rPr>
                <w:rStyle w:val="10"/>
                <w:rFonts w:hint="eastAsia" w:ascii="Times New Roman" w:hAnsi="Times New Roman" w:eastAsia="宋体" w:cs="Times New Roman"/>
                <w:kern w:val="0"/>
                <w:sz w:val="22"/>
                <w:szCs w:val="22"/>
                <w:highlight w:val="none"/>
                <w:lang w:val="en-US" w:eastAsia="zh-CN" w:bidi="ar"/>
              </w:rPr>
              <w:t>218</w:t>
            </w:r>
          </w:p>
        </w:tc>
        <w:tc>
          <w:tcPr>
            <w:tcW w:w="1136" w:type="dxa"/>
            <w:tcBorders>
              <w:top w:val="single" w:color="000000" w:sz="4" w:space="0"/>
              <w:left w:val="single" w:color="000000" w:sz="4" w:space="0"/>
              <w:bottom w:val="single" w:color="000000" w:sz="8" w:space="0"/>
              <w:right w:val="single" w:color="000000" w:sz="4" w:space="0"/>
            </w:tcBorders>
            <w:noWrap w:val="0"/>
            <w:vAlign w:val="center"/>
          </w:tcPr>
          <w:p w14:paraId="4B736679">
            <w:pPr>
              <w:keepNext w:val="0"/>
              <w:keepLines w:val="0"/>
              <w:pageBreakBefore w:val="0"/>
              <w:widowControl/>
              <w:suppressLineNumbers w:val="0"/>
              <w:kinsoku/>
              <w:topLinePunct w:val="0"/>
              <w:autoSpaceDN/>
              <w:bidi w:val="0"/>
              <w:spacing w:line="580" w:lineRule="exact"/>
              <w:jc w:val="center"/>
              <w:textAlignment w:val="center"/>
              <w:rPr>
                <w:rStyle w:val="10"/>
                <w:rFonts w:hint="default" w:ascii="Times New Roman" w:hAnsi="Times New Roman" w:eastAsia="宋体" w:cs="Times New Roman"/>
                <w:kern w:val="0"/>
                <w:sz w:val="22"/>
                <w:szCs w:val="22"/>
                <w:highlight w:val="none"/>
                <w:lang w:val="en-US" w:eastAsia="zh-CN" w:bidi="ar"/>
              </w:rPr>
            </w:pPr>
            <w:r>
              <w:rPr>
                <w:rStyle w:val="10"/>
                <w:rFonts w:hint="eastAsia" w:ascii="Times New Roman" w:hAnsi="Times New Roman" w:eastAsia="宋体" w:cs="Times New Roman"/>
                <w:kern w:val="0"/>
                <w:sz w:val="22"/>
                <w:szCs w:val="22"/>
                <w:highlight w:val="none"/>
                <w:lang w:val="en-US" w:eastAsia="zh-CN" w:bidi="ar"/>
              </w:rPr>
              <w:t>270</w:t>
            </w:r>
          </w:p>
        </w:tc>
        <w:tc>
          <w:tcPr>
            <w:tcW w:w="1136" w:type="dxa"/>
            <w:tcBorders>
              <w:top w:val="single" w:color="000000" w:sz="4" w:space="0"/>
              <w:left w:val="single" w:color="000000" w:sz="4" w:space="0"/>
              <w:bottom w:val="single" w:color="000000" w:sz="8" w:space="0"/>
              <w:right w:val="single" w:color="000000" w:sz="8" w:space="0"/>
            </w:tcBorders>
            <w:noWrap w:val="0"/>
            <w:vAlign w:val="center"/>
          </w:tcPr>
          <w:p w14:paraId="7850F675">
            <w:pPr>
              <w:keepNext w:val="0"/>
              <w:keepLines w:val="0"/>
              <w:pageBreakBefore w:val="0"/>
              <w:widowControl/>
              <w:suppressLineNumbers w:val="0"/>
              <w:kinsoku/>
              <w:topLinePunct w:val="0"/>
              <w:autoSpaceDN/>
              <w:bidi w:val="0"/>
              <w:spacing w:line="580" w:lineRule="exact"/>
              <w:jc w:val="center"/>
              <w:textAlignment w:val="center"/>
              <w:rPr>
                <w:rStyle w:val="10"/>
                <w:rFonts w:hint="default" w:ascii="Times New Roman" w:hAnsi="Times New Roman" w:eastAsia="宋体" w:cs="Times New Roman"/>
                <w:kern w:val="0"/>
                <w:sz w:val="22"/>
                <w:szCs w:val="22"/>
                <w:highlight w:val="none"/>
                <w:lang w:val="en-US" w:eastAsia="zh-CN" w:bidi="ar"/>
              </w:rPr>
            </w:pPr>
            <w:r>
              <w:rPr>
                <w:rFonts w:hint="default" w:ascii="Times New Roman" w:hAnsi="Times New Roman" w:eastAsia="等线" w:cs="Times New Roman"/>
                <w:i w:val="0"/>
                <w:iCs w:val="0"/>
                <w:color w:val="000000"/>
                <w:kern w:val="0"/>
                <w:sz w:val="22"/>
                <w:szCs w:val="22"/>
                <w:highlight w:val="none"/>
                <w:u w:val="none"/>
                <w:lang w:val="en-US" w:eastAsia="zh-CN" w:bidi="ar"/>
              </w:rPr>
              <w:t>3</w:t>
            </w:r>
            <w:r>
              <w:rPr>
                <w:rFonts w:hint="eastAsia" w:ascii="Times New Roman" w:hAnsi="Times New Roman" w:eastAsia="等线" w:cs="Times New Roman"/>
                <w:i w:val="0"/>
                <w:iCs w:val="0"/>
                <w:color w:val="000000"/>
                <w:kern w:val="0"/>
                <w:sz w:val="22"/>
                <w:szCs w:val="22"/>
                <w:highlight w:val="none"/>
                <w:u w:val="none"/>
                <w:lang w:val="en-US" w:eastAsia="zh-CN" w:bidi="ar"/>
              </w:rPr>
              <w:t>25</w:t>
            </w:r>
          </w:p>
        </w:tc>
      </w:tr>
    </w:tbl>
    <w:p w14:paraId="23F45C9F">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80" w:lineRule="exact"/>
        <w:ind w:firstLine="643" w:firstLineChars="200"/>
        <w:textAlignment w:val="auto"/>
        <w:rPr>
          <w:rFonts w:hint="default" w:ascii="Times New Roman" w:hAnsi="Times New Roman" w:eastAsia="方正仿宋_GBK" w:cs="Times New Roman"/>
          <w:kern w:val="2"/>
          <w:sz w:val="32"/>
          <w:szCs w:val="32"/>
          <w:highlight w:val="none"/>
          <w:lang w:val="en-US" w:eastAsia="zh-CN" w:bidi="ar-SA"/>
        </w:rPr>
      </w:pPr>
      <w:r>
        <w:rPr>
          <w:rFonts w:hint="default" w:ascii="Times New Roman" w:hAnsi="Times New Roman" w:eastAsia="方正仿宋_GBK" w:cs="Times New Roman"/>
          <w:b/>
          <w:bCs/>
          <w:sz w:val="32"/>
          <w:szCs w:val="22"/>
          <w:highlight w:val="none"/>
          <w:lang w:val="zh-CN" w:eastAsia="zh-CN"/>
        </w:rPr>
        <w:t>2.</w:t>
      </w:r>
      <w:r>
        <w:rPr>
          <w:rFonts w:hint="default" w:ascii="Times New Roman" w:hAnsi="Times New Roman" w:eastAsia="方正仿宋_GBK" w:cs="Times New Roman"/>
          <w:b/>
          <w:bCs/>
          <w:sz w:val="32"/>
          <w:szCs w:val="22"/>
          <w:highlight w:val="none"/>
          <w:lang w:val="en-US" w:eastAsia="zh-CN"/>
        </w:rPr>
        <w:t>指标分解落实到户。</w:t>
      </w:r>
      <w:r>
        <w:rPr>
          <w:rFonts w:hint="default" w:ascii="Times New Roman" w:hAnsi="Times New Roman" w:eastAsia="方正仿宋_GBK" w:cs="Times New Roman"/>
          <w:kern w:val="2"/>
          <w:sz w:val="32"/>
          <w:szCs w:val="22"/>
          <w:highlight w:val="none"/>
          <w:lang w:val="zh-CN" w:eastAsia="zh-CN" w:bidi="ar-SA"/>
        </w:rPr>
        <w:t>各县（市、区）</w:t>
      </w:r>
      <w:r>
        <w:rPr>
          <w:rFonts w:hint="default" w:ascii="Times New Roman" w:hAnsi="Times New Roman" w:eastAsia="方正仿宋_GBK" w:cs="Times New Roman"/>
          <w:kern w:val="2"/>
          <w:sz w:val="32"/>
          <w:szCs w:val="22"/>
          <w:highlight w:val="none"/>
          <w:lang w:val="en-US" w:eastAsia="zh-CN" w:bidi="ar-SA"/>
        </w:rPr>
        <w:t>电力运行</w:t>
      </w:r>
      <w:r>
        <w:rPr>
          <w:rFonts w:hint="eastAsia" w:ascii="Times New Roman" w:hAnsi="Times New Roman" w:eastAsia="方正仿宋_GBK" w:cs="Times New Roman"/>
          <w:kern w:val="2"/>
          <w:sz w:val="32"/>
          <w:szCs w:val="22"/>
          <w:highlight w:val="none"/>
          <w:lang w:val="en-US" w:eastAsia="zh-CN" w:bidi="ar-SA"/>
        </w:rPr>
        <w:t>管理</w:t>
      </w:r>
      <w:r>
        <w:rPr>
          <w:rFonts w:hint="default" w:ascii="Times New Roman" w:hAnsi="Times New Roman" w:eastAsia="方正仿宋_GBK" w:cs="Times New Roman"/>
          <w:kern w:val="2"/>
          <w:sz w:val="32"/>
          <w:szCs w:val="22"/>
          <w:highlight w:val="none"/>
          <w:lang w:val="en-US" w:eastAsia="zh-CN" w:bidi="ar-SA"/>
        </w:rPr>
        <w:t>部门</w:t>
      </w:r>
      <w:r>
        <w:rPr>
          <w:rFonts w:hint="default" w:ascii="Times New Roman" w:hAnsi="Times New Roman" w:eastAsia="方正仿宋_GBK" w:cs="Times New Roman"/>
          <w:sz w:val="32"/>
          <w:szCs w:val="32"/>
          <w:highlight w:val="none"/>
        </w:rPr>
        <w:t>要严格落实有保有限原则（保障类和限制类负荷见附件）科学分解指标，确定纳入有序用电方案用户名单，方案及用户明细要在6月</w:t>
      </w:r>
      <w:r>
        <w:rPr>
          <w:rFonts w:hint="eastAsia" w:ascii="Times New Roman" w:hAnsi="Times New Roman" w:cs="Times New Roman"/>
          <w:sz w:val="32"/>
          <w:szCs w:val="32"/>
          <w:highlight w:val="none"/>
          <w:lang w:val="en-US" w:eastAsia="zh-CN"/>
        </w:rPr>
        <w:t>9</w:t>
      </w:r>
      <w:r>
        <w:rPr>
          <w:rFonts w:hint="default" w:ascii="Times New Roman" w:hAnsi="Times New Roman" w:eastAsia="方正仿宋_GBK" w:cs="Times New Roman"/>
          <w:sz w:val="32"/>
          <w:szCs w:val="32"/>
          <w:highlight w:val="none"/>
        </w:rPr>
        <w:t>日前报市发展改革委备案。组织电网企业常态化监测用户负荷情况，按照</w:t>
      </w:r>
      <w:r>
        <w:rPr>
          <w:rFonts w:hint="eastAsia" w:ascii="Times New Roman" w:hAnsi="Times New Roman" w:cs="Times New Roman"/>
          <w:sz w:val="32"/>
          <w:szCs w:val="32"/>
          <w:highlight w:val="none"/>
          <w:lang w:eastAsia="zh-CN"/>
        </w:rPr>
        <w:t>“</w:t>
      </w:r>
      <w:r>
        <w:rPr>
          <w:rFonts w:hint="default" w:ascii="Times New Roman" w:hAnsi="Times New Roman" w:eastAsia="方正仿宋_GBK" w:cs="Times New Roman"/>
          <w:sz w:val="32"/>
          <w:szCs w:val="32"/>
          <w:highlight w:val="none"/>
        </w:rPr>
        <w:t>一用一调整</w:t>
      </w:r>
      <w:r>
        <w:rPr>
          <w:rFonts w:hint="eastAsia" w:ascii="Times New Roman" w:hAnsi="Times New Roman" w:cs="Times New Roman"/>
          <w:sz w:val="32"/>
          <w:szCs w:val="32"/>
          <w:highlight w:val="none"/>
          <w:lang w:eastAsia="zh-CN"/>
        </w:rPr>
        <w:t>”</w:t>
      </w:r>
      <w:r>
        <w:rPr>
          <w:rFonts w:hint="default" w:ascii="Times New Roman" w:hAnsi="Times New Roman" w:eastAsia="方正仿宋_GBK" w:cs="Times New Roman"/>
          <w:sz w:val="32"/>
          <w:szCs w:val="32"/>
          <w:highlight w:val="none"/>
        </w:rPr>
        <w:t>的原则，及时调整方案用户名单，确保有序用电有效实施。做足电网供电薄弱区域有序用电规模，应对电网故障等造成的局部电网持续性供应不足问题。</w:t>
      </w:r>
    </w:p>
    <w:p w14:paraId="64C7AD0E">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580" w:lineRule="exact"/>
        <w:ind w:left="0" w:leftChars="0" w:right="0" w:rightChars="0" w:firstLine="643" w:firstLineChars="200"/>
        <w:jc w:val="both"/>
        <w:rPr>
          <w:rFonts w:hint="default" w:ascii="Times New Roman" w:hAnsi="Times New Roman" w:eastAsia="方正仿宋_GBK" w:cs="Times New Roman"/>
          <w:kern w:val="2"/>
          <w:sz w:val="32"/>
          <w:szCs w:val="32"/>
        </w:rPr>
      </w:pPr>
      <w:r>
        <w:rPr>
          <w:rFonts w:hint="eastAsia" w:ascii="Times New Roman" w:hAnsi="Times New Roman" w:eastAsia="方正仿宋_GBK" w:cs="Times New Roman"/>
          <w:b/>
          <w:kern w:val="2"/>
          <w:sz w:val="32"/>
          <w:szCs w:val="32"/>
          <w:lang w:val="en-US" w:eastAsia="zh-CN" w:bidi="ar"/>
        </w:rPr>
        <w:t>3.</w:t>
      </w:r>
      <w:r>
        <w:rPr>
          <w:rFonts w:hint="default" w:ascii="Times New Roman" w:hAnsi="Times New Roman" w:eastAsia="方正仿宋_GBK" w:cs="Times New Roman"/>
          <w:b/>
          <w:kern w:val="2"/>
          <w:sz w:val="32"/>
          <w:szCs w:val="32"/>
          <w:lang w:val="en-US" w:eastAsia="zh-CN" w:bidi="ar"/>
        </w:rPr>
        <w:t>规范履行告知义务。</w:t>
      </w:r>
      <w:r>
        <w:rPr>
          <w:rFonts w:hint="default" w:ascii="Times New Roman" w:hAnsi="Times New Roman" w:eastAsia="方正仿宋_GBK" w:cs="Times New Roman"/>
          <w:kern w:val="2"/>
          <w:sz w:val="32"/>
          <w:szCs w:val="32"/>
          <w:lang w:val="en-US" w:eastAsia="zh-CN" w:bidi="ar"/>
        </w:rPr>
        <w:t>各县（市、区）电力运行管理部门</w:t>
      </w:r>
      <w:r>
        <w:rPr>
          <w:rFonts w:hint="eastAsia" w:ascii="Times New Roman" w:hAnsi="Times New Roman" w:eastAsia="方正仿宋_GBK" w:cs="Times New Roman"/>
          <w:kern w:val="2"/>
          <w:sz w:val="32"/>
          <w:szCs w:val="32"/>
          <w:lang w:val="en-US" w:eastAsia="zh-CN" w:bidi="ar"/>
        </w:rPr>
        <w:t>和</w:t>
      </w:r>
      <w:r>
        <w:rPr>
          <w:rFonts w:hint="default" w:ascii="Times New Roman" w:hAnsi="Times New Roman" w:eastAsia="方正仿宋_GBK" w:cs="Times New Roman"/>
          <w:kern w:val="2"/>
          <w:sz w:val="32"/>
          <w:szCs w:val="32"/>
          <w:lang w:val="en-US" w:eastAsia="zh-CN" w:bidi="ar"/>
        </w:rPr>
        <w:t>电网企业应及时告知相关电力用户有序用电方案，并指导用户按照定设备、定负荷原则制定用户内部操作预案，并组织开展演练，确保负荷管理措施精准执行、压降到位。除极端天气或自然灾害等不可抗力和电网紧急状态下，在对用户实施、变更、取消有序用电措施前，电网企业应通过公告、电话、传真、短信、网络等方式履行告知义务。实施有序用电应至少于前一天告知。</w:t>
      </w:r>
    </w:p>
    <w:p w14:paraId="5A44E3FC">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580" w:lineRule="exact"/>
        <w:ind w:left="0" w:leftChars="0" w:right="0" w:rightChars="0" w:firstLine="643" w:firstLineChars="200"/>
        <w:jc w:val="both"/>
        <w:textAlignment w:val="auto"/>
        <w:rPr>
          <w:rFonts w:hint="default" w:ascii="Times New Roman" w:hAnsi="Times New Roman" w:eastAsia="方正仿宋_GBK" w:cs="Times New Roman"/>
          <w:kern w:val="2"/>
          <w:sz w:val="32"/>
          <w:szCs w:val="32"/>
        </w:rPr>
      </w:pPr>
      <w:r>
        <w:rPr>
          <w:rFonts w:hint="eastAsia" w:ascii="Times New Roman" w:hAnsi="Times New Roman" w:eastAsia="方正仿宋_GBK" w:cs="Times New Roman"/>
          <w:b/>
          <w:kern w:val="2"/>
          <w:sz w:val="32"/>
          <w:szCs w:val="32"/>
          <w:lang w:val="en-US" w:eastAsia="zh-CN" w:bidi="ar"/>
        </w:rPr>
        <w:t>4.</w:t>
      </w:r>
      <w:r>
        <w:rPr>
          <w:rFonts w:hint="default" w:ascii="Times New Roman" w:hAnsi="Times New Roman" w:eastAsia="方正仿宋_GBK" w:cs="Times New Roman"/>
          <w:b/>
          <w:kern w:val="2"/>
          <w:sz w:val="32"/>
          <w:szCs w:val="32"/>
          <w:lang w:val="en-US" w:eastAsia="zh-CN" w:bidi="ar"/>
        </w:rPr>
        <w:t>完善轮休调休措施。</w:t>
      </w:r>
      <w:r>
        <w:rPr>
          <w:rFonts w:hint="default" w:ascii="Times New Roman" w:hAnsi="Times New Roman" w:eastAsia="方正仿宋_GBK" w:cs="Times New Roman"/>
          <w:kern w:val="2"/>
          <w:sz w:val="32"/>
          <w:szCs w:val="32"/>
          <w:lang w:val="en-US" w:eastAsia="zh-CN" w:bidi="ar"/>
        </w:rPr>
        <w:t>当预测缺口持续时间较长时，各县（市、区）电力运行管理部门要会同电网企业完善周期性轮休轮停方案，安排工业企业分批执行负荷管理措施，做好应对长时期、长时段、大规模负荷管理的准备。工作日突发极端较大电力供需缺口且当天处于全时段缺电时，引导非连续生产企业，将部分工作日用电负荷有效转移至休息日。</w:t>
      </w:r>
    </w:p>
    <w:p w14:paraId="334FAC9E">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580" w:lineRule="exact"/>
        <w:ind w:left="0" w:leftChars="0" w:right="0" w:rightChars="0" w:firstLine="643" w:firstLineChars="200"/>
        <w:jc w:val="both"/>
        <w:textAlignment w:val="auto"/>
        <w:rPr>
          <w:rFonts w:hint="default" w:ascii="Times New Roman" w:hAnsi="Times New Roman" w:eastAsia="方正仿宋_GBK" w:cs="Times New Roman"/>
          <w:kern w:val="2"/>
          <w:sz w:val="32"/>
          <w:szCs w:val="32"/>
          <w:lang w:val="en-US" w:eastAsia="zh-CN" w:bidi="ar"/>
        </w:rPr>
      </w:pPr>
      <w:r>
        <w:rPr>
          <w:rFonts w:hint="eastAsia" w:ascii="Times New Roman" w:hAnsi="Times New Roman" w:eastAsia="方正仿宋_GBK" w:cs="Times New Roman"/>
          <w:b/>
          <w:kern w:val="2"/>
          <w:sz w:val="32"/>
          <w:szCs w:val="32"/>
          <w:lang w:val="en-US" w:eastAsia="zh-CN" w:bidi="ar"/>
        </w:rPr>
        <w:t>5.</w:t>
      </w:r>
      <w:r>
        <w:rPr>
          <w:rFonts w:hint="default" w:ascii="Times New Roman" w:hAnsi="Times New Roman" w:eastAsia="方正仿宋_GBK" w:cs="Times New Roman"/>
          <w:b/>
          <w:kern w:val="2"/>
          <w:sz w:val="32"/>
          <w:szCs w:val="32"/>
          <w:lang w:val="en-US" w:eastAsia="zh-CN" w:bidi="ar"/>
        </w:rPr>
        <w:t>做好极端停限准备。</w:t>
      </w:r>
      <w:r>
        <w:rPr>
          <w:rFonts w:hint="default" w:ascii="Times New Roman" w:hAnsi="Times New Roman" w:eastAsia="方正仿宋_GBK" w:cs="Times New Roman"/>
          <w:kern w:val="2"/>
          <w:sz w:val="32"/>
          <w:szCs w:val="32"/>
          <w:lang w:val="en-US" w:eastAsia="zh-CN" w:bidi="ar"/>
        </w:rPr>
        <w:t>由于极端</w:t>
      </w:r>
      <w:r>
        <w:rPr>
          <w:rFonts w:hint="eastAsia" w:ascii="Times New Roman" w:hAnsi="Times New Roman" w:eastAsia="方正仿宋_GBK" w:cs="Times New Roman"/>
          <w:kern w:val="2"/>
          <w:sz w:val="32"/>
          <w:szCs w:val="32"/>
          <w:lang w:val="en-US" w:eastAsia="zh-CN" w:bidi="ar"/>
        </w:rPr>
        <w:t>雨雪</w:t>
      </w:r>
      <w:r>
        <w:rPr>
          <w:rFonts w:hint="default" w:ascii="Times New Roman" w:hAnsi="Times New Roman" w:eastAsia="方正仿宋_GBK" w:cs="Times New Roman"/>
          <w:kern w:val="2"/>
          <w:sz w:val="32"/>
          <w:szCs w:val="32"/>
          <w:lang w:val="en-US" w:eastAsia="zh-CN" w:bidi="ar"/>
        </w:rPr>
        <w:t>天气或自然灾害等不可抗力因素，导致电力供应缺口超出负荷管理方案执行能力时，各县（市、区）电力运行管理部门要结合本地情况，制定扩大范围的应急预案，实施分行业的大规模负荷管理措施，确保民生供电供暖可靠供应。</w:t>
      </w:r>
    </w:p>
    <w:p w14:paraId="6734BF8B">
      <w:pPr>
        <w:pStyle w:val="3"/>
        <w:keepNext w:val="0"/>
        <w:keepLines w:val="0"/>
        <w:pageBreakBefore w:val="0"/>
        <w:widowControl w:val="0"/>
        <w:kinsoku/>
        <w:wordWrap/>
        <w:overflowPunct/>
        <w:topLinePunct w:val="0"/>
        <w:autoSpaceDE/>
        <w:autoSpaceDN/>
        <w:bidi w:val="0"/>
        <w:adjustRightInd/>
        <w:snapToGrid/>
        <w:spacing w:after="0" w:line="580" w:lineRule="exact"/>
        <w:ind w:firstLine="643" w:firstLineChars="200"/>
        <w:textAlignment w:val="auto"/>
        <w:rPr>
          <w:rFonts w:hint="default" w:ascii="Times New Roman" w:hAnsi="Times New Roman" w:eastAsia="方正仿宋_GBK" w:cs="Times New Roman"/>
        </w:rPr>
      </w:pPr>
      <w:r>
        <w:rPr>
          <w:rFonts w:hint="default" w:ascii="Times New Roman" w:hAnsi="Times New Roman" w:eastAsia="方正仿宋_GBK" w:cs="Times New Roman"/>
          <w:b/>
          <w:bCs/>
        </w:rPr>
        <w:t>6.动态开展可控负荷资源试跳验证。</w:t>
      </w:r>
      <w:r>
        <w:rPr>
          <w:rFonts w:hint="default" w:ascii="Times New Roman" w:hAnsi="Times New Roman" w:eastAsia="方正仿宋_GBK" w:cs="Times New Roman"/>
        </w:rPr>
        <w:t>负荷远程控制能力是保障负荷管理措施执行到位的保底手段，各</w:t>
      </w:r>
      <w:r>
        <w:rPr>
          <w:rFonts w:hint="eastAsia" w:ascii="Times New Roman" w:hAnsi="Times New Roman" w:eastAsia="方正仿宋_GBK" w:cs="Times New Roman"/>
          <w:lang w:eastAsia="zh-CN"/>
        </w:rPr>
        <w:t>县（市、区）</w:t>
      </w:r>
      <w:r>
        <w:rPr>
          <w:rFonts w:hint="default" w:ascii="Times New Roman" w:hAnsi="Times New Roman" w:eastAsia="方正仿宋_GBK" w:cs="Times New Roman"/>
        </w:rPr>
        <w:t>电力运行</w:t>
      </w:r>
      <w:r>
        <w:rPr>
          <w:rFonts w:hint="eastAsia" w:ascii="Times New Roman" w:hAnsi="Times New Roman" w:eastAsia="方正仿宋_GBK" w:cs="Times New Roman"/>
          <w:lang w:eastAsia="zh-CN"/>
        </w:rPr>
        <w:t>管理</w:t>
      </w:r>
      <w:r>
        <w:rPr>
          <w:rFonts w:hint="default" w:ascii="Times New Roman" w:hAnsi="Times New Roman" w:eastAsia="方正仿宋_GBK" w:cs="Times New Roman"/>
        </w:rPr>
        <w:t>部门要联合电网企业建立可控负荷资源</w:t>
      </w:r>
      <w:r>
        <w:rPr>
          <w:rFonts w:hint="eastAsia" w:ascii="Times New Roman" w:hAnsi="Times New Roman" w:eastAsia="方正仿宋_GBK" w:cs="Times New Roman"/>
          <w:lang w:eastAsia="zh-CN"/>
        </w:rPr>
        <w:t>“</w:t>
      </w:r>
      <w:r>
        <w:rPr>
          <w:rFonts w:hint="default" w:ascii="Times New Roman" w:hAnsi="Times New Roman" w:eastAsia="方正仿宋_GBK" w:cs="Times New Roman"/>
        </w:rPr>
        <w:t>逢停必校</w:t>
      </w:r>
      <w:r>
        <w:rPr>
          <w:rFonts w:hint="eastAsia" w:ascii="Times New Roman" w:hAnsi="Times New Roman" w:eastAsia="方正仿宋_GBK" w:cs="Times New Roman"/>
          <w:lang w:eastAsia="zh-CN"/>
        </w:rPr>
        <w:t>”</w:t>
      </w:r>
      <w:r>
        <w:rPr>
          <w:rFonts w:hint="default" w:ascii="Times New Roman" w:hAnsi="Times New Roman" w:eastAsia="方正仿宋_GBK" w:cs="Times New Roman"/>
        </w:rPr>
        <w:t>机制，按年度组织收集电力用户检修计划，并按月更新，在用户生产间隙、停产检修、方式调整期间开展带负荷试跳验证，相关电力用户应主动配合，确保负荷控制能力满足国家政策要求。</w:t>
      </w:r>
    </w:p>
    <w:p w14:paraId="5374C6C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1"/>
        <w:rPr>
          <w:rFonts w:hint="eastAsia" w:ascii="方正楷体_GBK" w:hAnsi="方正楷体_GBK" w:eastAsia="方正楷体_GBK" w:cs="方正楷体_GBK"/>
          <w:b w:val="0"/>
          <w:bCs w:val="0"/>
          <w:color w:val="auto"/>
          <w:highlight w:val="none"/>
          <w:lang w:val="en-US" w:eastAsia="zh-CN"/>
        </w:rPr>
      </w:pPr>
      <w:r>
        <w:rPr>
          <w:rFonts w:hint="eastAsia" w:ascii="方正楷体_GBK" w:hAnsi="方正楷体_GBK" w:eastAsia="方正楷体_GBK" w:cs="方正楷体_GBK"/>
          <w:b w:val="0"/>
          <w:bCs w:val="0"/>
          <w:color w:val="auto"/>
          <w:highlight w:val="none"/>
          <w:lang w:val="en-US" w:eastAsia="zh-CN"/>
        </w:rPr>
        <w:t>（五）做好促新能源消纳措施</w:t>
      </w:r>
    </w:p>
    <w:p w14:paraId="6CD6654F">
      <w:pPr>
        <w:keepNext w:val="0"/>
        <w:keepLines w:val="0"/>
        <w:pageBreakBefore w:val="0"/>
        <w:widowControl w:val="0"/>
        <w:kinsoku/>
        <w:wordWrap/>
        <w:overflowPunct/>
        <w:topLinePunct w:val="0"/>
        <w:autoSpaceDE/>
        <w:autoSpaceDN/>
        <w:bidi w:val="0"/>
        <w:adjustRightInd/>
        <w:snapToGrid/>
        <w:spacing w:beforeLines="0" w:afterLines="0" w:line="580" w:lineRule="exact"/>
        <w:ind w:firstLine="643" w:firstLineChars="200"/>
        <w:jc w:val="both"/>
        <w:textAlignment w:val="auto"/>
        <w:rPr>
          <w:rFonts w:hint="default" w:ascii="方正仿宋_GBK" w:hAnsi="方正仿宋_GBK" w:cs="方正仿宋_GBK"/>
          <w:b w:val="0"/>
          <w:bCs w:val="0"/>
          <w:color w:val="auto"/>
          <w:spacing w:val="0"/>
          <w:sz w:val="32"/>
          <w:szCs w:val="32"/>
          <w:highlight w:val="none"/>
          <w:lang w:val="en-US" w:eastAsia="zh-CN"/>
        </w:rPr>
      </w:pPr>
      <w:r>
        <w:rPr>
          <w:rFonts w:hint="eastAsia" w:ascii="Times New Roman" w:hAnsi="Times New Roman"/>
          <w:b/>
          <w:bCs/>
          <w:color w:val="auto"/>
          <w:highlight w:val="none"/>
          <w:lang w:val="en-US" w:eastAsia="zh-CN" w:bidi="ar"/>
        </w:rPr>
        <w:t>1.加强促消纳资源排查和用电引导。</w:t>
      </w:r>
      <w:r>
        <w:rPr>
          <w:rFonts w:hint="eastAsia" w:ascii="Times New Roman" w:hAnsi="Times New Roman" w:cs="Times New Roman"/>
          <w:color w:val="auto"/>
          <w:kern w:val="2"/>
          <w:sz w:val="32"/>
          <w:szCs w:val="32"/>
          <w:highlight w:val="none"/>
          <w:lang w:val="en-US" w:eastAsia="zh-CN" w:bidi="ar"/>
        </w:rPr>
        <w:t>电网企业要</w:t>
      </w:r>
      <w:r>
        <w:rPr>
          <w:rFonts w:hint="eastAsia" w:ascii="方正仿宋_GBK" w:hAnsi="方正仿宋_GBK" w:eastAsia="方正仿宋_GBK" w:cs="方正仿宋_GBK"/>
          <w:b w:val="0"/>
          <w:bCs w:val="0"/>
          <w:color w:val="auto"/>
          <w:spacing w:val="0"/>
          <w:sz w:val="32"/>
          <w:szCs w:val="32"/>
          <w:highlight w:val="none"/>
          <w:lang w:val="en-US" w:eastAsia="zh-CN"/>
        </w:rPr>
        <w:t>深挖重点行业</w:t>
      </w:r>
      <w:r>
        <w:rPr>
          <w:rFonts w:hint="eastAsia" w:ascii="方正仿宋_GBK" w:hAnsi="方正仿宋_GBK" w:cs="方正仿宋_GBK"/>
          <w:b w:val="0"/>
          <w:bCs w:val="0"/>
          <w:color w:val="auto"/>
          <w:spacing w:val="0"/>
          <w:sz w:val="32"/>
          <w:szCs w:val="32"/>
          <w:highlight w:val="none"/>
          <w:lang w:val="en-US" w:eastAsia="zh-CN"/>
        </w:rPr>
        <w:t>、</w:t>
      </w:r>
      <w:r>
        <w:rPr>
          <w:rFonts w:hint="eastAsia" w:ascii="方正仿宋_GBK" w:hAnsi="方正仿宋_GBK" w:eastAsia="方正仿宋_GBK" w:cs="方正仿宋_GBK"/>
          <w:b w:val="0"/>
          <w:bCs w:val="0"/>
          <w:color w:val="auto"/>
          <w:spacing w:val="0"/>
          <w:sz w:val="32"/>
          <w:szCs w:val="32"/>
          <w:highlight w:val="none"/>
          <w:lang w:val="en-US" w:eastAsia="zh-CN"/>
        </w:rPr>
        <w:t>重点</w:t>
      </w:r>
      <w:r>
        <w:rPr>
          <w:rFonts w:hint="eastAsia" w:ascii="方正仿宋_GBK" w:hAnsi="方正仿宋_GBK" w:cs="方正仿宋_GBK"/>
          <w:b w:val="0"/>
          <w:bCs w:val="0"/>
          <w:color w:val="auto"/>
          <w:spacing w:val="0"/>
          <w:sz w:val="32"/>
          <w:szCs w:val="32"/>
          <w:highlight w:val="none"/>
          <w:lang w:val="en-US" w:eastAsia="zh-CN"/>
        </w:rPr>
        <w:t>用户促</w:t>
      </w:r>
      <w:r>
        <w:rPr>
          <w:rFonts w:hint="eastAsia" w:ascii="方正仿宋_GBK" w:hAnsi="方正仿宋_GBK" w:eastAsia="方正仿宋_GBK" w:cs="方正仿宋_GBK"/>
          <w:b w:val="0"/>
          <w:bCs w:val="0"/>
          <w:color w:val="auto"/>
          <w:spacing w:val="0"/>
          <w:sz w:val="32"/>
          <w:szCs w:val="32"/>
          <w:highlight w:val="none"/>
          <w:lang w:val="en-US" w:eastAsia="zh-CN"/>
        </w:rPr>
        <w:t>消纳潜力，</w:t>
      </w:r>
      <w:r>
        <w:rPr>
          <w:rFonts w:hint="eastAsia" w:ascii="方正仿宋_GBK" w:hAnsi="方正仿宋_GBK" w:cs="方正仿宋_GBK"/>
          <w:b w:val="0"/>
          <w:bCs w:val="0"/>
          <w:color w:val="auto"/>
          <w:spacing w:val="0"/>
          <w:sz w:val="32"/>
          <w:szCs w:val="32"/>
          <w:highlight w:val="none"/>
          <w:lang w:val="en-US" w:eastAsia="zh-CN"/>
        </w:rPr>
        <w:t>收集典型促消纳案例并强化宣传。春秋季、大型节假日等新能源消纳困难时段来临前，</w:t>
      </w:r>
      <w:r>
        <w:rPr>
          <w:rFonts w:hint="eastAsia" w:ascii="Times New Roman" w:hAnsi="Times New Roman" w:cs="Times New Roman"/>
          <w:b w:val="0"/>
          <w:bCs/>
          <w:color w:val="auto"/>
          <w:kern w:val="2"/>
          <w:sz w:val="32"/>
          <w:szCs w:val="32"/>
          <w:highlight w:val="none"/>
          <w:lang w:val="en-US" w:eastAsia="zh-CN" w:bidi="ar"/>
        </w:rPr>
        <w:t>各县（市、区）电力运行管理部门</w:t>
      </w:r>
      <w:r>
        <w:rPr>
          <w:rFonts w:hint="eastAsia" w:ascii="方正仿宋_GBK" w:hAnsi="方正仿宋_GBK" w:cs="方正仿宋_GBK"/>
          <w:b w:val="0"/>
          <w:bCs w:val="0"/>
          <w:color w:val="auto"/>
          <w:spacing w:val="0"/>
          <w:sz w:val="32"/>
          <w:szCs w:val="32"/>
          <w:highlight w:val="none"/>
          <w:lang w:val="en-US" w:eastAsia="zh-CN"/>
        </w:rPr>
        <w:t>要联合电网企业开展用户走访，引导优化运行方式，增大午后时段用电负荷，降低用能成本，促进新能源消纳。</w:t>
      </w:r>
    </w:p>
    <w:p w14:paraId="193E9EF1">
      <w:pPr>
        <w:keepNext w:val="0"/>
        <w:keepLines w:val="0"/>
        <w:pageBreakBefore w:val="0"/>
        <w:widowControl w:val="0"/>
        <w:kinsoku/>
        <w:wordWrap/>
        <w:overflowPunct/>
        <w:topLinePunct w:val="0"/>
        <w:autoSpaceDE/>
        <w:autoSpaceDN/>
        <w:bidi w:val="0"/>
        <w:adjustRightInd/>
        <w:snapToGrid/>
        <w:spacing w:beforeLines="0" w:afterLines="0" w:line="580" w:lineRule="exact"/>
        <w:ind w:firstLine="643" w:firstLineChars="200"/>
        <w:jc w:val="both"/>
        <w:textAlignment w:val="auto"/>
        <w:rPr>
          <w:rFonts w:hint="default" w:ascii="方正仿宋_GBK" w:hAnsi="方正仿宋_GBK" w:eastAsia="方正仿宋_GBK" w:cs="方正仿宋_GBK"/>
          <w:b w:val="0"/>
          <w:bCs w:val="0"/>
          <w:color w:val="auto"/>
          <w:spacing w:val="0"/>
          <w:sz w:val="32"/>
          <w:szCs w:val="32"/>
          <w:highlight w:val="none"/>
          <w:lang w:val="en-US" w:eastAsia="zh-CN"/>
        </w:rPr>
      </w:pPr>
      <w:r>
        <w:rPr>
          <w:rFonts w:hint="eastAsia" w:ascii="Times New Roman" w:hAnsi="Times New Roman"/>
          <w:b/>
          <w:bCs/>
          <w:color w:val="auto"/>
          <w:highlight w:val="none"/>
          <w:lang w:val="en-US" w:eastAsia="zh-CN" w:bidi="ar"/>
        </w:rPr>
        <w:t>2.探索市场化调节方式促消纳。</w:t>
      </w:r>
      <w:r>
        <w:rPr>
          <w:rFonts w:hint="eastAsia" w:ascii="Times New Roman" w:hAnsi="Times New Roman" w:cs="Times New Roman"/>
          <w:color w:val="auto"/>
          <w:kern w:val="2"/>
          <w:sz w:val="32"/>
          <w:szCs w:val="32"/>
          <w:highlight w:val="none"/>
          <w:lang w:val="en-US" w:eastAsia="zh-CN" w:bidi="ar"/>
        </w:rPr>
        <w:t>市电力负荷管理中心</w:t>
      </w:r>
      <w:r>
        <w:rPr>
          <w:rFonts w:hint="eastAsia" w:ascii="Times New Roman" w:hAnsi="Times New Roman"/>
          <w:color w:val="auto"/>
          <w:highlight w:val="none"/>
          <w:lang w:val="en-US" w:eastAsia="zh-CN" w:bidi="ar"/>
        </w:rPr>
        <w:t>结合虚拟电厂建设契机</w:t>
      </w:r>
      <w:r>
        <w:rPr>
          <w:rFonts w:hint="default" w:ascii="Times New Roman" w:hAnsi="Times New Roman"/>
          <w:color w:val="auto"/>
          <w:highlight w:val="none"/>
          <w:lang w:val="en-US" w:eastAsia="zh-CN" w:bidi="ar"/>
        </w:rPr>
        <w:t>，</w:t>
      </w:r>
      <w:r>
        <w:rPr>
          <w:rFonts w:hint="eastAsia" w:ascii="Times New Roman" w:hAnsi="Times New Roman"/>
          <w:color w:val="auto"/>
          <w:highlight w:val="none"/>
          <w:lang w:val="en-US" w:eastAsia="zh-CN" w:bidi="ar"/>
        </w:rPr>
        <w:t>配合做好研究引导虚拟电厂聚合需求侧资源参与削峰填谷的电能量市场机制，服务常态参与市场调节</w:t>
      </w:r>
      <w:r>
        <w:rPr>
          <w:rFonts w:hint="default" w:ascii="Times New Roman" w:hAnsi="Times New Roman"/>
          <w:color w:val="auto"/>
          <w:highlight w:val="none"/>
          <w:lang w:val="en-US" w:eastAsia="zh-CN" w:bidi="ar"/>
        </w:rPr>
        <w:t>。</w:t>
      </w:r>
      <w:r>
        <w:rPr>
          <w:rFonts w:hint="eastAsia" w:ascii="Times New Roman" w:hAnsi="Times New Roman"/>
          <w:color w:val="auto"/>
          <w:highlight w:val="none"/>
          <w:lang w:val="en-US" w:eastAsia="zh-CN" w:bidi="ar"/>
        </w:rPr>
        <w:t>配合做好研究填谷需求响应补贴资金分摊机制，探索建立填谷需求响应市场。</w:t>
      </w:r>
    </w:p>
    <w:p w14:paraId="0212B9B8">
      <w:pPr>
        <w:keepNext w:val="0"/>
        <w:keepLines w:val="0"/>
        <w:pageBreakBefore w:val="0"/>
        <w:widowControl w:val="0"/>
        <w:kinsoku/>
        <w:wordWrap/>
        <w:overflowPunct/>
        <w:topLinePunct w:val="0"/>
        <w:autoSpaceDE/>
        <w:autoSpaceDN/>
        <w:bidi w:val="0"/>
        <w:adjustRightInd/>
        <w:snapToGrid/>
        <w:spacing w:beforeLines="0" w:afterLines="0" w:line="580" w:lineRule="exact"/>
        <w:ind w:firstLine="643" w:firstLineChars="200"/>
        <w:jc w:val="both"/>
        <w:textAlignment w:val="auto"/>
        <w:rPr>
          <w:rFonts w:hint="default"/>
        </w:rPr>
      </w:pPr>
      <w:r>
        <w:rPr>
          <w:rFonts w:hint="eastAsia" w:ascii="Times New Roman" w:hAnsi="Times New Roman" w:cs="Times New Roman"/>
          <w:b/>
          <w:bCs/>
          <w:color w:val="auto"/>
          <w:spacing w:val="0"/>
          <w:sz w:val="32"/>
          <w:szCs w:val="32"/>
          <w:highlight w:val="none"/>
          <w:lang w:val="en-US" w:eastAsia="zh-CN" w:bidi="ar"/>
        </w:rPr>
        <w:t>3.</w:t>
      </w:r>
      <w:r>
        <w:rPr>
          <w:rFonts w:hint="eastAsia" w:ascii="Times New Roman" w:hAnsi="Times New Roman" w:eastAsia="方正仿宋_GBK" w:cs="Times New Roman"/>
          <w:b/>
          <w:bCs/>
          <w:color w:val="auto"/>
          <w:spacing w:val="0"/>
          <w:sz w:val="32"/>
          <w:szCs w:val="32"/>
          <w:highlight w:val="none"/>
          <w:lang w:val="en-US" w:eastAsia="zh-CN" w:bidi="ar"/>
        </w:rPr>
        <w:t>引导</w:t>
      </w:r>
      <w:r>
        <w:rPr>
          <w:rFonts w:hint="eastAsia" w:ascii="Times New Roman" w:hAnsi="Times New Roman" w:cs="Times New Roman"/>
          <w:b/>
          <w:bCs/>
          <w:color w:val="auto"/>
          <w:spacing w:val="0"/>
          <w:sz w:val="32"/>
          <w:szCs w:val="32"/>
          <w:highlight w:val="none"/>
          <w:lang w:val="en-US" w:eastAsia="zh-CN" w:bidi="ar"/>
        </w:rPr>
        <w:t>各类</w:t>
      </w:r>
      <w:r>
        <w:rPr>
          <w:rFonts w:hint="eastAsia" w:ascii="Times New Roman" w:hAnsi="Times New Roman" w:eastAsia="方正仿宋_GBK" w:cs="Times New Roman"/>
          <w:b/>
          <w:bCs/>
          <w:color w:val="auto"/>
          <w:spacing w:val="0"/>
          <w:sz w:val="32"/>
          <w:szCs w:val="32"/>
          <w:highlight w:val="none"/>
          <w:lang w:val="en-US" w:eastAsia="zh-CN" w:bidi="ar"/>
        </w:rPr>
        <w:t>资源参与互动</w:t>
      </w:r>
      <w:r>
        <w:rPr>
          <w:rFonts w:hint="eastAsia" w:ascii="Times New Roman" w:hAnsi="Times New Roman" w:cs="Times New Roman"/>
          <w:b/>
          <w:bCs/>
          <w:color w:val="auto"/>
          <w:spacing w:val="0"/>
          <w:sz w:val="32"/>
          <w:szCs w:val="32"/>
          <w:highlight w:val="none"/>
          <w:lang w:val="en-US" w:eastAsia="zh-CN" w:bidi="ar"/>
        </w:rPr>
        <w:t>促消纳</w:t>
      </w:r>
      <w:r>
        <w:rPr>
          <w:rFonts w:hint="eastAsia" w:ascii="Times New Roman" w:hAnsi="Times New Roman" w:eastAsia="方正仿宋_GBK" w:cs="Times New Roman"/>
          <w:b/>
          <w:bCs/>
          <w:color w:val="auto"/>
          <w:spacing w:val="0"/>
          <w:sz w:val="32"/>
          <w:szCs w:val="32"/>
          <w:highlight w:val="none"/>
          <w:lang w:val="en-US" w:eastAsia="zh-CN" w:bidi="ar"/>
        </w:rPr>
        <w:t>。</w:t>
      </w:r>
      <w:r>
        <w:rPr>
          <w:rFonts w:hint="eastAsia" w:ascii="Times New Roman" w:hAnsi="Times New Roman" w:eastAsia="方正仿宋_GBK" w:cs="Times New Roman"/>
          <w:b w:val="0"/>
          <w:bCs w:val="0"/>
          <w:color w:val="auto"/>
          <w:spacing w:val="0"/>
          <w:sz w:val="32"/>
          <w:szCs w:val="32"/>
          <w:highlight w:val="none"/>
          <w:lang w:val="en-US" w:eastAsia="zh-CN" w:bidi="ar"/>
        </w:rPr>
        <w:t>加强</w:t>
      </w:r>
      <w:r>
        <w:rPr>
          <w:rFonts w:hint="eastAsia" w:ascii="Times New Roman" w:hAnsi="Times New Roman" w:cs="Times New Roman"/>
          <w:b w:val="0"/>
          <w:bCs w:val="0"/>
          <w:color w:val="auto"/>
          <w:spacing w:val="0"/>
          <w:sz w:val="32"/>
          <w:szCs w:val="32"/>
          <w:highlight w:val="none"/>
          <w:lang w:val="en-US" w:eastAsia="zh-CN" w:bidi="ar"/>
        </w:rPr>
        <w:t>充电负荷</w:t>
      </w:r>
      <w:r>
        <w:rPr>
          <w:rFonts w:hint="eastAsia" w:ascii="Times New Roman" w:hAnsi="Times New Roman" w:eastAsia="方正仿宋_GBK" w:cs="Times New Roman"/>
          <w:b w:val="0"/>
          <w:bCs w:val="0"/>
          <w:color w:val="auto"/>
          <w:spacing w:val="0"/>
          <w:sz w:val="32"/>
          <w:szCs w:val="32"/>
          <w:highlight w:val="none"/>
          <w:lang w:val="en-US" w:eastAsia="zh-CN" w:bidi="ar"/>
        </w:rPr>
        <w:t>监测</w:t>
      </w:r>
      <w:r>
        <w:rPr>
          <w:rFonts w:hint="eastAsia" w:ascii="Times New Roman" w:hAnsi="Times New Roman" w:cs="Times New Roman"/>
          <w:b w:val="0"/>
          <w:bCs w:val="0"/>
          <w:color w:val="auto"/>
          <w:spacing w:val="0"/>
          <w:sz w:val="32"/>
          <w:szCs w:val="32"/>
          <w:highlight w:val="none"/>
          <w:lang w:val="en-US" w:eastAsia="zh-CN" w:bidi="ar"/>
        </w:rPr>
        <w:t>分析</w:t>
      </w:r>
      <w:r>
        <w:rPr>
          <w:rFonts w:hint="eastAsia" w:ascii="Times New Roman" w:hAnsi="Times New Roman" w:eastAsia="方正仿宋_GBK" w:cs="Times New Roman"/>
          <w:b w:val="0"/>
          <w:bCs w:val="0"/>
          <w:color w:val="auto"/>
          <w:spacing w:val="0"/>
          <w:sz w:val="32"/>
          <w:szCs w:val="32"/>
          <w:highlight w:val="none"/>
          <w:lang w:val="en-US" w:eastAsia="zh-CN" w:bidi="ar"/>
        </w:rPr>
        <w:t>，</w:t>
      </w:r>
      <w:r>
        <w:rPr>
          <w:rFonts w:hint="eastAsia" w:ascii="Times New Roman" w:hAnsi="Times New Roman" w:cs="Times New Roman"/>
          <w:b w:val="0"/>
          <w:bCs w:val="0"/>
          <w:color w:val="auto"/>
          <w:spacing w:val="0"/>
          <w:sz w:val="32"/>
          <w:szCs w:val="32"/>
          <w:highlight w:val="none"/>
          <w:lang w:val="en-US" w:eastAsia="zh-CN" w:bidi="ar"/>
        </w:rPr>
        <w:t>强化现货分时电价宣传，引导充电</w:t>
      </w:r>
      <w:r>
        <w:rPr>
          <w:rFonts w:hint="eastAsia" w:ascii="Times New Roman" w:hAnsi="Times New Roman" w:eastAsia="方正仿宋_GBK" w:cs="Times New Roman"/>
          <w:b w:val="0"/>
          <w:bCs w:val="0"/>
          <w:color w:val="auto"/>
          <w:spacing w:val="0"/>
          <w:sz w:val="32"/>
          <w:szCs w:val="32"/>
          <w:highlight w:val="none"/>
          <w:lang w:val="en-US" w:eastAsia="zh-CN" w:bidi="ar"/>
        </w:rPr>
        <w:t>运营商在午间低谷推出充电优惠券、服务费</w:t>
      </w:r>
      <w:r>
        <w:rPr>
          <w:rFonts w:hint="eastAsia" w:ascii="Times New Roman" w:hAnsi="Times New Roman" w:cs="Times New Roman"/>
          <w:b w:val="0"/>
          <w:bCs w:val="0"/>
          <w:color w:val="auto"/>
          <w:spacing w:val="0"/>
          <w:sz w:val="32"/>
          <w:szCs w:val="32"/>
          <w:highlight w:val="none"/>
          <w:lang w:val="en-US" w:eastAsia="zh-CN" w:bidi="ar"/>
        </w:rPr>
        <w:t>折扣</w:t>
      </w:r>
      <w:r>
        <w:rPr>
          <w:rFonts w:hint="eastAsia" w:ascii="Times New Roman" w:hAnsi="Times New Roman" w:eastAsia="方正仿宋_GBK" w:cs="Times New Roman"/>
          <w:b w:val="0"/>
          <w:bCs w:val="0"/>
          <w:color w:val="auto"/>
          <w:spacing w:val="0"/>
          <w:sz w:val="32"/>
          <w:szCs w:val="32"/>
          <w:highlight w:val="none"/>
          <w:lang w:val="en-US" w:eastAsia="zh-CN" w:bidi="ar"/>
        </w:rPr>
        <w:t>、灵活套餐等激励措施，引导</w:t>
      </w:r>
      <w:r>
        <w:rPr>
          <w:rFonts w:hint="eastAsia" w:ascii="Times New Roman" w:hAnsi="Times New Roman" w:cs="Times New Roman"/>
          <w:b w:val="0"/>
          <w:bCs w:val="0"/>
          <w:color w:val="auto"/>
          <w:spacing w:val="0"/>
          <w:sz w:val="32"/>
          <w:szCs w:val="32"/>
          <w:highlight w:val="none"/>
          <w:lang w:val="en-US" w:eastAsia="zh-CN" w:bidi="ar"/>
        </w:rPr>
        <w:t>低谷</w:t>
      </w:r>
      <w:r>
        <w:rPr>
          <w:rFonts w:hint="eastAsia" w:ascii="Times New Roman" w:hAnsi="Times New Roman" w:eastAsia="方正仿宋_GBK" w:cs="Times New Roman"/>
          <w:b w:val="0"/>
          <w:bCs w:val="0"/>
          <w:color w:val="auto"/>
          <w:spacing w:val="0"/>
          <w:sz w:val="32"/>
          <w:szCs w:val="32"/>
          <w:highlight w:val="none"/>
          <w:lang w:val="en-US" w:eastAsia="zh-CN" w:bidi="ar"/>
        </w:rPr>
        <w:t>充电</w:t>
      </w:r>
      <w:r>
        <w:rPr>
          <w:rFonts w:hint="eastAsia" w:ascii="Times New Roman" w:hAnsi="Times New Roman" w:cs="Times New Roman"/>
          <w:b w:val="0"/>
          <w:bCs w:val="0"/>
          <w:color w:val="auto"/>
          <w:spacing w:val="0"/>
          <w:sz w:val="32"/>
          <w:szCs w:val="32"/>
          <w:highlight w:val="none"/>
          <w:lang w:val="en-US" w:eastAsia="zh-CN" w:bidi="ar"/>
        </w:rPr>
        <w:t>。强化自备电厂企业用能成本分析</w:t>
      </w:r>
      <w:r>
        <w:rPr>
          <w:rFonts w:hint="eastAsia" w:ascii="Times New Roman" w:hAnsi="Times New Roman" w:eastAsia="方正仿宋_GBK" w:cs="Times New Roman"/>
          <w:b w:val="0"/>
          <w:bCs w:val="0"/>
          <w:color w:val="auto"/>
          <w:spacing w:val="0"/>
          <w:sz w:val="32"/>
          <w:szCs w:val="32"/>
          <w:highlight w:val="none"/>
          <w:lang w:val="en-US" w:eastAsia="zh-CN" w:bidi="ar"/>
        </w:rPr>
        <w:t>，</w:t>
      </w:r>
      <w:r>
        <w:rPr>
          <w:rFonts w:hint="eastAsia" w:ascii="Times New Roman" w:hAnsi="Times New Roman" w:cs="Times New Roman"/>
          <w:b w:val="0"/>
          <w:bCs w:val="0"/>
          <w:color w:val="auto"/>
          <w:spacing w:val="0"/>
          <w:sz w:val="32"/>
          <w:szCs w:val="32"/>
          <w:highlight w:val="none"/>
          <w:lang w:val="en-US" w:eastAsia="zh-CN" w:bidi="ar"/>
        </w:rPr>
        <w:t>鼓励</w:t>
      </w:r>
      <w:r>
        <w:rPr>
          <w:rFonts w:hint="eastAsia" w:ascii="Times New Roman" w:hAnsi="Times New Roman" w:eastAsia="方正仿宋_GBK" w:cs="Times New Roman"/>
          <w:b w:val="0"/>
          <w:bCs w:val="0"/>
          <w:color w:val="auto"/>
          <w:spacing w:val="0"/>
          <w:sz w:val="32"/>
          <w:szCs w:val="32"/>
          <w:highlight w:val="none"/>
          <w:lang w:val="en-US" w:eastAsia="zh-CN" w:bidi="ar"/>
        </w:rPr>
        <w:t>在新能源大发时段减少自备电厂出力</w:t>
      </w:r>
      <w:r>
        <w:rPr>
          <w:rFonts w:hint="eastAsia" w:ascii="Times New Roman" w:hAnsi="Times New Roman" w:cs="Times New Roman"/>
          <w:b w:val="0"/>
          <w:bCs w:val="0"/>
          <w:color w:val="auto"/>
          <w:spacing w:val="0"/>
          <w:sz w:val="32"/>
          <w:szCs w:val="32"/>
          <w:highlight w:val="none"/>
          <w:lang w:val="en-US" w:eastAsia="zh-CN" w:bidi="ar"/>
        </w:rPr>
        <w:t>增加用网电量</w:t>
      </w:r>
      <w:r>
        <w:rPr>
          <w:rFonts w:hint="eastAsia" w:ascii="Times New Roman" w:hAnsi="Times New Roman" w:eastAsia="方正仿宋_GBK" w:cs="Times New Roman"/>
          <w:b w:val="0"/>
          <w:bCs w:val="0"/>
          <w:color w:val="auto"/>
          <w:spacing w:val="0"/>
          <w:sz w:val="32"/>
          <w:szCs w:val="32"/>
          <w:highlight w:val="none"/>
          <w:lang w:val="en-US" w:eastAsia="zh-CN" w:bidi="ar"/>
        </w:rPr>
        <w:t>。</w:t>
      </w:r>
      <w:r>
        <w:rPr>
          <w:rFonts w:hint="eastAsia" w:ascii="Times New Roman" w:hAnsi="Times New Roman" w:cs="Times New Roman"/>
          <w:b w:val="0"/>
          <w:bCs w:val="0"/>
          <w:color w:val="auto"/>
          <w:spacing w:val="0"/>
          <w:sz w:val="32"/>
          <w:szCs w:val="32"/>
          <w:highlight w:val="none"/>
          <w:lang w:val="en-US" w:eastAsia="zh-CN" w:bidi="ar"/>
        </w:rPr>
        <w:t>鼓励</w:t>
      </w:r>
      <w:r>
        <w:rPr>
          <w:rFonts w:hint="eastAsia" w:ascii="Times New Roman" w:hAnsi="Times New Roman" w:eastAsia="方正仿宋_GBK" w:cs="Times New Roman"/>
          <w:b w:val="0"/>
          <w:bCs w:val="0"/>
          <w:color w:val="auto"/>
          <w:spacing w:val="0"/>
          <w:sz w:val="32"/>
          <w:szCs w:val="32"/>
          <w:highlight w:val="none"/>
          <w:lang w:val="en-US" w:eastAsia="zh-CN" w:bidi="ar"/>
        </w:rPr>
        <w:t>配置用户侧储能</w:t>
      </w:r>
      <w:r>
        <w:rPr>
          <w:rFonts w:hint="eastAsia" w:ascii="Times New Roman" w:hAnsi="Times New Roman" w:cs="Times New Roman"/>
          <w:b w:val="0"/>
          <w:bCs w:val="0"/>
          <w:color w:val="auto"/>
          <w:spacing w:val="0"/>
          <w:sz w:val="32"/>
          <w:szCs w:val="32"/>
          <w:highlight w:val="none"/>
          <w:lang w:val="en-US" w:eastAsia="zh-CN" w:bidi="ar"/>
        </w:rPr>
        <w:t>用户装表计量，动态提供充放策略优化建议</w:t>
      </w:r>
      <w:r>
        <w:rPr>
          <w:rFonts w:hint="eastAsia" w:ascii="Times New Roman" w:hAnsi="Times New Roman" w:eastAsia="方正仿宋_GBK" w:cs="Times New Roman"/>
          <w:b w:val="0"/>
          <w:bCs w:val="0"/>
          <w:color w:val="auto"/>
          <w:spacing w:val="0"/>
          <w:sz w:val="32"/>
          <w:szCs w:val="32"/>
          <w:highlight w:val="none"/>
          <w:lang w:val="en-US" w:eastAsia="zh-CN" w:bidi="ar"/>
        </w:rPr>
        <w:t>。</w:t>
      </w:r>
    </w:p>
    <w:p w14:paraId="61053178">
      <w:pPr>
        <w:keepNext w:val="0"/>
        <w:keepLines w:val="0"/>
        <w:pageBreakBefore w:val="0"/>
        <w:widowControl w:val="0"/>
        <w:suppressLineNumbers w:val="0"/>
        <w:kinsoku/>
        <w:wordWrap/>
        <w:overflowPunct/>
        <w:topLinePunct w:val="0"/>
        <w:autoSpaceDE w:val="0"/>
        <w:autoSpaceDN/>
        <w:bidi w:val="0"/>
        <w:adjustRightInd/>
        <w:snapToGrid/>
        <w:spacing w:before="0" w:beforeLines="0" w:beforeAutospacing="0" w:after="0" w:afterLines="0" w:afterAutospacing="0" w:line="580" w:lineRule="exact"/>
        <w:ind w:left="0" w:leftChars="0" w:right="0" w:rightChars="0" w:firstLine="640" w:firstLineChars="200"/>
        <w:jc w:val="both"/>
        <w:textAlignment w:val="auto"/>
        <w:outlineLvl w:val="0"/>
        <w:rPr>
          <w:rFonts w:hint="default" w:ascii="黑体" w:hAnsi="黑体" w:eastAsia="黑体" w:cs="黑体"/>
          <w:kern w:val="2"/>
          <w:sz w:val="32"/>
          <w:szCs w:val="32"/>
          <w:highlight w:val="none"/>
          <w:lang w:val="en-US" w:eastAsia="zh-CN" w:bidi="ar"/>
        </w:rPr>
      </w:pPr>
      <w:r>
        <w:rPr>
          <w:rFonts w:hint="eastAsia" w:ascii="黑体" w:hAnsi="黑体" w:eastAsia="黑体" w:cs="黑体"/>
          <w:kern w:val="2"/>
          <w:sz w:val="32"/>
          <w:szCs w:val="32"/>
          <w:highlight w:val="none"/>
          <w:lang w:val="en-US" w:eastAsia="zh-CN" w:bidi="ar"/>
        </w:rPr>
        <w:t>四</w:t>
      </w:r>
      <w:r>
        <w:rPr>
          <w:rFonts w:hint="default" w:ascii="黑体" w:hAnsi="黑体" w:eastAsia="黑体" w:cs="黑体"/>
          <w:kern w:val="2"/>
          <w:sz w:val="32"/>
          <w:szCs w:val="32"/>
          <w:highlight w:val="none"/>
          <w:lang w:val="en-US" w:eastAsia="zh-CN" w:bidi="ar"/>
        </w:rPr>
        <w:t>、分级调控措施</w:t>
      </w:r>
    </w:p>
    <w:p w14:paraId="79B13EB7">
      <w:pPr>
        <w:keepNext w:val="0"/>
        <w:keepLines w:val="0"/>
        <w:pageBreakBefore w:val="0"/>
        <w:widowControl w:val="0"/>
        <w:suppressLineNumbers w:val="0"/>
        <w:kinsoku/>
        <w:wordWrap/>
        <w:overflowPunct/>
        <w:topLinePunct w:val="0"/>
        <w:autoSpaceDE w:val="0"/>
        <w:autoSpaceDN/>
        <w:bidi w:val="0"/>
        <w:adjustRightInd w:val="0"/>
        <w:snapToGrid w:val="0"/>
        <w:spacing w:before="0" w:beforeLines="0" w:beforeAutospacing="0" w:after="0" w:afterLines="0" w:afterAutospacing="0" w:line="580" w:lineRule="exact"/>
        <w:ind w:left="0" w:leftChars="0" w:right="0" w:rightChars="0" w:firstLine="640" w:firstLineChars="200"/>
        <w:jc w:val="both"/>
        <w:textAlignment w:val="auto"/>
        <w:rPr>
          <w:rFonts w:hint="default" w:ascii="Times New Roman" w:hAnsi="Times New Roman" w:eastAsia="方正仿宋_GBK" w:cs="Times New Roman"/>
          <w:kern w:val="2"/>
          <w:sz w:val="32"/>
          <w:szCs w:val="32"/>
          <w:highlight w:val="none"/>
          <w:lang w:val="en-US" w:eastAsia="zh-CN" w:bidi="ar"/>
        </w:rPr>
      </w:pPr>
      <w:r>
        <w:rPr>
          <w:rFonts w:hint="default" w:ascii="Times New Roman" w:hAnsi="Times New Roman" w:eastAsia="方正仿宋_GBK" w:cs="Times New Roman"/>
          <w:kern w:val="2"/>
          <w:sz w:val="32"/>
          <w:szCs w:val="32"/>
          <w:highlight w:val="none"/>
          <w:lang w:val="en-US" w:eastAsia="zh-CN" w:bidi="ar"/>
        </w:rPr>
        <w:t>电网企业要密切跟踪电力供需走势，当预测可能出现电力供应缺口时，提出负荷管理预警意见，</w:t>
      </w:r>
      <w:r>
        <w:rPr>
          <w:rFonts w:hint="eastAsia" w:ascii="Times New Roman" w:hAnsi="Times New Roman" w:eastAsia="方正仿宋_GBK" w:cs="Times New Roman"/>
          <w:kern w:val="2"/>
          <w:sz w:val="32"/>
          <w:szCs w:val="32"/>
          <w:highlight w:val="none"/>
          <w:lang w:val="en-US" w:eastAsia="zh-CN" w:bidi="ar"/>
        </w:rPr>
        <w:t>按照河北南网电力缺口情况</w:t>
      </w:r>
      <w:r>
        <w:rPr>
          <w:rFonts w:hint="default" w:ascii="Times New Roman" w:hAnsi="Times New Roman" w:eastAsia="方正仿宋_GBK" w:cs="Times New Roman"/>
          <w:kern w:val="2"/>
          <w:sz w:val="32"/>
          <w:szCs w:val="32"/>
          <w:highlight w:val="none"/>
          <w:lang w:val="en-US" w:eastAsia="zh-CN" w:bidi="ar"/>
        </w:rPr>
        <w:t>需执行需求响应、有序用电措施时，应经</w:t>
      </w:r>
      <w:r>
        <w:rPr>
          <w:rFonts w:hint="eastAsia" w:ascii="Times New Roman" w:hAnsi="Times New Roman" w:eastAsia="方正仿宋_GBK" w:cs="Times New Roman"/>
          <w:kern w:val="2"/>
          <w:sz w:val="32"/>
          <w:szCs w:val="32"/>
          <w:highlight w:val="none"/>
          <w:lang w:val="en-US" w:eastAsia="zh-CN" w:bidi="ar"/>
        </w:rPr>
        <w:t>省发展改革委</w:t>
      </w:r>
      <w:r>
        <w:rPr>
          <w:rFonts w:hint="default" w:ascii="Times New Roman" w:hAnsi="Times New Roman" w:eastAsia="方正仿宋_GBK" w:cs="Times New Roman"/>
          <w:kern w:val="2"/>
          <w:sz w:val="32"/>
          <w:szCs w:val="32"/>
          <w:highlight w:val="none"/>
          <w:lang w:val="en-US" w:eastAsia="zh-CN" w:bidi="ar"/>
        </w:rPr>
        <w:t>同意</w:t>
      </w:r>
      <w:r>
        <w:rPr>
          <w:rFonts w:hint="eastAsia" w:ascii="Times New Roman" w:hAnsi="Times New Roman" w:cs="Times New Roman"/>
          <w:kern w:val="2"/>
          <w:sz w:val="32"/>
          <w:szCs w:val="32"/>
          <w:highlight w:val="none"/>
          <w:lang w:val="en-US" w:eastAsia="zh-CN" w:bidi="ar"/>
        </w:rPr>
        <w:t>，我市遵照省下达指标组织实施</w:t>
      </w:r>
      <w:r>
        <w:rPr>
          <w:rFonts w:hint="default" w:ascii="Times New Roman" w:hAnsi="Times New Roman" w:eastAsia="方正仿宋_GBK" w:cs="Times New Roman"/>
          <w:kern w:val="2"/>
          <w:sz w:val="32"/>
          <w:szCs w:val="32"/>
          <w:highlight w:val="none"/>
          <w:lang w:val="en-US" w:eastAsia="zh-CN" w:bidi="ar"/>
        </w:rPr>
        <w:t>。</w:t>
      </w:r>
    </w:p>
    <w:p w14:paraId="0F1DB620">
      <w:pPr>
        <w:keepNext w:val="0"/>
        <w:keepLines w:val="0"/>
        <w:pageBreakBefore w:val="0"/>
        <w:widowControl w:val="0"/>
        <w:suppressLineNumbers w:val="0"/>
        <w:kinsoku/>
        <w:wordWrap/>
        <w:overflowPunct/>
        <w:topLinePunct w:val="0"/>
        <w:autoSpaceDE w:val="0"/>
        <w:autoSpaceDN/>
        <w:bidi w:val="0"/>
        <w:adjustRightInd w:val="0"/>
        <w:snapToGrid w:val="0"/>
        <w:spacing w:before="0" w:beforeLines="0" w:beforeAutospacing="0" w:after="0" w:afterLines="0" w:afterAutospacing="0" w:line="580" w:lineRule="exact"/>
        <w:ind w:left="0" w:leftChars="0" w:right="0" w:rightChars="0" w:firstLine="640" w:firstLineChars="200"/>
        <w:jc w:val="both"/>
        <w:textAlignment w:val="auto"/>
        <w:rPr>
          <w:rFonts w:hint="default" w:ascii="Times New Roman" w:hAnsi="Times New Roman" w:eastAsia="方正仿宋_GBK" w:cs="Times New Roman"/>
          <w:kern w:val="2"/>
          <w:sz w:val="32"/>
          <w:szCs w:val="32"/>
          <w:highlight w:val="none"/>
        </w:rPr>
      </w:pPr>
      <w:r>
        <w:rPr>
          <w:rFonts w:hint="default" w:ascii="方正楷体_GBK" w:hAnsi="方正楷体_GBK" w:eastAsia="方正楷体_GBK" w:cs="方正楷体_GBK"/>
          <w:b w:val="0"/>
          <w:bCs/>
          <w:kern w:val="2"/>
          <w:sz w:val="32"/>
          <w:szCs w:val="32"/>
          <w:lang w:val="en-US" w:eastAsia="zh-CN" w:bidi="ar"/>
        </w:rPr>
        <w:t>（一</w:t>
      </w:r>
      <w:r>
        <w:rPr>
          <w:rFonts w:hint="default" w:ascii="方正楷体_GBK" w:hAnsi="方正楷体_GBK" w:eastAsia="方正楷体_GBK" w:cs="方正楷体_GBK"/>
          <w:b w:val="0"/>
          <w:bCs/>
          <w:kern w:val="2"/>
          <w:sz w:val="32"/>
          <w:szCs w:val="32"/>
          <w:highlight w:val="none"/>
          <w:lang w:val="en-US" w:eastAsia="zh-CN" w:bidi="ar"/>
        </w:rPr>
        <w:t>）河北南网</w:t>
      </w:r>
      <w:r>
        <w:rPr>
          <w:rFonts w:hint="eastAsia" w:ascii="Times New Roman" w:hAnsi="Times New Roman" w:cs="Times New Roman"/>
          <w:kern w:val="2"/>
          <w:sz w:val="32"/>
          <w:szCs w:val="32"/>
          <w:highlight w:val="none"/>
          <w:lang w:val="en-US" w:eastAsia="zh-CN" w:bidi="ar"/>
        </w:rPr>
        <w:t>80</w:t>
      </w:r>
      <w:r>
        <w:rPr>
          <w:rFonts w:hint="default" w:ascii="方正楷体_GBK" w:hAnsi="方正楷体_GBK" w:eastAsia="方正楷体_GBK" w:cs="方正楷体_GBK"/>
          <w:b w:val="0"/>
          <w:bCs/>
          <w:kern w:val="2"/>
          <w:sz w:val="32"/>
          <w:szCs w:val="32"/>
          <w:highlight w:val="none"/>
          <w:lang w:val="en-US" w:eastAsia="zh-CN" w:bidi="ar"/>
        </w:rPr>
        <w:t>万千瓦缺口以内，</w:t>
      </w:r>
      <w:r>
        <w:rPr>
          <w:rFonts w:hint="default" w:ascii="Times New Roman" w:hAnsi="Times New Roman" w:eastAsia="方正仿宋_GBK" w:cs="Times New Roman"/>
          <w:kern w:val="2"/>
          <w:sz w:val="32"/>
          <w:szCs w:val="32"/>
          <w:highlight w:val="none"/>
          <w:lang w:val="en-US" w:eastAsia="zh-CN" w:bidi="ar"/>
        </w:rPr>
        <w:t>采用景观照明关停、工业企业顶峰检修、用户侧储能调节、自备电厂调产增发等负荷管理前置措施应对。</w:t>
      </w:r>
    </w:p>
    <w:p w14:paraId="331EB1B1">
      <w:pPr>
        <w:keepNext w:val="0"/>
        <w:keepLines w:val="0"/>
        <w:pageBreakBefore w:val="0"/>
        <w:widowControl w:val="0"/>
        <w:suppressLineNumbers w:val="0"/>
        <w:kinsoku/>
        <w:wordWrap/>
        <w:overflowPunct/>
        <w:topLinePunct w:val="0"/>
        <w:autoSpaceDE w:val="0"/>
        <w:autoSpaceDN/>
        <w:bidi w:val="0"/>
        <w:adjustRightInd w:val="0"/>
        <w:snapToGrid w:val="0"/>
        <w:spacing w:before="0" w:beforeLines="0" w:beforeAutospacing="0" w:after="0" w:afterLines="0" w:afterAutospacing="0" w:line="580" w:lineRule="exact"/>
        <w:ind w:left="0" w:leftChars="0" w:right="0" w:rightChars="0" w:firstLine="640" w:firstLineChars="200"/>
        <w:jc w:val="both"/>
        <w:textAlignment w:val="auto"/>
        <w:rPr>
          <w:rFonts w:hint="default" w:ascii="Times New Roman" w:hAnsi="Times New Roman" w:eastAsia="方正仿宋_GBK" w:cs="Times New Roman"/>
          <w:b w:val="0"/>
          <w:kern w:val="2"/>
          <w:sz w:val="32"/>
          <w:szCs w:val="32"/>
          <w:highlight w:val="none"/>
        </w:rPr>
      </w:pPr>
      <w:r>
        <w:rPr>
          <w:rFonts w:hint="default" w:ascii="方正楷体_GBK" w:hAnsi="方正楷体_GBK" w:eastAsia="方正楷体_GBK" w:cs="方正楷体_GBK"/>
          <w:b w:val="0"/>
          <w:bCs/>
          <w:kern w:val="2"/>
          <w:sz w:val="32"/>
          <w:szCs w:val="32"/>
          <w:highlight w:val="none"/>
          <w:lang w:val="en-US" w:eastAsia="zh-CN" w:bidi="ar"/>
        </w:rPr>
        <w:t>（二）河北南网</w:t>
      </w:r>
      <w:r>
        <w:rPr>
          <w:rFonts w:hint="eastAsia" w:ascii="Times New Roman" w:hAnsi="Times New Roman" w:cs="Times New Roman"/>
          <w:kern w:val="2"/>
          <w:sz w:val="32"/>
          <w:szCs w:val="32"/>
          <w:highlight w:val="none"/>
          <w:lang w:val="en-US" w:eastAsia="zh-CN" w:bidi="ar"/>
        </w:rPr>
        <w:t>80</w:t>
      </w:r>
      <w:r>
        <w:rPr>
          <w:rFonts w:hint="default" w:ascii="方正楷体_GBK" w:hAnsi="方正楷体_GBK" w:eastAsia="方正楷体_GBK" w:cs="方正楷体_GBK"/>
          <w:b w:val="0"/>
          <w:bCs/>
          <w:kern w:val="2"/>
          <w:sz w:val="32"/>
          <w:szCs w:val="32"/>
          <w:highlight w:val="none"/>
          <w:lang w:val="en-US" w:eastAsia="zh-CN" w:bidi="ar"/>
        </w:rPr>
        <w:t>万千瓦</w:t>
      </w:r>
      <w:r>
        <w:rPr>
          <w:rFonts w:hint="eastAsia" w:ascii="方正楷体_GBK" w:hAnsi="方正楷体_GBK" w:eastAsia="方正楷体_GBK" w:cs="方正楷体_GBK"/>
          <w:b w:val="0"/>
          <w:bCs/>
          <w:kern w:val="2"/>
          <w:sz w:val="32"/>
          <w:szCs w:val="32"/>
          <w:highlight w:val="none"/>
          <w:lang w:val="en-US" w:eastAsia="zh-CN" w:bidi="ar"/>
        </w:rPr>
        <w:t>—</w:t>
      </w:r>
      <w:r>
        <w:rPr>
          <w:rFonts w:hint="eastAsia" w:ascii="Times New Roman" w:hAnsi="Times New Roman" w:eastAsia="方正仿宋_GBK" w:cs="Times New Roman"/>
          <w:kern w:val="2"/>
          <w:sz w:val="32"/>
          <w:szCs w:val="32"/>
          <w:highlight w:val="none"/>
          <w:lang w:val="en-US" w:eastAsia="zh-CN" w:bidi="ar"/>
        </w:rPr>
        <w:t>500</w:t>
      </w:r>
      <w:r>
        <w:rPr>
          <w:rFonts w:hint="default" w:ascii="方正楷体_GBK" w:hAnsi="方正楷体_GBK" w:eastAsia="方正楷体_GBK" w:cs="方正楷体_GBK"/>
          <w:b w:val="0"/>
          <w:bCs/>
          <w:kern w:val="2"/>
          <w:sz w:val="32"/>
          <w:szCs w:val="32"/>
          <w:highlight w:val="none"/>
          <w:lang w:val="en-US" w:eastAsia="zh-CN" w:bidi="ar"/>
        </w:rPr>
        <w:t>万千瓦缺口，</w:t>
      </w:r>
      <w:r>
        <w:rPr>
          <w:rFonts w:hint="default" w:ascii="Times New Roman" w:hAnsi="Times New Roman" w:eastAsia="方正仿宋_GBK" w:cs="Times New Roman"/>
          <w:b w:val="0"/>
          <w:kern w:val="2"/>
          <w:sz w:val="32"/>
          <w:szCs w:val="32"/>
          <w:highlight w:val="none"/>
          <w:lang w:val="en-US" w:eastAsia="zh-CN" w:bidi="ar"/>
        </w:rPr>
        <w:t>采用</w:t>
      </w:r>
      <w:r>
        <w:rPr>
          <w:rFonts w:hint="eastAsia" w:ascii="Times New Roman" w:hAnsi="Times New Roman" w:cs="Times New Roman"/>
          <w:b w:val="0"/>
          <w:kern w:val="2"/>
          <w:sz w:val="32"/>
          <w:szCs w:val="32"/>
          <w:highlight w:val="none"/>
          <w:lang w:val="en-US" w:eastAsia="zh-CN" w:bidi="ar"/>
        </w:rPr>
        <w:t>“</w:t>
      </w:r>
      <w:r>
        <w:rPr>
          <w:rFonts w:hint="default" w:ascii="Times New Roman" w:hAnsi="Times New Roman" w:eastAsia="方正仿宋_GBK" w:cs="Times New Roman"/>
          <w:b w:val="0"/>
          <w:bCs w:val="0"/>
          <w:kern w:val="2"/>
          <w:sz w:val="32"/>
          <w:szCs w:val="22"/>
          <w:highlight w:val="none"/>
          <w:lang w:val="en-US" w:eastAsia="zh-CN" w:bidi="ar-SA"/>
        </w:rPr>
        <w:t>负荷管理前置措施+</w:t>
      </w:r>
      <w:r>
        <w:rPr>
          <w:rFonts w:hint="default" w:ascii="Times New Roman" w:hAnsi="Times New Roman" w:eastAsia="方正仿宋_GBK" w:cs="Times New Roman"/>
          <w:b w:val="0"/>
          <w:kern w:val="2"/>
          <w:sz w:val="32"/>
          <w:szCs w:val="32"/>
          <w:highlight w:val="none"/>
          <w:lang w:val="en-US" w:eastAsia="zh-CN" w:bidi="ar"/>
        </w:rPr>
        <w:t>需求响应方式</w:t>
      </w:r>
      <w:r>
        <w:rPr>
          <w:rFonts w:hint="eastAsia" w:ascii="Times New Roman" w:hAnsi="Times New Roman" w:cs="Times New Roman"/>
          <w:b w:val="0"/>
          <w:kern w:val="2"/>
          <w:sz w:val="32"/>
          <w:szCs w:val="32"/>
          <w:highlight w:val="none"/>
          <w:lang w:val="en-US" w:eastAsia="zh-CN" w:bidi="ar"/>
        </w:rPr>
        <w:t>”</w:t>
      </w:r>
      <w:r>
        <w:rPr>
          <w:rFonts w:hint="default" w:ascii="Times New Roman" w:hAnsi="Times New Roman" w:eastAsia="方正仿宋_GBK" w:cs="Times New Roman"/>
          <w:b w:val="0"/>
          <w:kern w:val="2"/>
          <w:sz w:val="32"/>
          <w:szCs w:val="32"/>
          <w:highlight w:val="none"/>
          <w:lang w:val="en-US" w:eastAsia="zh-CN" w:bidi="ar"/>
        </w:rPr>
        <w:t>应对</w:t>
      </w:r>
      <w:r>
        <w:rPr>
          <w:rFonts w:hint="eastAsia" w:ascii="Times New Roman" w:hAnsi="Times New Roman" w:eastAsia="方正仿宋_GBK" w:cs="Times New Roman"/>
          <w:b w:val="0"/>
          <w:kern w:val="2"/>
          <w:sz w:val="32"/>
          <w:szCs w:val="32"/>
          <w:highlight w:val="none"/>
          <w:lang w:val="en-US" w:eastAsia="zh-CN" w:bidi="ar"/>
        </w:rPr>
        <w:t>。</w:t>
      </w:r>
      <w:r>
        <w:rPr>
          <w:rFonts w:hint="default" w:ascii="Times New Roman" w:hAnsi="Times New Roman" w:eastAsia="方正仿宋_GBK" w:cs="Times New Roman"/>
          <w:b w:val="0"/>
          <w:kern w:val="2"/>
          <w:sz w:val="32"/>
          <w:szCs w:val="32"/>
          <w:highlight w:val="none"/>
          <w:lang w:val="en-US" w:eastAsia="zh-CN" w:bidi="ar"/>
        </w:rPr>
        <w:t>按照需求响应</w:t>
      </w:r>
      <w:r>
        <w:rPr>
          <w:rFonts w:hint="eastAsia" w:ascii="Times New Roman" w:hAnsi="Times New Roman" w:eastAsia="方正仿宋_GBK" w:cs="Times New Roman"/>
          <w:b w:val="0"/>
          <w:kern w:val="2"/>
          <w:sz w:val="32"/>
          <w:szCs w:val="32"/>
          <w:highlight w:val="none"/>
          <w:lang w:val="en-US" w:eastAsia="zh-CN" w:bidi="ar"/>
        </w:rPr>
        <w:t>市场运营规则</w:t>
      </w:r>
      <w:r>
        <w:rPr>
          <w:rFonts w:hint="default" w:ascii="Times New Roman" w:hAnsi="Times New Roman" w:eastAsia="方正仿宋_GBK" w:cs="Times New Roman"/>
          <w:b w:val="0"/>
          <w:kern w:val="2"/>
          <w:sz w:val="32"/>
          <w:szCs w:val="32"/>
          <w:highlight w:val="none"/>
          <w:lang w:val="en-US" w:eastAsia="zh-CN" w:bidi="ar"/>
        </w:rPr>
        <w:t>发起用户邀约，形成应约序位。</w:t>
      </w:r>
    </w:p>
    <w:p w14:paraId="61EA02E6">
      <w:pPr>
        <w:keepNext w:val="0"/>
        <w:keepLines w:val="0"/>
        <w:pageBreakBefore w:val="0"/>
        <w:widowControl w:val="0"/>
        <w:suppressLineNumbers w:val="0"/>
        <w:kinsoku/>
        <w:wordWrap/>
        <w:overflowPunct/>
        <w:topLinePunct w:val="0"/>
        <w:autoSpaceDE w:val="0"/>
        <w:autoSpaceDN/>
        <w:bidi w:val="0"/>
        <w:adjustRightInd w:val="0"/>
        <w:snapToGrid w:val="0"/>
        <w:spacing w:before="0" w:beforeLines="0" w:beforeAutospacing="0" w:after="0" w:afterLines="0" w:afterAutospacing="0" w:line="580" w:lineRule="exact"/>
        <w:ind w:left="0" w:leftChars="0" w:right="0" w:rightChars="0" w:firstLine="640" w:firstLineChars="200"/>
        <w:jc w:val="both"/>
        <w:textAlignment w:val="auto"/>
        <w:rPr>
          <w:rFonts w:hint="default" w:ascii="Times New Roman" w:hAnsi="Times New Roman" w:eastAsia="方正仿宋_GBK" w:cs="Times New Roman"/>
          <w:b w:val="0"/>
          <w:kern w:val="2"/>
          <w:sz w:val="32"/>
          <w:szCs w:val="32"/>
          <w:highlight w:val="none"/>
        </w:rPr>
      </w:pPr>
      <w:r>
        <w:rPr>
          <w:rFonts w:hint="default" w:ascii="方正楷体_GBK" w:hAnsi="方正楷体_GBK" w:eastAsia="方正楷体_GBK" w:cs="方正楷体_GBK"/>
          <w:b w:val="0"/>
          <w:bCs/>
          <w:kern w:val="2"/>
          <w:sz w:val="32"/>
          <w:szCs w:val="32"/>
          <w:highlight w:val="none"/>
          <w:lang w:val="en-US" w:eastAsia="zh-CN" w:bidi="ar"/>
        </w:rPr>
        <w:t>（三）河北南网</w:t>
      </w:r>
      <w:r>
        <w:rPr>
          <w:rFonts w:hint="eastAsia" w:ascii="Times New Roman" w:hAnsi="Times New Roman" w:eastAsia="方正仿宋_GBK" w:cs="Times New Roman"/>
          <w:kern w:val="2"/>
          <w:sz w:val="32"/>
          <w:szCs w:val="32"/>
          <w:highlight w:val="none"/>
          <w:lang w:val="en-US" w:eastAsia="zh-CN" w:bidi="ar"/>
        </w:rPr>
        <w:t>500</w:t>
      </w:r>
      <w:r>
        <w:rPr>
          <w:rFonts w:hint="default" w:ascii="方正楷体_GBK" w:hAnsi="方正楷体_GBK" w:eastAsia="方正楷体_GBK" w:cs="方正楷体_GBK"/>
          <w:b w:val="0"/>
          <w:bCs/>
          <w:kern w:val="2"/>
          <w:sz w:val="32"/>
          <w:szCs w:val="32"/>
          <w:highlight w:val="none"/>
          <w:lang w:val="en-US" w:eastAsia="zh-CN" w:bidi="ar"/>
        </w:rPr>
        <w:t>万千瓦缺口以上，</w:t>
      </w:r>
      <w:r>
        <w:rPr>
          <w:rFonts w:hint="default" w:ascii="Times New Roman" w:hAnsi="Times New Roman" w:eastAsia="方正仿宋_GBK" w:cs="Times New Roman"/>
          <w:b w:val="0"/>
          <w:kern w:val="2"/>
          <w:sz w:val="32"/>
          <w:szCs w:val="32"/>
          <w:highlight w:val="none"/>
          <w:lang w:val="en-US" w:eastAsia="zh-CN" w:bidi="ar"/>
        </w:rPr>
        <w:t>采用</w:t>
      </w:r>
      <w:r>
        <w:rPr>
          <w:rFonts w:hint="eastAsia" w:ascii="Times New Roman" w:hAnsi="Times New Roman" w:cs="Times New Roman"/>
          <w:b w:val="0"/>
          <w:kern w:val="2"/>
          <w:sz w:val="32"/>
          <w:szCs w:val="32"/>
          <w:highlight w:val="none"/>
          <w:lang w:val="en-US" w:eastAsia="zh-CN" w:bidi="ar"/>
        </w:rPr>
        <w:t>“</w:t>
      </w:r>
      <w:r>
        <w:rPr>
          <w:rFonts w:hint="default" w:ascii="Times New Roman" w:hAnsi="Times New Roman" w:eastAsia="方正仿宋_GBK" w:cs="Times New Roman"/>
          <w:b w:val="0"/>
          <w:bCs w:val="0"/>
          <w:kern w:val="2"/>
          <w:sz w:val="32"/>
          <w:szCs w:val="22"/>
          <w:highlight w:val="none"/>
          <w:lang w:val="en-US" w:eastAsia="zh-CN" w:bidi="ar-SA"/>
        </w:rPr>
        <w:t>负荷管理前置措施+需求响应+有序用电方式</w:t>
      </w:r>
      <w:r>
        <w:rPr>
          <w:rFonts w:hint="eastAsia" w:ascii="Times New Roman" w:hAnsi="Times New Roman" w:cs="Times New Roman"/>
          <w:b w:val="0"/>
          <w:kern w:val="2"/>
          <w:sz w:val="32"/>
          <w:szCs w:val="32"/>
          <w:highlight w:val="none"/>
          <w:lang w:val="en-US" w:eastAsia="zh-CN" w:bidi="ar"/>
        </w:rPr>
        <w:t>”</w:t>
      </w:r>
      <w:r>
        <w:rPr>
          <w:rFonts w:hint="default" w:ascii="Times New Roman" w:hAnsi="Times New Roman" w:eastAsia="方正仿宋_GBK" w:cs="Times New Roman"/>
          <w:b w:val="0"/>
          <w:bCs w:val="0"/>
          <w:kern w:val="2"/>
          <w:sz w:val="32"/>
          <w:szCs w:val="22"/>
          <w:highlight w:val="none"/>
          <w:lang w:val="en-US" w:eastAsia="zh-CN" w:bidi="ar-SA"/>
        </w:rPr>
        <w:t>应对。在采取上述措施基础上，</w:t>
      </w:r>
      <w:r>
        <w:rPr>
          <w:rFonts w:hint="default" w:ascii="Times New Roman" w:hAnsi="Times New Roman" w:eastAsia="方正仿宋_GBK" w:cs="Times New Roman"/>
          <w:b w:val="0"/>
          <w:kern w:val="2"/>
          <w:sz w:val="32"/>
          <w:szCs w:val="32"/>
          <w:highlight w:val="none"/>
          <w:lang w:val="en-US" w:eastAsia="zh-CN" w:bidi="ar"/>
        </w:rPr>
        <w:t>报请</w:t>
      </w:r>
      <w:r>
        <w:rPr>
          <w:rFonts w:hint="eastAsia" w:ascii="Times New Roman" w:hAnsi="Times New Roman" w:eastAsia="方正仿宋_GBK" w:cs="Times New Roman"/>
          <w:b w:val="0"/>
          <w:kern w:val="2"/>
          <w:sz w:val="32"/>
          <w:szCs w:val="32"/>
          <w:highlight w:val="none"/>
          <w:lang w:val="en-US" w:eastAsia="zh-CN" w:bidi="ar"/>
        </w:rPr>
        <w:t>市</w:t>
      </w:r>
      <w:r>
        <w:rPr>
          <w:rFonts w:hint="default" w:ascii="Times New Roman" w:hAnsi="Times New Roman" w:eastAsia="方正仿宋_GBK" w:cs="Times New Roman"/>
          <w:b w:val="0"/>
          <w:kern w:val="2"/>
          <w:sz w:val="32"/>
          <w:szCs w:val="32"/>
          <w:highlight w:val="none"/>
          <w:lang w:val="en-US" w:eastAsia="zh-CN" w:bidi="ar"/>
        </w:rPr>
        <w:t>政府同意，在政府指导下，统筹</w:t>
      </w:r>
      <w:r>
        <w:rPr>
          <w:rFonts w:hint="default" w:ascii="Times New Roman" w:hAnsi="Times New Roman" w:eastAsia="方正仿宋_GBK" w:cs="Times New Roman"/>
          <w:kern w:val="2"/>
          <w:sz w:val="32"/>
          <w:szCs w:val="32"/>
          <w:highlight w:val="none"/>
          <w:lang w:val="en-US" w:eastAsia="zh-CN" w:bidi="ar"/>
        </w:rPr>
        <w:t>双高用户限产、周期性轮休轮停等有序用电策略，</w:t>
      </w:r>
      <w:r>
        <w:rPr>
          <w:rFonts w:hint="default" w:ascii="Times New Roman" w:hAnsi="Times New Roman" w:eastAsia="方正仿宋_GBK" w:cs="Times New Roman"/>
          <w:b w:val="0"/>
          <w:kern w:val="2"/>
          <w:sz w:val="32"/>
          <w:szCs w:val="32"/>
          <w:highlight w:val="none"/>
          <w:lang w:val="en-US" w:eastAsia="zh-CN" w:bidi="ar"/>
        </w:rPr>
        <w:t>制定有序用电实施方案并发布执行。</w:t>
      </w:r>
    </w:p>
    <w:p w14:paraId="3A911D8C">
      <w:pPr>
        <w:pStyle w:val="3"/>
        <w:keepNext w:val="0"/>
        <w:keepLines w:val="0"/>
        <w:pageBreakBefore w:val="0"/>
        <w:widowControl w:val="0"/>
        <w:kinsoku/>
        <w:wordWrap/>
        <w:overflowPunct/>
        <w:topLinePunct w:val="0"/>
        <w:autoSpaceDE/>
        <w:autoSpaceDN/>
        <w:bidi w:val="0"/>
        <w:adjustRightInd/>
        <w:snapToGrid/>
        <w:spacing w:after="0" w:line="580" w:lineRule="exact"/>
        <w:ind w:firstLine="640" w:firstLineChars="200"/>
        <w:textAlignment w:val="auto"/>
        <w:rPr>
          <w:rFonts w:hint="default"/>
          <w:highlight w:val="none"/>
          <w:lang w:val="en-US" w:eastAsia="zh-CN"/>
        </w:rPr>
      </w:pPr>
      <w:r>
        <w:rPr>
          <w:rFonts w:hint="default" w:ascii="方正楷体_GBK" w:hAnsi="方正楷体_GBK" w:eastAsia="方正楷体_GBK" w:cs="方正楷体_GBK"/>
          <w:b w:val="0"/>
          <w:bCs/>
          <w:kern w:val="2"/>
          <w:sz w:val="32"/>
          <w:szCs w:val="32"/>
          <w:highlight w:val="none"/>
          <w:lang w:val="en-US" w:eastAsia="zh-CN" w:bidi="ar"/>
        </w:rPr>
        <w:t>（四）出现长时间供应缺口，</w:t>
      </w:r>
      <w:r>
        <w:rPr>
          <w:rFonts w:hint="default" w:ascii="Times New Roman" w:hAnsi="Times New Roman" w:eastAsia="方正仿宋_GBK" w:cs="Times New Roman"/>
          <w:b w:val="0"/>
          <w:kern w:val="2"/>
          <w:sz w:val="32"/>
          <w:szCs w:val="32"/>
          <w:highlight w:val="none"/>
          <w:lang w:val="en-US" w:eastAsia="zh-CN" w:bidi="ar"/>
        </w:rPr>
        <w:t>负荷管理前置措施持续时间为3天，在河北南网出现</w:t>
      </w:r>
      <w:r>
        <w:rPr>
          <w:rFonts w:hint="eastAsia" w:ascii="Times New Roman" w:hAnsi="Times New Roman" w:eastAsia="方正仿宋_GBK" w:cs="Times New Roman"/>
          <w:kern w:val="2"/>
          <w:sz w:val="32"/>
          <w:szCs w:val="32"/>
          <w:highlight w:val="none"/>
          <w:lang w:val="en-US" w:eastAsia="zh-CN" w:bidi="ar"/>
        </w:rPr>
        <w:t>100</w:t>
      </w:r>
      <w:r>
        <w:rPr>
          <w:rFonts w:hint="default" w:ascii="Times New Roman" w:hAnsi="Times New Roman" w:eastAsia="方正仿宋_GBK" w:cs="Times New Roman"/>
          <w:b w:val="0"/>
          <w:kern w:val="2"/>
          <w:sz w:val="32"/>
          <w:szCs w:val="32"/>
          <w:highlight w:val="none"/>
          <w:lang w:val="en-US" w:eastAsia="zh-CN" w:bidi="ar"/>
        </w:rPr>
        <w:t>万千瓦以内缺口且持续3天以上时，需同步启动需求响应措施。需求响应用户响应能力随着持续时间增加不断衰减，当河北南网出现</w:t>
      </w:r>
      <w:r>
        <w:rPr>
          <w:rFonts w:hint="eastAsia" w:ascii="Times New Roman" w:hAnsi="Times New Roman" w:eastAsia="方正仿宋_GBK" w:cs="Times New Roman"/>
          <w:kern w:val="2"/>
          <w:sz w:val="32"/>
          <w:szCs w:val="32"/>
          <w:highlight w:val="none"/>
          <w:lang w:val="en-US" w:eastAsia="zh-CN" w:bidi="ar"/>
        </w:rPr>
        <w:t>500</w:t>
      </w:r>
      <w:r>
        <w:rPr>
          <w:rFonts w:hint="default" w:ascii="Times New Roman" w:hAnsi="Times New Roman" w:eastAsia="方正仿宋_GBK" w:cs="Times New Roman"/>
          <w:b w:val="0"/>
          <w:kern w:val="2"/>
          <w:sz w:val="32"/>
          <w:szCs w:val="32"/>
          <w:highlight w:val="none"/>
          <w:lang w:val="en-US" w:eastAsia="zh-CN" w:bidi="ar"/>
        </w:rPr>
        <w:t>万千瓦以内缺口持续时间较长用户应约容量不足时，需同步启动有序用电措施。</w:t>
      </w:r>
    </w:p>
    <w:p w14:paraId="460DA08B">
      <w:pPr>
        <w:keepNext w:val="0"/>
        <w:keepLines w:val="0"/>
        <w:pageBreakBefore w:val="0"/>
        <w:widowControl w:val="0"/>
        <w:tabs>
          <w:tab w:val="left" w:pos="720"/>
          <w:tab w:val="left" w:pos="900"/>
          <w:tab w:val="left" w:pos="1080"/>
          <w:tab w:val="left" w:pos="1260"/>
          <w:tab w:val="left" w:pos="1440"/>
          <w:tab w:val="left" w:pos="1620"/>
        </w:tabs>
        <w:kinsoku/>
        <w:wordWrap/>
        <w:overflowPunct w:val="0"/>
        <w:topLinePunct w:val="0"/>
        <w:autoSpaceDE/>
        <w:autoSpaceDN/>
        <w:bidi w:val="0"/>
        <w:adjustRightInd/>
        <w:snapToGrid/>
        <w:spacing w:line="580" w:lineRule="exact"/>
        <w:ind w:firstLine="640" w:firstLineChars="200"/>
        <w:textAlignment w:val="auto"/>
        <w:rPr>
          <w:rFonts w:hint="default" w:ascii="Times New Roman" w:hAnsi="Times New Roman" w:eastAsia="方正黑体_GBK" w:cs="Times New Roman"/>
          <w:sz w:val="32"/>
          <w:szCs w:val="32"/>
          <w:highlight w:val="none"/>
          <w:lang w:val="en-US" w:eastAsia="zh-CN"/>
        </w:rPr>
      </w:pPr>
      <w:r>
        <w:rPr>
          <w:rFonts w:hint="eastAsia" w:ascii="Times New Roman" w:hAnsi="Times New Roman" w:eastAsia="方正黑体_GBK" w:cs="Times New Roman"/>
          <w:sz w:val="32"/>
          <w:szCs w:val="32"/>
          <w:highlight w:val="none"/>
          <w:lang w:val="en-US" w:eastAsia="zh-CN"/>
        </w:rPr>
        <w:t>五</w:t>
      </w:r>
      <w:r>
        <w:rPr>
          <w:rFonts w:hint="default" w:ascii="Times New Roman" w:hAnsi="Times New Roman" w:eastAsia="方正黑体_GBK" w:cs="Times New Roman"/>
          <w:sz w:val="32"/>
          <w:szCs w:val="32"/>
          <w:highlight w:val="none"/>
          <w:lang w:val="en-US" w:eastAsia="zh-CN"/>
        </w:rPr>
        <w:t>、</w:t>
      </w:r>
      <w:r>
        <w:rPr>
          <w:rFonts w:hint="eastAsia" w:ascii="Times New Roman" w:hAnsi="Times New Roman" w:eastAsia="方正黑体_GBK" w:cs="Times New Roman"/>
          <w:sz w:val="32"/>
          <w:szCs w:val="32"/>
          <w:highlight w:val="none"/>
          <w:lang w:val="en-US" w:eastAsia="zh-CN"/>
        </w:rPr>
        <w:t>工作要求</w:t>
      </w:r>
    </w:p>
    <w:p w14:paraId="05FBDC3C">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580" w:lineRule="exact"/>
        <w:ind w:left="0" w:leftChars="0" w:right="0" w:rightChars="0" w:firstLine="640" w:firstLineChars="200"/>
        <w:jc w:val="both"/>
        <w:textAlignment w:val="auto"/>
        <w:rPr>
          <w:rFonts w:hint="default" w:ascii="Times New Roman" w:hAnsi="Times New Roman" w:eastAsia="方正仿宋_GBK" w:cs="Times New Roman"/>
          <w:kern w:val="2"/>
          <w:sz w:val="32"/>
          <w:szCs w:val="32"/>
        </w:rPr>
      </w:pPr>
      <w:r>
        <w:rPr>
          <w:rFonts w:hint="default" w:ascii="方正楷体_GBK" w:hAnsi="方正楷体_GBK" w:eastAsia="方正楷体_GBK" w:cs="方正楷体_GBK"/>
          <w:b w:val="0"/>
          <w:bCs/>
          <w:kern w:val="2"/>
          <w:sz w:val="32"/>
          <w:szCs w:val="32"/>
          <w:lang w:val="en-US" w:eastAsia="zh-CN" w:bidi="ar"/>
        </w:rPr>
        <w:t>（一）规范组织实施。</w:t>
      </w:r>
      <w:r>
        <w:rPr>
          <w:rFonts w:hint="default" w:ascii="Times New Roman" w:hAnsi="Times New Roman" w:eastAsia="方正仿宋_GBK" w:cs="Times New Roman"/>
          <w:b w:val="0"/>
          <w:bCs w:val="0"/>
          <w:kern w:val="2"/>
          <w:sz w:val="32"/>
          <w:szCs w:val="32"/>
          <w:lang w:val="en-US" w:eastAsia="zh-CN" w:bidi="ar"/>
        </w:rPr>
        <w:t>各县（市、区）电力运行管理部门要组织供电企业和配售电公司，结合当地负荷情况和供电薄弱环节，做好电力负荷管理方案修订。各</w:t>
      </w:r>
      <w:r>
        <w:rPr>
          <w:rFonts w:hint="default" w:ascii="Times New Roman" w:hAnsi="Times New Roman" w:eastAsia="方正仿宋_GBK" w:cs="Times New Roman"/>
          <w:kern w:val="2"/>
          <w:sz w:val="32"/>
          <w:szCs w:val="32"/>
          <w:lang w:val="en-US" w:eastAsia="zh-CN" w:bidi="ar"/>
        </w:rPr>
        <w:t>县（市、区）</w:t>
      </w:r>
      <w:r>
        <w:rPr>
          <w:rFonts w:hint="default" w:ascii="Times New Roman" w:hAnsi="Times New Roman" w:eastAsia="方正仿宋_GBK" w:cs="Times New Roman"/>
          <w:b w:val="0"/>
          <w:bCs w:val="0"/>
          <w:kern w:val="2"/>
          <w:sz w:val="32"/>
          <w:szCs w:val="32"/>
          <w:lang w:val="en-US" w:eastAsia="zh-CN" w:bidi="ar"/>
        </w:rPr>
        <w:t>方案及用户明细要在</w:t>
      </w:r>
      <w:r>
        <w:rPr>
          <w:rFonts w:hint="eastAsia" w:ascii="Times New Roman" w:hAnsi="Times New Roman" w:cs="Times New Roman"/>
          <w:b w:val="0"/>
          <w:bCs w:val="0"/>
          <w:kern w:val="2"/>
          <w:sz w:val="32"/>
          <w:szCs w:val="32"/>
          <w:lang w:val="en-US" w:eastAsia="zh-CN" w:bidi="ar"/>
        </w:rPr>
        <w:t>6</w:t>
      </w:r>
      <w:r>
        <w:rPr>
          <w:rFonts w:hint="default" w:ascii="Times New Roman" w:hAnsi="Times New Roman" w:eastAsia="方正仿宋_GBK" w:cs="Times New Roman"/>
          <w:b w:val="0"/>
          <w:bCs w:val="0"/>
          <w:kern w:val="2"/>
          <w:sz w:val="32"/>
          <w:szCs w:val="32"/>
          <w:lang w:val="en-US" w:eastAsia="zh-CN" w:bidi="ar"/>
        </w:rPr>
        <w:t>月</w:t>
      </w:r>
      <w:r>
        <w:rPr>
          <w:rFonts w:hint="eastAsia" w:ascii="Times New Roman" w:hAnsi="Times New Roman" w:cs="Times New Roman"/>
          <w:b w:val="0"/>
          <w:bCs w:val="0"/>
          <w:kern w:val="2"/>
          <w:sz w:val="32"/>
          <w:szCs w:val="32"/>
          <w:lang w:val="en-US" w:eastAsia="zh-CN" w:bidi="ar"/>
        </w:rPr>
        <w:t>9</w:t>
      </w:r>
      <w:r>
        <w:rPr>
          <w:rFonts w:hint="default" w:ascii="Times New Roman" w:hAnsi="Times New Roman" w:eastAsia="方正仿宋_GBK" w:cs="Times New Roman"/>
          <w:b w:val="0"/>
          <w:bCs w:val="0"/>
          <w:kern w:val="2"/>
          <w:sz w:val="32"/>
          <w:szCs w:val="32"/>
          <w:lang w:val="en-US" w:eastAsia="zh-CN" w:bidi="ar"/>
        </w:rPr>
        <w:t>日前报</w:t>
      </w:r>
      <w:r>
        <w:rPr>
          <w:rFonts w:hint="eastAsia" w:ascii="Times New Roman" w:hAnsi="Times New Roman" w:eastAsia="方正仿宋_GBK" w:cs="Times New Roman"/>
          <w:b w:val="0"/>
          <w:bCs w:val="0"/>
          <w:kern w:val="2"/>
          <w:sz w:val="32"/>
          <w:szCs w:val="32"/>
          <w:lang w:val="en-US" w:eastAsia="zh-CN" w:bidi="ar"/>
        </w:rPr>
        <w:t>市</w:t>
      </w:r>
      <w:r>
        <w:rPr>
          <w:rFonts w:hint="default" w:ascii="Times New Roman" w:hAnsi="Times New Roman" w:eastAsia="方正仿宋_GBK" w:cs="Times New Roman"/>
          <w:b w:val="0"/>
          <w:bCs w:val="0"/>
          <w:kern w:val="2"/>
          <w:sz w:val="32"/>
          <w:szCs w:val="32"/>
          <w:lang w:val="en-US" w:eastAsia="zh-CN" w:bidi="ar"/>
        </w:rPr>
        <w:t>发展改革委备案。</w:t>
      </w:r>
    </w:p>
    <w:p w14:paraId="388E426B">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580" w:lineRule="exact"/>
        <w:ind w:left="0" w:leftChars="0" w:right="0" w:rightChars="0" w:firstLine="640" w:firstLineChars="200"/>
        <w:jc w:val="both"/>
        <w:textAlignment w:val="auto"/>
        <w:rPr>
          <w:rFonts w:hint="default" w:ascii="Times New Roman" w:hAnsi="Times New Roman" w:eastAsia="方正仿宋_GBK" w:cs="Times New Roman"/>
          <w:kern w:val="2"/>
          <w:sz w:val="32"/>
          <w:szCs w:val="32"/>
        </w:rPr>
      </w:pPr>
      <w:r>
        <w:rPr>
          <w:rFonts w:hint="default" w:ascii="方正楷体_GBK" w:hAnsi="方正楷体_GBK" w:eastAsia="方正楷体_GBK" w:cs="方正楷体_GBK"/>
          <w:b w:val="0"/>
          <w:bCs/>
          <w:kern w:val="2"/>
          <w:sz w:val="32"/>
          <w:szCs w:val="32"/>
          <w:lang w:val="en-US" w:eastAsia="zh-CN" w:bidi="ar"/>
        </w:rPr>
        <w:t>（二）严格责任落实。</w:t>
      </w:r>
      <w:r>
        <w:rPr>
          <w:rFonts w:hint="default" w:ascii="Times New Roman" w:hAnsi="Times New Roman" w:eastAsia="方正仿宋_GBK" w:cs="Times New Roman"/>
          <w:kern w:val="2"/>
          <w:sz w:val="32"/>
          <w:szCs w:val="32"/>
          <w:lang w:val="en-US" w:eastAsia="zh-CN" w:bidi="ar"/>
        </w:rPr>
        <w:t>负荷管理措施执行期间，各</w:t>
      </w:r>
      <w:r>
        <w:rPr>
          <w:rFonts w:hint="eastAsia" w:ascii="Times New Roman" w:hAnsi="Times New Roman" w:eastAsia="方正仿宋_GBK" w:cs="Times New Roman"/>
          <w:kern w:val="2"/>
          <w:sz w:val="32"/>
          <w:szCs w:val="32"/>
          <w:lang w:val="en-US" w:eastAsia="zh-CN" w:bidi="ar"/>
        </w:rPr>
        <w:t>县（市、区）</w:t>
      </w:r>
      <w:r>
        <w:rPr>
          <w:rFonts w:hint="default" w:ascii="Times New Roman" w:hAnsi="Times New Roman" w:eastAsia="方正仿宋_GBK" w:cs="Times New Roman"/>
          <w:kern w:val="2"/>
          <w:sz w:val="32"/>
          <w:szCs w:val="32"/>
          <w:lang w:val="en-US" w:eastAsia="zh-CN" w:bidi="ar"/>
        </w:rPr>
        <w:t>政府</w:t>
      </w:r>
      <w:r>
        <w:rPr>
          <w:rFonts w:hint="eastAsia" w:ascii="Times New Roman" w:hAnsi="Times New Roman" w:eastAsia="方正仿宋_GBK" w:cs="Times New Roman"/>
          <w:kern w:val="2"/>
          <w:sz w:val="32"/>
          <w:szCs w:val="32"/>
          <w:lang w:val="en-US" w:eastAsia="zh-CN" w:bidi="ar"/>
        </w:rPr>
        <w:t>（管委会）</w:t>
      </w:r>
      <w:r>
        <w:rPr>
          <w:rFonts w:hint="default" w:ascii="Times New Roman" w:hAnsi="Times New Roman" w:eastAsia="方正仿宋_GBK" w:cs="Times New Roman"/>
          <w:kern w:val="2"/>
          <w:sz w:val="32"/>
          <w:szCs w:val="32"/>
          <w:lang w:val="en-US" w:eastAsia="zh-CN" w:bidi="ar"/>
        </w:rPr>
        <w:t>要认真履行属地管理责任，在Ⅱ、Ⅰ级预警</w:t>
      </w:r>
      <w:r>
        <w:rPr>
          <w:rFonts w:hint="eastAsia" w:ascii="Times New Roman" w:hAnsi="Times New Roman" w:eastAsia="方正仿宋_GBK" w:cs="Times New Roman"/>
          <w:kern w:val="2"/>
          <w:sz w:val="32"/>
          <w:szCs w:val="32"/>
          <w:lang w:val="en-US" w:eastAsia="zh-CN" w:bidi="ar"/>
        </w:rPr>
        <w:t>时</w:t>
      </w:r>
      <w:r>
        <w:rPr>
          <w:rFonts w:hint="default" w:ascii="Times New Roman" w:hAnsi="Times New Roman" w:eastAsia="方正仿宋_GBK" w:cs="Times New Roman"/>
          <w:kern w:val="2"/>
          <w:sz w:val="32"/>
          <w:szCs w:val="32"/>
          <w:lang w:val="en-US" w:eastAsia="zh-CN" w:bidi="ar"/>
        </w:rPr>
        <w:t>，各县（市、区）政府（管委会）及相关部门主要负责同志要到负荷管理中心现场指挥。电力用户要落实负荷管理的主体责任，按负荷管理预警通知的时间和负荷调控指标，按时足量将负荷压减到位。</w:t>
      </w:r>
    </w:p>
    <w:p w14:paraId="464743F8">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580" w:lineRule="exact"/>
        <w:ind w:left="0" w:leftChars="0" w:right="0" w:rightChars="0" w:firstLine="640" w:firstLineChars="200"/>
        <w:jc w:val="both"/>
        <w:textAlignment w:val="auto"/>
        <w:rPr>
          <w:rFonts w:hint="default" w:ascii="Times New Roman" w:hAnsi="Times New Roman" w:eastAsia="方正仿宋_GBK" w:cs="Times New Roman"/>
          <w:kern w:val="2"/>
          <w:sz w:val="32"/>
          <w:szCs w:val="32"/>
        </w:rPr>
      </w:pPr>
      <w:r>
        <w:rPr>
          <w:rFonts w:hint="default" w:ascii="方正楷体_GBK" w:hAnsi="方正楷体_GBK" w:eastAsia="方正楷体_GBK" w:cs="方正楷体_GBK"/>
          <w:b w:val="0"/>
          <w:bCs/>
          <w:kern w:val="2"/>
          <w:sz w:val="32"/>
          <w:szCs w:val="32"/>
          <w:lang w:val="en-US" w:eastAsia="zh-CN" w:bidi="ar"/>
        </w:rPr>
        <w:t>（三）强化执行督导。</w:t>
      </w:r>
      <w:r>
        <w:rPr>
          <w:rFonts w:hint="default" w:ascii="Times New Roman" w:hAnsi="Times New Roman" w:eastAsia="方正仿宋_GBK" w:cs="Times New Roman"/>
          <w:kern w:val="2"/>
          <w:sz w:val="32"/>
          <w:szCs w:val="32"/>
          <w:lang w:val="en-US" w:eastAsia="zh-CN" w:bidi="ar"/>
        </w:rPr>
        <w:t>负荷管理措施执行期间，各县（市、区）发展改革局</w:t>
      </w:r>
      <w:r>
        <w:rPr>
          <w:rFonts w:hint="eastAsia" w:ascii="Times New Roman" w:hAnsi="Times New Roman" w:cs="Times New Roman"/>
          <w:kern w:val="2"/>
          <w:sz w:val="32"/>
          <w:szCs w:val="32"/>
          <w:lang w:val="en-US" w:eastAsia="zh-CN" w:bidi="ar"/>
        </w:rPr>
        <w:t>（经开区</w:t>
      </w:r>
      <w:r>
        <w:rPr>
          <w:rFonts w:hint="default" w:ascii="Times New Roman" w:hAnsi="Times New Roman" w:eastAsia="方正仿宋_GBK" w:cs="Times New Roman"/>
          <w:kern w:val="2"/>
          <w:sz w:val="32"/>
          <w:szCs w:val="32"/>
          <w:lang w:val="en-US" w:eastAsia="zh-CN" w:bidi="ar"/>
        </w:rPr>
        <w:t>经济发展和招商局，冀南新区经济发展局</w:t>
      </w:r>
      <w:r>
        <w:rPr>
          <w:rFonts w:hint="eastAsia" w:ascii="Times New Roman" w:hAnsi="Times New Roman" w:cs="Times New Roman"/>
          <w:kern w:val="2"/>
          <w:sz w:val="32"/>
          <w:szCs w:val="32"/>
          <w:lang w:val="en-US" w:eastAsia="zh-CN" w:bidi="ar"/>
        </w:rPr>
        <w:t>）</w:t>
      </w:r>
      <w:r>
        <w:rPr>
          <w:rFonts w:hint="default" w:ascii="Times New Roman" w:hAnsi="Times New Roman" w:eastAsia="方正仿宋_GBK" w:cs="Times New Roman"/>
          <w:kern w:val="2"/>
          <w:sz w:val="32"/>
          <w:szCs w:val="32"/>
          <w:lang w:val="en-US" w:eastAsia="zh-CN" w:bidi="ar"/>
        </w:rPr>
        <w:t>、工信、宣传等部门要联合组建督导组进行现场督导检查，对执行负荷管理方案不力、擅自超限额用电的电力用户，要立即责令改正，必要时由电网企业采取远程负荷控制措施，相关后果由用户承担；情节严重并可能影响电网安全的，电网企业履行政府报备并按程序停止供电，并在一定范围内进行通报。</w:t>
      </w:r>
    </w:p>
    <w:p w14:paraId="0AF6DF30">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580" w:lineRule="exact"/>
        <w:ind w:left="0" w:leftChars="0" w:right="0" w:rightChars="0" w:firstLine="640" w:firstLineChars="200"/>
        <w:jc w:val="both"/>
        <w:textAlignment w:val="auto"/>
        <w:rPr>
          <w:rFonts w:hint="default" w:ascii="Times New Roman" w:hAnsi="Times New Roman" w:eastAsia="方正仿宋_GBK" w:cs="Times New Roman"/>
          <w:kern w:val="2"/>
          <w:sz w:val="32"/>
          <w:szCs w:val="32"/>
        </w:rPr>
      </w:pPr>
      <w:r>
        <w:rPr>
          <w:rFonts w:hint="default" w:ascii="方正楷体_GBK" w:hAnsi="方正楷体_GBK" w:eastAsia="方正楷体_GBK" w:cs="方正楷体_GBK"/>
          <w:b w:val="0"/>
          <w:bCs/>
          <w:kern w:val="2"/>
          <w:sz w:val="32"/>
          <w:szCs w:val="32"/>
          <w:lang w:val="en-US" w:eastAsia="zh-CN" w:bidi="ar"/>
        </w:rPr>
        <w:t>（四）做好复盘分析。</w:t>
      </w:r>
      <w:r>
        <w:rPr>
          <w:rFonts w:hint="default" w:ascii="Times New Roman" w:hAnsi="Times New Roman" w:eastAsia="方正仿宋_GBK" w:cs="Times New Roman"/>
          <w:kern w:val="2"/>
          <w:sz w:val="32"/>
          <w:szCs w:val="32"/>
          <w:lang w:val="en-US" w:eastAsia="zh-CN" w:bidi="ar"/>
        </w:rPr>
        <w:t>执行结束后次日8时前，各级电力负荷管理中心应将执行情况报当地电力运行</w:t>
      </w:r>
      <w:r>
        <w:rPr>
          <w:rFonts w:hint="eastAsia" w:ascii="Times New Roman" w:hAnsi="Times New Roman" w:eastAsia="方正仿宋_GBK" w:cs="Times New Roman"/>
          <w:kern w:val="2"/>
          <w:sz w:val="32"/>
          <w:szCs w:val="32"/>
          <w:lang w:val="en-US" w:eastAsia="zh-CN" w:bidi="ar"/>
        </w:rPr>
        <w:t>管理</w:t>
      </w:r>
      <w:r>
        <w:rPr>
          <w:rFonts w:hint="default" w:ascii="Times New Roman" w:hAnsi="Times New Roman" w:eastAsia="方正仿宋_GBK" w:cs="Times New Roman"/>
          <w:kern w:val="2"/>
          <w:sz w:val="32"/>
          <w:szCs w:val="32"/>
          <w:lang w:val="en-US" w:eastAsia="zh-CN" w:bidi="ar"/>
        </w:rPr>
        <w:t>部门。各县（市、区）电力运行管理部门要组织开展负荷管理执行情况复盘，分析执行过程中存在的问题，查漏补缺，滚动完善应急保障措施和处置预案，确保负荷管理流程不断规范完善。</w:t>
      </w:r>
    </w:p>
    <w:p w14:paraId="25BE180C">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580" w:lineRule="exact"/>
        <w:ind w:left="0" w:leftChars="0" w:right="0" w:rightChars="0" w:firstLine="640" w:firstLineChars="200"/>
        <w:jc w:val="both"/>
        <w:textAlignment w:val="auto"/>
        <w:rPr>
          <w:rFonts w:hint="default"/>
          <w:color w:val="FFFFFF" w:themeColor="background1"/>
          <w:lang w:val="en-US" w:eastAsia="zh-CN"/>
          <w14:textFill>
            <w14:solidFill>
              <w14:schemeClr w14:val="bg1"/>
            </w14:solidFill>
          </w14:textFill>
        </w:rPr>
      </w:pPr>
      <w:r>
        <w:rPr>
          <w:rFonts w:hint="default" w:ascii="Times New Roman" w:hAnsi="Times New Roman" w:eastAsia="方正仿宋_GBK" w:cs="Times New Roman"/>
          <w:kern w:val="2"/>
          <w:sz w:val="32"/>
          <w:szCs w:val="32"/>
          <w:lang w:val="en-US" w:eastAsia="zh-CN" w:bidi="ar"/>
        </w:rPr>
        <w:t>该方案有效期至202</w:t>
      </w:r>
      <w:r>
        <w:rPr>
          <w:rFonts w:hint="eastAsia" w:ascii="Times New Roman" w:hAnsi="Times New Roman" w:cs="Times New Roman"/>
          <w:kern w:val="2"/>
          <w:sz w:val="32"/>
          <w:szCs w:val="32"/>
          <w:lang w:val="en-US" w:eastAsia="zh-CN" w:bidi="ar"/>
        </w:rPr>
        <w:t>7</w:t>
      </w:r>
      <w:r>
        <w:rPr>
          <w:rFonts w:hint="default" w:ascii="Times New Roman" w:hAnsi="Times New Roman" w:eastAsia="方正仿宋_GBK" w:cs="Times New Roman"/>
          <w:kern w:val="2"/>
          <w:sz w:val="32"/>
          <w:szCs w:val="32"/>
          <w:lang w:val="en-US" w:eastAsia="zh-CN" w:bidi="ar"/>
        </w:rPr>
        <w:t>年电力负荷管理工作方案发布日。若遇国家政策调整等特殊情况，按最新文件要求执行。</w:t>
      </w:r>
    </w:p>
    <w:sectPr>
      <w:footerReference r:id="rId3" w:type="default"/>
      <w:pgSz w:w="11906" w:h="16838"/>
      <w:pgMar w:top="2098" w:right="1531" w:bottom="1984" w:left="1531" w:header="851" w:footer="1417" w:gutter="0"/>
      <w:pgBorders>
        <w:top w:val="none" w:sz="0" w:space="0"/>
        <w:left w:val="none" w:sz="0" w:space="0"/>
        <w:bottom w:val="none" w:sz="0" w:space="0"/>
        <w:right w:val="none" w:sz="0" w:space="0"/>
      </w:pgBorders>
      <w:pgNumType w:fmt="decimal"/>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6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仿宋">
    <w:altName w:val="方正仿宋_GBK"/>
    <w:panose1 w:val="02010609060101010101"/>
    <w:charset w:val="00"/>
    <w:family w:val="auto"/>
    <w:pitch w:val="default"/>
    <w:sig w:usb0="00000000" w:usb1="00000000"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86"/>
    <w:family w:val="modern"/>
    <w:pitch w:val="default"/>
    <w:sig w:usb0="00000000" w:usb1="00000000" w:usb2="00000000" w:usb3="00000000" w:csb0="00040000" w:csb1="00000000"/>
  </w:font>
  <w:font w:name="CESI宋体-GB13000">
    <w:panose1 w:val="02000500000000000000"/>
    <w:charset w:val="86"/>
    <w:family w:val="auto"/>
    <w:pitch w:val="default"/>
    <w:sig w:usb0="800002BF" w:usb1="18C77CF8" w:usb2="00000016" w:usb3="00000000" w:csb0="0004000F" w:csb1="00000000"/>
  </w:font>
  <w:font w:name="方正黑体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00000001" w:usb1="08000000" w:usb2="00000000" w:usb3="00000000" w:csb0="00040000" w:csb1="00000000"/>
  </w:font>
  <w:font w:name="等线">
    <w:altName w:val="汉仪中宋简"/>
    <w:panose1 w:val="02010600030101010101"/>
    <w:charset w:val="86"/>
    <w:family w:val="auto"/>
    <w:pitch w:val="default"/>
    <w:sig w:usb0="00000000" w:usb1="00000000" w:usb2="00000016" w:usb3="00000000" w:csb0="0004000F" w:csb1="00000000"/>
  </w:font>
  <w:font w:name="汉仪中宋简">
    <w:panose1 w:val="02010600000101010101"/>
    <w:charset w:val="86"/>
    <w:family w:val="auto"/>
    <w:pitch w:val="default"/>
    <w:sig w:usb0="00000001" w:usb1="080E0800" w:usb2="00000002" w:usb3="00000000" w:csb0="00040000" w:csb1="00000000"/>
  </w:font>
  <w:font w:name="国标宋体">
    <w:panose1 w:val="02000500000000000000"/>
    <w:charset w:val="86"/>
    <w:family w:val="auto"/>
    <w:pitch w:val="default"/>
    <w:sig w:usb0="00000001" w:usb1="28000000" w:usb2="00000000" w:usb3="00000000" w:csb0="00060007" w:csb1="00000000"/>
  </w:font>
  <w:font w:name="Wingdings 3">
    <w:panose1 w:val="050401020108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FA17D7">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5770C4">
                          <w:pPr>
                            <w:pStyle w:val="5"/>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655770C4">
                    <w:pPr>
                      <w:pStyle w:val="5"/>
                    </w:pP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inside</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F7A91D">
                          <w:pPr>
                            <w:pStyle w:val="5"/>
                            <w:rPr>
                              <w:rFonts w:hint="eastAsia" w:ascii="国标宋体" w:hAnsi="国标宋体" w:eastAsia="国标宋体" w:cs="国标宋体"/>
                              <w:sz w:val="28"/>
                              <w:szCs w:val="40"/>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4DF7A91D">
                    <w:pPr>
                      <w:pStyle w:val="5"/>
                      <w:rPr>
                        <w:rFonts w:hint="eastAsia" w:ascii="国标宋体" w:hAnsi="国标宋体" w:eastAsia="国标宋体" w:cs="国标宋体"/>
                        <w:sz w:val="28"/>
                        <w:szCs w:val="40"/>
                      </w:rPr>
                    </w:pP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2FB2A9C"/>
    <w:multiLevelType w:val="singleLevel"/>
    <w:tmpl w:val="D2FB2A9C"/>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U3ZDIwZThmZWJiMDE0MGJhYjBhZDhjMDFhN2JhMTcifQ=="/>
    <w:docVar w:name="KSO_WPS_MARK_KEY" w:val="d0dabeeb-e4f9-4777-9670-f0e55ddf4849"/>
  </w:docVars>
  <w:rsids>
    <w:rsidRoot w:val="00D70D67"/>
    <w:rsid w:val="0005025B"/>
    <w:rsid w:val="003B514D"/>
    <w:rsid w:val="004833EB"/>
    <w:rsid w:val="006149F8"/>
    <w:rsid w:val="00743198"/>
    <w:rsid w:val="00B549FF"/>
    <w:rsid w:val="00B87FE7"/>
    <w:rsid w:val="00D70D67"/>
    <w:rsid w:val="00E962A3"/>
    <w:rsid w:val="01667C65"/>
    <w:rsid w:val="01EC4739"/>
    <w:rsid w:val="028B629E"/>
    <w:rsid w:val="02ED0363"/>
    <w:rsid w:val="030033B6"/>
    <w:rsid w:val="0416239A"/>
    <w:rsid w:val="06085F65"/>
    <w:rsid w:val="06B06AF4"/>
    <w:rsid w:val="0715067C"/>
    <w:rsid w:val="07997DE1"/>
    <w:rsid w:val="083355B8"/>
    <w:rsid w:val="08C768E9"/>
    <w:rsid w:val="0A7B73F0"/>
    <w:rsid w:val="0ADB1183"/>
    <w:rsid w:val="0B112B53"/>
    <w:rsid w:val="0BC71A3D"/>
    <w:rsid w:val="0BEF42AF"/>
    <w:rsid w:val="0BF74195"/>
    <w:rsid w:val="0CAC5CF7"/>
    <w:rsid w:val="0DDBFE11"/>
    <w:rsid w:val="0DEA06DF"/>
    <w:rsid w:val="0E5A02F9"/>
    <w:rsid w:val="0E9D785E"/>
    <w:rsid w:val="0F441E6B"/>
    <w:rsid w:val="0FFF3B75"/>
    <w:rsid w:val="10AB1765"/>
    <w:rsid w:val="113F2349"/>
    <w:rsid w:val="114C5FBB"/>
    <w:rsid w:val="12696D66"/>
    <w:rsid w:val="133FA74A"/>
    <w:rsid w:val="135703EF"/>
    <w:rsid w:val="13BB0123"/>
    <w:rsid w:val="13BD35ED"/>
    <w:rsid w:val="13F74978"/>
    <w:rsid w:val="13FB43EE"/>
    <w:rsid w:val="13FFF49A"/>
    <w:rsid w:val="14227DDD"/>
    <w:rsid w:val="144249E3"/>
    <w:rsid w:val="14DF5C10"/>
    <w:rsid w:val="14E76200"/>
    <w:rsid w:val="155351B8"/>
    <w:rsid w:val="15805211"/>
    <w:rsid w:val="15932DB2"/>
    <w:rsid w:val="15EB555E"/>
    <w:rsid w:val="15F74BF2"/>
    <w:rsid w:val="15FF49D2"/>
    <w:rsid w:val="161F201F"/>
    <w:rsid w:val="163C2713"/>
    <w:rsid w:val="16812B81"/>
    <w:rsid w:val="16FF93DF"/>
    <w:rsid w:val="17680A75"/>
    <w:rsid w:val="17AE30BF"/>
    <w:rsid w:val="17BFA82F"/>
    <w:rsid w:val="185F8ABE"/>
    <w:rsid w:val="1952579F"/>
    <w:rsid w:val="19622089"/>
    <w:rsid w:val="196978B2"/>
    <w:rsid w:val="19C1418E"/>
    <w:rsid w:val="19D7CD20"/>
    <w:rsid w:val="1A834B56"/>
    <w:rsid w:val="1BA96339"/>
    <w:rsid w:val="1BFFF388"/>
    <w:rsid w:val="1C0210B5"/>
    <w:rsid w:val="1C3E5E4B"/>
    <w:rsid w:val="1D54957E"/>
    <w:rsid w:val="1D7D4672"/>
    <w:rsid w:val="1D885EA0"/>
    <w:rsid w:val="1DA1209B"/>
    <w:rsid w:val="1DFFF126"/>
    <w:rsid w:val="1E0F2E84"/>
    <w:rsid w:val="1EE2B3C4"/>
    <w:rsid w:val="1F3C6637"/>
    <w:rsid w:val="1F3EA824"/>
    <w:rsid w:val="1F7E10D9"/>
    <w:rsid w:val="1F7E703D"/>
    <w:rsid w:val="1FBD9AE2"/>
    <w:rsid w:val="1FF6B1FC"/>
    <w:rsid w:val="1FF754B2"/>
    <w:rsid w:val="1FFE92C7"/>
    <w:rsid w:val="209355FB"/>
    <w:rsid w:val="20E4172A"/>
    <w:rsid w:val="217F7362"/>
    <w:rsid w:val="21FF910B"/>
    <w:rsid w:val="225B2667"/>
    <w:rsid w:val="226E65F1"/>
    <w:rsid w:val="22BF178D"/>
    <w:rsid w:val="22CB0133"/>
    <w:rsid w:val="2355645B"/>
    <w:rsid w:val="23FFC7C9"/>
    <w:rsid w:val="24F215A5"/>
    <w:rsid w:val="25016FBF"/>
    <w:rsid w:val="25131137"/>
    <w:rsid w:val="25324DE1"/>
    <w:rsid w:val="26576126"/>
    <w:rsid w:val="26C31E42"/>
    <w:rsid w:val="26E20796"/>
    <w:rsid w:val="2735347B"/>
    <w:rsid w:val="274906D6"/>
    <w:rsid w:val="274D1D46"/>
    <w:rsid w:val="27FA578F"/>
    <w:rsid w:val="27FABAEB"/>
    <w:rsid w:val="28210249"/>
    <w:rsid w:val="28B04530"/>
    <w:rsid w:val="28CB2E46"/>
    <w:rsid w:val="28E3403D"/>
    <w:rsid w:val="29ABE79B"/>
    <w:rsid w:val="29E827E5"/>
    <w:rsid w:val="2A08391B"/>
    <w:rsid w:val="2A8B5291"/>
    <w:rsid w:val="2B3F1DC6"/>
    <w:rsid w:val="2B3FAA8E"/>
    <w:rsid w:val="2B535292"/>
    <w:rsid w:val="2B5B4D34"/>
    <w:rsid w:val="2B900811"/>
    <w:rsid w:val="2BD39086"/>
    <w:rsid w:val="2BFF5B3B"/>
    <w:rsid w:val="2BFF68E3"/>
    <w:rsid w:val="2C140BA8"/>
    <w:rsid w:val="2C1A20B6"/>
    <w:rsid w:val="2CC84172"/>
    <w:rsid w:val="2DDD9E33"/>
    <w:rsid w:val="2DDDA6FB"/>
    <w:rsid w:val="2DEE6925"/>
    <w:rsid w:val="2E9D28A4"/>
    <w:rsid w:val="2EFA159E"/>
    <w:rsid w:val="2EFC7B83"/>
    <w:rsid w:val="2F183EAF"/>
    <w:rsid w:val="2F37B0F5"/>
    <w:rsid w:val="2F432FC6"/>
    <w:rsid w:val="30A92499"/>
    <w:rsid w:val="30E93D39"/>
    <w:rsid w:val="31674F8F"/>
    <w:rsid w:val="31AB20C6"/>
    <w:rsid w:val="32DF2542"/>
    <w:rsid w:val="32FF410A"/>
    <w:rsid w:val="33F92CF6"/>
    <w:rsid w:val="343A67BE"/>
    <w:rsid w:val="347DEBDA"/>
    <w:rsid w:val="353EF961"/>
    <w:rsid w:val="35952532"/>
    <w:rsid w:val="359C312D"/>
    <w:rsid w:val="35DBECF6"/>
    <w:rsid w:val="36C1F9EA"/>
    <w:rsid w:val="36CB950E"/>
    <w:rsid w:val="36E74649"/>
    <w:rsid w:val="36FF697A"/>
    <w:rsid w:val="37327F2F"/>
    <w:rsid w:val="37895ECE"/>
    <w:rsid w:val="37A368E7"/>
    <w:rsid w:val="37C26C45"/>
    <w:rsid w:val="37CFA06B"/>
    <w:rsid w:val="37DCE7EE"/>
    <w:rsid w:val="37F7389E"/>
    <w:rsid w:val="37F765C7"/>
    <w:rsid w:val="37FF62AC"/>
    <w:rsid w:val="38390946"/>
    <w:rsid w:val="383F8A9F"/>
    <w:rsid w:val="38A724A7"/>
    <w:rsid w:val="38FB09FB"/>
    <w:rsid w:val="392A426A"/>
    <w:rsid w:val="3977EDA7"/>
    <w:rsid w:val="39FE1E4F"/>
    <w:rsid w:val="39FF6A54"/>
    <w:rsid w:val="3A605A28"/>
    <w:rsid w:val="3A682CB5"/>
    <w:rsid w:val="3AFC447F"/>
    <w:rsid w:val="3B47DEEA"/>
    <w:rsid w:val="3BBEEFCC"/>
    <w:rsid w:val="3BD13D4A"/>
    <w:rsid w:val="3BF906C0"/>
    <w:rsid w:val="3BFD6981"/>
    <w:rsid w:val="3C5F0EEC"/>
    <w:rsid w:val="3CEB63C9"/>
    <w:rsid w:val="3CF76668"/>
    <w:rsid w:val="3CFF5B55"/>
    <w:rsid w:val="3D3D09F8"/>
    <w:rsid w:val="3D753048"/>
    <w:rsid w:val="3D8B18AB"/>
    <w:rsid w:val="3DB54DFC"/>
    <w:rsid w:val="3DDF1972"/>
    <w:rsid w:val="3DDF2499"/>
    <w:rsid w:val="3DF94343"/>
    <w:rsid w:val="3DFE7841"/>
    <w:rsid w:val="3E2A3BAD"/>
    <w:rsid w:val="3E5EEF83"/>
    <w:rsid w:val="3E700C87"/>
    <w:rsid w:val="3E7F4BA7"/>
    <w:rsid w:val="3E7FFD2C"/>
    <w:rsid w:val="3E8C2823"/>
    <w:rsid w:val="3EAF2FB1"/>
    <w:rsid w:val="3EEE7CD9"/>
    <w:rsid w:val="3EF6EC60"/>
    <w:rsid w:val="3EFEF4C4"/>
    <w:rsid w:val="3F7BA14B"/>
    <w:rsid w:val="3F7E9308"/>
    <w:rsid w:val="3F95552C"/>
    <w:rsid w:val="3F9AF11E"/>
    <w:rsid w:val="3F9F7676"/>
    <w:rsid w:val="3FAFA3BB"/>
    <w:rsid w:val="3FBE2AA8"/>
    <w:rsid w:val="3FBEDE62"/>
    <w:rsid w:val="3FC37615"/>
    <w:rsid w:val="3FCF7CAA"/>
    <w:rsid w:val="3FCF8FD2"/>
    <w:rsid w:val="3FD4308A"/>
    <w:rsid w:val="3FD788CC"/>
    <w:rsid w:val="3FFA0F17"/>
    <w:rsid w:val="3FFD8077"/>
    <w:rsid w:val="3FFDBD8D"/>
    <w:rsid w:val="3FFF168E"/>
    <w:rsid w:val="3FFF9F9C"/>
    <w:rsid w:val="40533F4C"/>
    <w:rsid w:val="406154B8"/>
    <w:rsid w:val="40A709CD"/>
    <w:rsid w:val="40B97373"/>
    <w:rsid w:val="40BD09B1"/>
    <w:rsid w:val="410E7E97"/>
    <w:rsid w:val="4120294D"/>
    <w:rsid w:val="41A54AA0"/>
    <w:rsid w:val="4322033F"/>
    <w:rsid w:val="43FF3530"/>
    <w:rsid w:val="449B7FBD"/>
    <w:rsid w:val="45EF55EB"/>
    <w:rsid w:val="45FF46A4"/>
    <w:rsid w:val="46034AE4"/>
    <w:rsid w:val="477CF23B"/>
    <w:rsid w:val="47D11052"/>
    <w:rsid w:val="47FBF64A"/>
    <w:rsid w:val="47FDFCF7"/>
    <w:rsid w:val="48EE550C"/>
    <w:rsid w:val="49751D71"/>
    <w:rsid w:val="4A624FDB"/>
    <w:rsid w:val="4ABE5F62"/>
    <w:rsid w:val="4B474C6A"/>
    <w:rsid w:val="4BBF45BF"/>
    <w:rsid w:val="4BDA6673"/>
    <w:rsid w:val="4DDF7AC1"/>
    <w:rsid w:val="4DEBB410"/>
    <w:rsid w:val="4DFFE771"/>
    <w:rsid w:val="4E1FD3F7"/>
    <w:rsid w:val="4E3C0728"/>
    <w:rsid w:val="4EBA1233"/>
    <w:rsid w:val="4EC04434"/>
    <w:rsid w:val="4EFA7100"/>
    <w:rsid w:val="4F6F1C5A"/>
    <w:rsid w:val="4F865629"/>
    <w:rsid w:val="4FBA1C4F"/>
    <w:rsid w:val="4FFD827C"/>
    <w:rsid w:val="508B7664"/>
    <w:rsid w:val="51324AF8"/>
    <w:rsid w:val="513D0460"/>
    <w:rsid w:val="519A6E23"/>
    <w:rsid w:val="52343E16"/>
    <w:rsid w:val="52B28924"/>
    <w:rsid w:val="54FBF3C3"/>
    <w:rsid w:val="55407130"/>
    <w:rsid w:val="5578469A"/>
    <w:rsid w:val="557FDBD5"/>
    <w:rsid w:val="55842224"/>
    <w:rsid w:val="55914707"/>
    <w:rsid w:val="55D64857"/>
    <w:rsid w:val="55FBDB69"/>
    <w:rsid w:val="579DA10D"/>
    <w:rsid w:val="58DF6E75"/>
    <w:rsid w:val="59EFF7C4"/>
    <w:rsid w:val="59FB723B"/>
    <w:rsid w:val="5A1903CB"/>
    <w:rsid w:val="5A76BEF6"/>
    <w:rsid w:val="5A7B4D07"/>
    <w:rsid w:val="5A991A9E"/>
    <w:rsid w:val="5AED4642"/>
    <w:rsid w:val="5AF36A3D"/>
    <w:rsid w:val="5AFF4C95"/>
    <w:rsid w:val="5B3688B0"/>
    <w:rsid w:val="5B5D32C3"/>
    <w:rsid w:val="5B760312"/>
    <w:rsid w:val="5BBFC32E"/>
    <w:rsid w:val="5BF55469"/>
    <w:rsid w:val="5C7F018B"/>
    <w:rsid w:val="5C9105F4"/>
    <w:rsid w:val="5C927A58"/>
    <w:rsid w:val="5CE375E7"/>
    <w:rsid w:val="5D1F56DA"/>
    <w:rsid w:val="5D325E25"/>
    <w:rsid w:val="5D7F47A3"/>
    <w:rsid w:val="5D9E4F1A"/>
    <w:rsid w:val="5DDFB45C"/>
    <w:rsid w:val="5DF7DF33"/>
    <w:rsid w:val="5DFF60C0"/>
    <w:rsid w:val="5E39A8E7"/>
    <w:rsid w:val="5E7A655A"/>
    <w:rsid w:val="5E8F31D3"/>
    <w:rsid w:val="5EC63AF2"/>
    <w:rsid w:val="5EEC466C"/>
    <w:rsid w:val="5F3F89A3"/>
    <w:rsid w:val="5F4492DA"/>
    <w:rsid w:val="5F493A5C"/>
    <w:rsid w:val="5F5665DC"/>
    <w:rsid w:val="5F5C9EA5"/>
    <w:rsid w:val="5F5F057D"/>
    <w:rsid w:val="5F6AAE00"/>
    <w:rsid w:val="5F6F8FB8"/>
    <w:rsid w:val="5F7DF0C3"/>
    <w:rsid w:val="5F8A3AE1"/>
    <w:rsid w:val="5F8EE546"/>
    <w:rsid w:val="5F9FD1E1"/>
    <w:rsid w:val="5FC1644B"/>
    <w:rsid w:val="5FCE0644"/>
    <w:rsid w:val="5FDB2730"/>
    <w:rsid w:val="5FDB3584"/>
    <w:rsid w:val="5FDC3258"/>
    <w:rsid w:val="5FDE62A2"/>
    <w:rsid w:val="5FE3AEF2"/>
    <w:rsid w:val="5FF69869"/>
    <w:rsid w:val="5FFA0D72"/>
    <w:rsid w:val="5FFA336E"/>
    <w:rsid w:val="5FFB2AD4"/>
    <w:rsid w:val="5FFF316E"/>
    <w:rsid w:val="60F3EFD3"/>
    <w:rsid w:val="61540D2F"/>
    <w:rsid w:val="61EA1ED3"/>
    <w:rsid w:val="61F855ED"/>
    <w:rsid w:val="627B6294"/>
    <w:rsid w:val="62E2631F"/>
    <w:rsid w:val="633E72D6"/>
    <w:rsid w:val="63FF2E17"/>
    <w:rsid w:val="643415F1"/>
    <w:rsid w:val="64AF5381"/>
    <w:rsid w:val="64BBA998"/>
    <w:rsid w:val="64BDAB95"/>
    <w:rsid w:val="64C07B15"/>
    <w:rsid w:val="64D26DD4"/>
    <w:rsid w:val="65667FEB"/>
    <w:rsid w:val="65D8A75B"/>
    <w:rsid w:val="66BF30E4"/>
    <w:rsid w:val="66D52C28"/>
    <w:rsid w:val="66E4054D"/>
    <w:rsid w:val="66F4E119"/>
    <w:rsid w:val="66FAA13E"/>
    <w:rsid w:val="675B3A6B"/>
    <w:rsid w:val="677C26C8"/>
    <w:rsid w:val="677D1919"/>
    <w:rsid w:val="678A41C8"/>
    <w:rsid w:val="67D517DA"/>
    <w:rsid w:val="67DE462A"/>
    <w:rsid w:val="67DFEF27"/>
    <w:rsid w:val="67F6B2C9"/>
    <w:rsid w:val="67F75C58"/>
    <w:rsid w:val="67FDB240"/>
    <w:rsid w:val="682A8A03"/>
    <w:rsid w:val="6831243B"/>
    <w:rsid w:val="68EB6012"/>
    <w:rsid w:val="69E86145"/>
    <w:rsid w:val="6A6B6084"/>
    <w:rsid w:val="6AAF3B7E"/>
    <w:rsid w:val="6AF47A20"/>
    <w:rsid w:val="6AFF3C48"/>
    <w:rsid w:val="6B0B21BF"/>
    <w:rsid w:val="6B5F137C"/>
    <w:rsid w:val="6B7FABC4"/>
    <w:rsid w:val="6BDFC3EC"/>
    <w:rsid w:val="6BF292D1"/>
    <w:rsid w:val="6BFF2B5B"/>
    <w:rsid w:val="6C7C8662"/>
    <w:rsid w:val="6CA013E1"/>
    <w:rsid w:val="6CC72B8C"/>
    <w:rsid w:val="6CDD6FA7"/>
    <w:rsid w:val="6CE2093B"/>
    <w:rsid w:val="6CEF808B"/>
    <w:rsid w:val="6CFEFC3E"/>
    <w:rsid w:val="6CFF2BD2"/>
    <w:rsid w:val="6D83584E"/>
    <w:rsid w:val="6DAFA94E"/>
    <w:rsid w:val="6DCF150C"/>
    <w:rsid w:val="6DD7C999"/>
    <w:rsid w:val="6DFFB0EB"/>
    <w:rsid w:val="6E1D7272"/>
    <w:rsid w:val="6E3F2B5B"/>
    <w:rsid w:val="6E6B673F"/>
    <w:rsid w:val="6EBC1DD3"/>
    <w:rsid w:val="6EEC66B0"/>
    <w:rsid w:val="6EEE6FF5"/>
    <w:rsid w:val="6EFAF0D9"/>
    <w:rsid w:val="6F1FEA00"/>
    <w:rsid w:val="6F3E5B09"/>
    <w:rsid w:val="6F53E41C"/>
    <w:rsid w:val="6F7184C2"/>
    <w:rsid w:val="6F7EDFB4"/>
    <w:rsid w:val="6F87487B"/>
    <w:rsid w:val="6FD72194"/>
    <w:rsid w:val="6FDC32A0"/>
    <w:rsid w:val="6FDCB2BC"/>
    <w:rsid w:val="6FDDD8B4"/>
    <w:rsid w:val="6FDF6D57"/>
    <w:rsid w:val="6FE54369"/>
    <w:rsid w:val="6FEE2233"/>
    <w:rsid w:val="6FEFD68C"/>
    <w:rsid w:val="6FEFF969"/>
    <w:rsid w:val="6FFB82E8"/>
    <w:rsid w:val="6FFC7C60"/>
    <w:rsid w:val="6FFDD77E"/>
    <w:rsid w:val="6FFF4D25"/>
    <w:rsid w:val="6FFFE21D"/>
    <w:rsid w:val="700E3001"/>
    <w:rsid w:val="70B26AF2"/>
    <w:rsid w:val="70CB3330"/>
    <w:rsid w:val="715CC853"/>
    <w:rsid w:val="717B44FB"/>
    <w:rsid w:val="71C00803"/>
    <w:rsid w:val="71F66B4C"/>
    <w:rsid w:val="721D4270"/>
    <w:rsid w:val="72BFD170"/>
    <w:rsid w:val="72ECB220"/>
    <w:rsid w:val="73026E11"/>
    <w:rsid w:val="735F71E2"/>
    <w:rsid w:val="737F3DEB"/>
    <w:rsid w:val="73B7A60D"/>
    <w:rsid w:val="73C4054D"/>
    <w:rsid w:val="743F24A5"/>
    <w:rsid w:val="744D708F"/>
    <w:rsid w:val="74F7365E"/>
    <w:rsid w:val="75586438"/>
    <w:rsid w:val="75678040"/>
    <w:rsid w:val="75C5254C"/>
    <w:rsid w:val="75F10C85"/>
    <w:rsid w:val="75F9D3AB"/>
    <w:rsid w:val="75FE089B"/>
    <w:rsid w:val="75FF566D"/>
    <w:rsid w:val="76081ECF"/>
    <w:rsid w:val="76096095"/>
    <w:rsid w:val="766C374F"/>
    <w:rsid w:val="76AD3A10"/>
    <w:rsid w:val="76BCA3B0"/>
    <w:rsid w:val="76C26B13"/>
    <w:rsid w:val="76EF3001"/>
    <w:rsid w:val="76EF9497"/>
    <w:rsid w:val="76FE50A0"/>
    <w:rsid w:val="76FF0ECF"/>
    <w:rsid w:val="76FF12F3"/>
    <w:rsid w:val="76FFBA05"/>
    <w:rsid w:val="7737579B"/>
    <w:rsid w:val="776F70AA"/>
    <w:rsid w:val="779F22A3"/>
    <w:rsid w:val="77A78448"/>
    <w:rsid w:val="77AFCB3E"/>
    <w:rsid w:val="77BB6C28"/>
    <w:rsid w:val="77CFD567"/>
    <w:rsid w:val="77D59CB4"/>
    <w:rsid w:val="77D74B83"/>
    <w:rsid w:val="77DF6FA2"/>
    <w:rsid w:val="77EB819A"/>
    <w:rsid w:val="77FD053F"/>
    <w:rsid w:val="77FDB0CA"/>
    <w:rsid w:val="77FF02A5"/>
    <w:rsid w:val="77FFF34A"/>
    <w:rsid w:val="787ABA74"/>
    <w:rsid w:val="78894653"/>
    <w:rsid w:val="78C379D1"/>
    <w:rsid w:val="7914A404"/>
    <w:rsid w:val="794766C2"/>
    <w:rsid w:val="79EB30A3"/>
    <w:rsid w:val="79FD67B7"/>
    <w:rsid w:val="7A398BFE"/>
    <w:rsid w:val="7A85760D"/>
    <w:rsid w:val="7A8FE5B0"/>
    <w:rsid w:val="7A9B50EF"/>
    <w:rsid w:val="7ABD8E11"/>
    <w:rsid w:val="7ABF9A9C"/>
    <w:rsid w:val="7ACA136D"/>
    <w:rsid w:val="7ADB4328"/>
    <w:rsid w:val="7ADDB6E5"/>
    <w:rsid w:val="7ADE6B55"/>
    <w:rsid w:val="7AF724BC"/>
    <w:rsid w:val="7B2D1B56"/>
    <w:rsid w:val="7B47966A"/>
    <w:rsid w:val="7B735BB8"/>
    <w:rsid w:val="7B7B88D6"/>
    <w:rsid w:val="7B7E2228"/>
    <w:rsid w:val="7BABCFAF"/>
    <w:rsid w:val="7BC71FD1"/>
    <w:rsid w:val="7BCFEFBA"/>
    <w:rsid w:val="7BD11F27"/>
    <w:rsid w:val="7BDD9CB1"/>
    <w:rsid w:val="7BEE48AD"/>
    <w:rsid w:val="7BF96474"/>
    <w:rsid w:val="7BF9A3C4"/>
    <w:rsid w:val="7BF9B6D1"/>
    <w:rsid w:val="7BFDFD59"/>
    <w:rsid w:val="7BFF0596"/>
    <w:rsid w:val="7BFFF23B"/>
    <w:rsid w:val="7C5BF04E"/>
    <w:rsid w:val="7C823302"/>
    <w:rsid w:val="7CDF51D8"/>
    <w:rsid w:val="7CDF64D0"/>
    <w:rsid w:val="7CEDC108"/>
    <w:rsid w:val="7CF32034"/>
    <w:rsid w:val="7CF8F6B8"/>
    <w:rsid w:val="7D361AE8"/>
    <w:rsid w:val="7D57D623"/>
    <w:rsid w:val="7D731A86"/>
    <w:rsid w:val="7D735F87"/>
    <w:rsid w:val="7D7B6B9E"/>
    <w:rsid w:val="7DBF1EAE"/>
    <w:rsid w:val="7DBF9151"/>
    <w:rsid w:val="7DD902AA"/>
    <w:rsid w:val="7DDA7541"/>
    <w:rsid w:val="7DDB7398"/>
    <w:rsid w:val="7DDB7900"/>
    <w:rsid w:val="7DDD80F4"/>
    <w:rsid w:val="7DDF5F50"/>
    <w:rsid w:val="7DEE988D"/>
    <w:rsid w:val="7DF2BFB5"/>
    <w:rsid w:val="7DF54BF8"/>
    <w:rsid w:val="7DF66EEB"/>
    <w:rsid w:val="7DF6BBB0"/>
    <w:rsid w:val="7DF7261E"/>
    <w:rsid w:val="7DFB3FF6"/>
    <w:rsid w:val="7DFF009D"/>
    <w:rsid w:val="7DFF9B37"/>
    <w:rsid w:val="7DFFF0F6"/>
    <w:rsid w:val="7E1E4698"/>
    <w:rsid w:val="7E1FE06E"/>
    <w:rsid w:val="7E572EC3"/>
    <w:rsid w:val="7E6DD732"/>
    <w:rsid w:val="7E7A7EF5"/>
    <w:rsid w:val="7E7B839C"/>
    <w:rsid w:val="7EACF005"/>
    <w:rsid w:val="7EB78FB8"/>
    <w:rsid w:val="7EBF687D"/>
    <w:rsid w:val="7ECF8778"/>
    <w:rsid w:val="7EDFFD66"/>
    <w:rsid w:val="7EE15420"/>
    <w:rsid w:val="7EE30126"/>
    <w:rsid w:val="7EF65524"/>
    <w:rsid w:val="7EFB7888"/>
    <w:rsid w:val="7EFBE832"/>
    <w:rsid w:val="7EFFBF9D"/>
    <w:rsid w:val="7F1F1628"/>
    <w:rsid w:val="7F3A509C"/>
    <w:rsid w:val="7F3C4EEF"/>
    <w:rsid w:val="7F3FF26A"/>
    <w:rsid w:val="7F5C3A3B"/>
    <w:rsid w:val="7F5F7E24"/>
    <w:rsid w:val="7F610F17"/>
    <w:rsid w:val="7F6E83D4"/>
    <w:rsid w:val="7F6F5E59"/>
    <w:rsid w:val="7F6F7E80"/>
    <w:rsid w:val="7F735FF9"/>
    <w:rsid w:val="7F7594CA"/>
    <w:rsid w:val="7F7B3F62"/>
    <w:rsid w:val="7F7BCD74"/>
    <w:rsid w:val="7F7D029B"/>
    <w:rsid w:val="7F7EE1AF"/>
    <w:rsid w:val="7F7F3ECA"/>
    <w:rsid w:val="7FAF8AD5"/>
    <w:rsid w:val="7FB5A54E"/>
    <w:rsid w:val="7FB83F59"/>
    <w:rsid w:val="7FBB2BD0"/>
    <w:rsid w:val="7FBDED37"/>
    <w:rsid w:val="7FBF52A1"/>
    <w:rsid w:val="7FBF87FF"/>
    <w:rsid w:val="7FC57C99"/>
    <w:rsid w:val="7FCB315D"/>
    <w:rsid w:val="7FCBB3A3"/>
    <w:rsid w:val="7FCC64CB"/>
    <w:rsid w:val="7FCFB33C"/>
    <w:rsid w:val="7FD70119"/>
    <w:rsid w:val="7FDAA1EB"/>
    <w:rsid w:val="7FDB7CF2"/>
    <w:rsid w:val="7FDB9A41"/>
    <w:rsid w:val="7FDBCE27"/>
    <w:rsid w:val="7FDDC8E1"/>
    <w:rsid w:val="7FDE5417"/>
    <w:rsid w:val="7FDE5E32"/>
    <w:rsid w:val="7FDEB614"/>
    <w:rsid w:val="7FDEF0BD"/>
    <w:rsid w:val="7FDF23AA"/>
    <w:rsid w:val="7FDFCB5E"/>
    <w:rsid w:val="7FDFFE0F"/>
    <w:rsid w:val="7FE3C900"/>
    <w:rsid w:val="7FE763F2"/>
    <w:rsid w:val="7FEF0617"/>
    <w:rsid w:val="7FF44B03"/>
    <w:rsid w:val="7FF71B2A"/>
    <w:rsid w:val="7FF7CEFE"/>
    <w:rsid w:val="7FFA4AF0"/>
    <w:rsid w:val="7FFA53E3"/>
    <w:rsid w:val="7FFBA379"/>
    <w:rsid w:val="7FFC4D1B"/>
    <w:rsid w:val="7FFD0660"/>
    <w:rsid w:val="7FFE5E29"/>
    <w:rsid w:val="7FFEE479"/>
    <w:rsid w:val="7FFF2F49"/>
    <w:rsid w:val="7FFF57E6"/>
    <w:rsid w:val="7FFF6C90"/>
    <w:rsid w:val="7FFFA809"/>
    <w:rsid w:val="83678196"/>
    <w:rsid w:val="8BDBCAA4"/>
    <w:rsid w:val="8BFF34CF"/>
    <w:rsid w:val="95DCB276"/>
    <w:rsid w:val="96FE175E"/>
    <w:rsid w:val="97DFBB0E"/>
    <w:rsid w:val="9AEEF71D"/>
    <w:rsid w:val="9B2BF9ED"/>
    <w:rsid w:val="9D775BE4"/>
    <w:rsid w:val="9EAF8BFB"/>
    <w:rsid w:val="9EB6E1DD"/>
    <w:rsid w:val="9ED743F9"/>
    <w:rsid w:val="9EDB0835"/>
    <w:rsid w:val="9EDFF460"/>
    <w:rsid w:val="9EFF5DB5"/>
    <w:rsid w:val="9F7F01F0"/>
    <w:rsid w:val="9FAD8BEA"/>
    <w:rsid w:val="9FD6C169"/>
    <w:rsid w:val="9FDDF24D"/>
    <w:rsid w:val="9FDE7437"/>
    <w:rsid w:val="9FFD3594"/>
    <w:rsid w:val="9FFF8ABD"/>
    <w:rsid w:val="9FFFD0EB"/>
    <w:rsid w:val="A37F7E60"/>
    <w:rsid w:val="A45F343E"/>
    <w:rsid w:val="A6707BE7"/>
    <w:rsid w:val="A6A7CFDC"/>
    <w:rsid w:val="A6FF2CAE"/>
    <w:rsid w:val="ABBF9147"/>
    <w:rsid w:val="ABF2C3CD"/>
    <w:rsid w:val="ABF67F46"/>
    <w:rsid w:val="AD52A6CE"/>
    <w:rsid w:val="AE7F2203"/>
    <w:rsid w:val="AF6D76A6"/>
    <w:rsid w:val="AF7D3798"/>
    <w:rsid w:val="AF7D9A26"/>
    <w:rsid w:val="AFAF9DE0"/>
    <w:rsid w:val="AFBD1864"/>
    <w:rsid w:val="AFBFD908"/>
    <w:rsid w:val="AFDD2E5C"/>
    <w:rsid w:val="AFDF91B4"/>
    <w:rsid w:val="AFFD7975"/>
    <w:rsid w:val="B1FFD302"/>
    <w:rsid w:val="B44F0EAF"/>
    <w:rsid w:val="B57D4C3C"/>
    <w:rsid w:val="B57F62C9"/>
    <w:rsid w:val="B5AD5580"/>
    <w:rsid w:val="B5FE7354"/>
    <w:rsid w:val="B5FFA6FE"/>
    <w:rsid w:val="B67D9966"/>
    <w:rsid w:val="B6B6A37F"/>
    <w:rsid w:val="B6FE10C6"/>
    <w:rsid w:val="B72F82E8"/>
    <w:rsid w:val="B73E4D8E"/>
    <w:rsid w:val="B73F4DF4"/>
    <w:rsid w:val="B7BEFB01"/>
    <w:rsid w:val="B7BFE66F"/>
    <w:rsid w:val="B7F459B2"/>
    <w:rsid w:val="B86FACFD"/>
    <w:rsid w:val="B87B78E2"/>
    <w:rsid w:val="B8ADD298"/>
    <w:rsid w:val="B8B7383A"/>
    <w:rsid w:val="B907B689"/>
    <w:rsid w:val="B92D517F"/>
    <w:rsid w:val="B9F5EB9E"/>
    <w:rsid w:val="B9FFC34E"/>
    <w:rsid w:val="BA7B2008"/>
    <w:rsid w:val="BAFD755F"/>
    <w:rsid w:val="BBCF6854"/>
    <w:rsid w:val="BBD76AD8"/>
    <w:rsid w:val="BBDF2444"/>
    <w:rsid w:val="BBF637DA"/>
    <w:rsid w:val="BCF65031"/>
    <w:rsid w:val="BD35AE07"/>
    <w:rsid w:val="BD6FD506"/>
    <w:rsid w:val="BDF77516"/>
    <w:rsid w:val="BDFC425E"/>
    <w:rsid w:val="BDFDCF0B"/>
    <w:rsid w:val="BE3FD894"/>
    <w:rsid w:val="BEC7990B"/>
    <w:rsid w:val="BEE97DE7"/>
    <w:rsid w:val="BEEFC0F3"/>
    <w:rsid w:val="BF05362D"/>
    <w:rsid w:val="BF2DD9EE"/>
    <w:rsid w:val="BF6CD957"/>
    <w:rsid w:val="BF6DB238"/>
    <w:rsid w:val="BF6F84A3"/>
    <w:rsid w:val="BF79F5A1"/>
    <w:rsid w:val="BFBD3220"/>
    <w:rsid w:val="BFD792C6"/>
    <w:rsid w:val="BFDF711B"/>
    <w:rsid w:val="BFDFA8FB"/>
    <w:rsid w:val="BFEF38C2"/>
    <w:rsid w:val="BFFA27AF"/>
    <w:rsid w:val="BFFB877A"/>
    <w:rsid w:val="BFFD0AD6"/>
    <w:rsid w:val="BFFEBE1A"/>
    <w:rsid w:val="BFFEF8EB"/>
    <w:rsid w:val="BFFF6818"/>
    <w:rsid w:val="C349946F"/>
    <w:rsid w:val="C37C2C6B"/>
    <w:rsid w:val="C4EF26E3"/>
    <w:rsid w:val="C5B956FA"/>
    <w:rsid w:val="CB744D09"/>
    <w:rsid w:val="CEEDF3AF"/>
    <w:rsid w:val="CEF3C6C3"/>
    <w:rsid w:val="CEFE08D2"/>
    <w:rsid w:val="CEFF35B1"/>
    <w:rsid w:val="CF542A9B"/>
    <w:rsid w:val="CF614E8E"/>
    <w:rsid w:val="CF778BCF"/>
    <w:rsid w:val="CFBCACA0"/>
    <w:rsid w:val="CFBD178A"/>
    <w:rsid w:val="CFBF7434"/>
    <w:rsid w:val="CFE936B6"/>
    <w:rsid w:val="CFF26A91"/>
    <w:rsid w:val="CFF7FF1C"/>
    <w:rsid w:val="CFFCB3C5"/>
    <w:rsid w:val="CFFFDC33"/>
    <w:rsid w:val="D1DF8F8F"/>
    <w:rsid w:val="D57B8B6A"/>
    <w:rsid w:val="D6EFE289"/>
    <w:rsid w:val="D77711A6"/>
    <w:rsid w:val="D77F4438"/>
    <w:rsid w:val="D7DFA989"/>
    <w:rsid w:val="D7F6B4A3"/>
    <w:rsid w:val="D7FB63A3"/>
    <w:rsid w:val="D7FDA152"/>
    <w:rsid w:val="DA3DAF5C"/>
    <w:rsid w:val="DB5F15EA"/>
    <w:rsid w:val="DB7F7705"/>
    <w:rsid w:val="DBBB85BC"/>
    <w:rsid w:val="DBCF033B"/>
    <w:rsid w:val="DBDF387C"/>
    <w:rsid w:val="DBF2FA56"/>
    <w:rsid w:val="DBFF463D"/>
    <w:rsid w:val="DBFFC158"/>
    <w:rsid w:val="DCDF3B6D"/>
    <w:rsid w:val="DCFDBC19"/>
    <w:rsid w:val="DDA63149"/>
    <w:rsid w:val="DDEF6A2F"/>
    <w:rsid w:val="DDF81C38"/>
    <w:rsid w:val="DE1F71E6"/>
    <w:rsid w:val="DE3E41AD"/>
    <w:rsid w:val="DE3F16B0"/>
    <w:rsid w:val="DEBF3A55"/>
    <w:rsid w:val="DEBFF2E2"/>
    <w:rsid w:val="DEDEA315"/>
    <w:rsid w:val="DEF7B3FA"/>
    <w:rsid w:val="DEFE9144"/>
    <w:rsid w:val="DF31F5B5"/>
    <w:rsid w:val="DF5B73E4"/>
    <w:rsid w:val="DF5BC208"/>
    <w:rsid w:val="DF69EEA0"/>
    <w:rsid w:val="DF73E6E8"/>
    <w:rsid w:val="DF7D54BD"/>
    <w:rsid w:val="DF7FBB56"/>
    <w:rsid w:val="DFA99201"/>
    <w:rsid w:val="DFD32E3C"/>
    <w:rsid w:val="DFDD1580"/>
    <w:rsid w:val="DFF72BFA"/>
    <w:rsid w:val="DFFA3B8C"/>
    <w:rsid w:val="DFFF79F1"/>
    <w:rsid w:val="E03EB087"/>
    <w:rsid w:val="E1F3F8BC"/>
    <w:rsid w:val="E366E890"/>
    <w:rsid w:val="E3FD4D08"/>
    <w:rsid w:val="E4E511A0"/>
    <w:rsid w:val="E5DB3F0F"/>
    <w:rsid w:val="E6ED4E60"/>
    <w:rsid w:val="E75D50D1"/>
    <w:rsid w:val="E7778C1A"/>
    <w:rsid w:val="E77F6C44"/>
    <w:rsid w:val="E7DFACAE"/>
    <w:rsid w:val="E972F738"/>
    <w:rsid w:val="E9769305"/>
    <w:rsid w:val="E9B5DADA"/>
    <w:rsid w:val="EAD2186E"/>
    <w:rsid w:val="EB7F0E5A"/>
    <w:rsid w:val="EBA99369"/>
    <w:rsid w:val="EBE68233"/>
    <w:rsid w:val="EBF31BE0"/>
    <w:rsid w:val="EBFD1699"/>
    <w:rsid w:val="EBFF6CF8"/>
    <w:rsid w:val="EBFF7D95"/>
    <w:rsid w:val="EBFF7E81"/>
    <w:rsid w:val="EBFFFDF7"/>
    <w:rsid w:val="ED7E5769"/>
    <w:rsid w:val="EDBFEAE9"/>
    <w:rsid w:val="EDEB1969"/>
    <w:rsid w:val="EDEE9DDE"/>
    <w:rsid w:val="EDF34C79"/>
    <w:rsid w:val="EDFFABFE"/>
    <w:rsid w:val="EE5FF9FA"/>
    <w:rsid w:val="EE77D5FD"/>
    <w:rsid w:val="EE7B366C"/>
    <w:rsid w:val="EEFB74E7"/>
    <w:rsid w:val="EEFF42E8"/>
    <w:rsid w:val="EF752534"/>
    <w:rsid w:val="EF7F8D6F"/>
    <w:rsid w:val="EFADBA9A"/>
    <w:rsid w:val="EFAE05A7"/>
    <w:rsid w:val="EFCF9254"/>
    <w:rsid w:val="EFE38915"/>
    <w:rsid w:val="EFEBCCB1"/>
    <w:rsid w:val="EFEC50BD"/>
    <w:rsid w:val="EFEF1532"/>
    <w:rsid w:val="EFEFDEA1"/>
    <w:rsid w:val="EFF3B6CA"/>
    <w:rsid w:val="EFF47DD3"/>
    <w:rsid w:val="EFF7340D"/>
    <w:rsid w:val="EFFF6595"/>
    <w:rsid w:val="F17B387C"/>
    <w:rsid w:val="F1AF9A66"/>
    <w:rsid w:val="F1C62FD1"/>
    <w:rsid w:val="F1FFA8D3"/>
    <w:rsid w:val="F26B9852"/>
    <w:rsid w:val="F2ADE012"/>
    <w:rsid w:val="F2DD7FB1"/>
    <w:rsid w:val="F2FDC50F"/>
    <w:rsid w:val="F359EE15"/>
    <w:rsid w:val="F37FDA23"/>
    <w:rsid w:val="F3B754DD"/>
    <w:rsid w:val="F3B76662"/>
    <w:rsid w:val="F3D5B42B"/>
    <w:rsid w:val="F3DBE92D"/>
    <w:rsid w:val="F3DF0396"/>
    <w:rsid w:val="F3F1D8C9"/>
    <w:rsid w:val="F46AF67D"/>
    <w:rsid w:val="F52D78C1"/>
    <w:rsid w:val="F5AB35DA"/>
    <w:rsid w:val="F5AB7A38"/>
    <w:rsid w:val="F5ABA3CA"/>
    <w:rsid w:val="F5DE7D23"/>
    <w:rsid w:val="F5DFD524"/>
    <w:rsid w:val="F5FB030D"/>
    <w:rsid w:val="F5FF25F7"/>
    <w:rsid w:val="F6B9814A"/>
    <w:rsid w:val="F6D3E364"/>
    <w:rsid w:val="F6E79035"/>
    <w:rsid w:val="F6EF4BCD"/>
    <w:rsid w:val="F6FBBDD2"/>
    <w:rsid w:val="F6FE6E3B"/>
    <w:rsid w:val="F6FF6591"/>
    <w:rsid w:val="F75FAA42"/>
    <w:rsid w:val="F75FD4F8"/>
    <w:rsid w:val="F77F3CBA"/>
    <w:rsid w:val="F7877F3F"/>
    <w:rsid w:val="F79B3400"/>
    <w:rsid w:val="F7A9AC18"/>
    <w:rsid w:val="F7B5132B"/>
    <w:rsid w:val="F7B6F97A"/>
    <w:rsid w:val="F7BEBBBE"/>
    <w:rsid w:val="F7CAF107"/>
    <w:rsid w:val="F7CED78A"/>
    <w:rsid w:val="F7DBED09"/>
    <w:rsid w:val="F7EF796A"/>
    <w:rsid w:val="F7FBB6BF"/>
    <w:rsid w:val="F7FEBBC3"/>
    <w:rsid w:val="F7FFBE68"/>
    <w:rsid w:val="F8FE5799"/>
    <w:rsid w:val="F9AFFB41"/>
    <w:rsid w:val="F9DA658E"/>
    <w:rsid w:val="F9DF54F0"/>
    <w:rsid w:val="F9DF625B"/>
    <w:rsid w:val="F9EDEA76"/>
    <w:rsid w:val="FA1B5811"/>
    <w:rsid w:val="FA3EB1D0"/>
    <w:rsid w:val="FB2E12E1"/>
    <w:rsid w:val="FB34F2D2"/>
    <w:rsid w:val="FB37420A"/>
    <w:rsid w:val="FB37AA6C"/>
    <w:rsid w:val="FB5DF04B"/>
    <w:rsid w:val="FB6F100E"/>
    <w:rsid w:val="FB771C05"/>
    <w:rsid w:val="FB7C13EE"/>
    <w:rsid w:val="FB7C6D58"/>
    <w:rsid w:val="FBA707F8"/>
    <w:rsid w:val="FBBBC1CF"/>
    <w:rsid w:val="FBD7184E"/>
    <w:rsid w:val="FBF389BF"/>
    <w:rsid w:val="FBF7E27B"/>
    <w:rsid w:val="FBFBE93A"/>
    <w:rsid w:val="FBFEAEF3"/>
    <w:rsid w:val="FC770F48"/>
    <w:rsid w:val="FCAAA9CC"/>
    <w:rsid w:val="FCB8D09C"/>
    <w:rsid w:val="FCBD6931"/>
    <w:rsid w:val="FCD3F8DD"/>
    <w:rsid w:val="FCDF7972"/>
    <w:rsid w:val="FCED13CD"/>
    <w:rsid w:val="FCFB2E73"/>
    <w:rsid w:val="FCFD0C0E"/>
    <w:rsid w:val="FD7E1896"/>
    <w:rsid w:val="FDB765F1"/>
    <w:rsid w:val="FDBCD834"/>
    <w:rsid w:val="FDD3B924"/>
    <w:rsid w:val="FDDF196C"/>
    <w:rsid w:val="FDE632E0"/>
    <w:rsid w:val="FDE773C9"/>
    <w:rsid w:val="FDE97BE7"/>
    <w:rsid w:val="FDEA6DDB"/>
    <w:rsid w:val="FDF7B92E"/>
    <w:rsid w:val="FDFDB0C0"/>
    <w:rsid w:val="FDFE666D"/>
    <w:rsid w:val="FDFFE5A9"/>
    <w:rsid w:val="FE3EFFD6"/>
    <w:rsid w:val="FE5A884A"/>
    <w:rsid w:val="FE5DF316"/>
    <w:rsid w:val="FE7F387F"/>
    <w:rsid w:val="FE95690F"/>
    <w:rsid w:val="FEB6442E"/>
    <w:rsid w:val="FEBFA568"/>
    <w:rsid w:val="FEBFADFF"/>
    <w:rsid w:val="FEBFB450"/>
    <w:rsid w:val="FED72FE8"/>
    <w:rsid w:val="FEDD04C8"/>
    <w:rsid w:val="FEDF16FD"/>
    <w:rsid w:val="FEDF4657"/>
    <w:rsid w:val="FEE26F7C"/>
    <w:rsid w:val="FEED7291"/>
    <w:rsid w:val="FEFB9C8A"/>
    <w:rsid w:val="FEFD0E41"/>
    <w:rsid w:val="FEFF0F0E"/>
    <w:rsid w:val="FEFF1778"/>
    <w:rsid w:val="FF2F245B"/>
    <w:rsid w:val="FF3DD201"/>
    <w:rsid w:val="FF3EB207"/>
    <w:rsid w:val="FF3EC29E"/>
    <w:rsid w:val="FF474D99"/>
    <w:rsid w:val="FF47A1FA"/>
    <w:rsid w:val="FF51D6F5"/>
    <w:rsid w:val="FF566E3D"/>
    <w:rsid w:val="FF5FEB9A"/>
    <w:rsid w:val="FF6D1D48"/>
    <w:rsid w:val="FF77D067"/>
    <w:rsid w:val="FF7AB10E"/>
    <w:rsid w:val="FF7D0124"/>
    <w:rsid w:val="FF7E27A5"/>
    <w:rsid w:val="FF7F01C2"/>
    <w:rsid w:val="FF7F2BB0"/>
    <w:rsid w:val="FF8F14CB"/>
    <w:rsid w:val="FF9E3C66"/>
    <w:rsid w:val="FF9F0DB3"/>
    <w:rsid w:val="FFAC61DA"/>
    <w:rsid w:val="FFB77B54"/>
    <w:rsid w:val="FFBA8813"/>
    <w:rsid w:val="FFBBFD4D"/>
    <w:rsid w:val="FFBD53BF"/>
    <w:rsid w:val="FFBF62EC"/>
    <w:rsid w:val="FFBFFC0B"/>
    <w:rsid w:val="FFCE21A1"/>
    <w:rsid w:val="FFCF101B"/>
    <w:rsid w:val="FFD78A3A"/>
    <w:rsid w:val="FFDD8FB0"/>
    <w:rsid w:val="FFDE8FDE"/>
    <w:rsid w:val="FFDFE814"/>
    <w:rsid w:val="FFEB24B4"/>
    <w:rsid w:val="FFEBCEC9"/>
    <w:rsid w:val="FFEDAB4F"/>
    <w:rsid w:val="FFEE25F4"/>
    <w:rsid w:val="FFEF1D14"/>
    <w:rsid w:val="FFEF51DB"/>
    <w:rsid w:val="FFF2699F"/>
    <w:rsid w:val="FFF7B657"/>
    <w:rsid w:val="FFF9AB88"/>
    <w:rsid w:val="FFFADB59"/>
    <w:rsid w:val="FFFB3AB9"/>
    <w:rsid w:val="FFFBD973"/>
    <w:rsid w:val="FFFD5DBC"/>
    <w:rsid w:val="FFFDCE9F"/>
    <w:rsid w:val="FFFE856A"/>
    <w:rsid w:val="FFFF05D8"/>
    <w:rsid w:val="FFFF30CF"/>
    <w:rsid w:val="FFFF818C"/>
    <w:rsid w:val="FFFFA73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方正仿宋_GBK" w:cs="Times New Roman"/>
      <w:kern w:val="2"/>
      <w:sz w:val="32"/>
      <w:szCs w:val="32"/>
      <w:lang w:val="en-US" w:eastAsia="zh-CN" w:bidi="ar-SA"/>
    </w:rPr>
  </w:style>
  <w:style w:type="character" w:default="1" w:styleId="10">
    <w:name w:val="Default Paragraph Font"/>
    <w:unhideWhenUsed/>
    <w:qFormat/>
    <w:uiPriority w:val="1"/>
  </w:style>
  <w:style w:type="table" w:default="1" w:styleId="8">
    <w:name w:val="Normal Table"/>
    <w:unhideWhenUsed/>
    <w:qFormat/>
    <w:uiPriority w:val="99"/>
    <w:tblPr>
      <w:tblCellMar>
        <w:top w:w="0" w:type="dxa"/>
        <w:left w:w="108" w:type="dxa"/>
        <w:bottom w:w="0" w:type="dxa"/>
        <w:right w:w="108" w:type="dxa"/>
      </w:tblCellMar>
    </w:tblPr>
  </w:style>
  <w:style w:type="paragraph" w:styleId="2">
    <w:name w:val="Normal Indent"/>
    <w:basedOn w:val="1"/>
    <w:next w:val="1"/>
    <w:unhideWhenUsed/>
    <w:qFormat/>
    <w:uiPriority w:val="99"/>
    <w:pPr>
      <w:ind w:firstLine="420" w:firstLineChars="200"/>
    </w:pPr>
    <w:rPr>
      <w:szCs w:val="24"/>
    </w:rPr>
  </w:style>
  <w:style w:type="paragraph" w:styleId="3">
    <w:name w:val="Body Text"/>
    <w:basedOn w:val="1"/>
    <w:next w:val="1"/>
    <w:qFormat/>
    <w:uiPriority w:val="0"/>
    <w:pPr>
      <w:spacing w:after="120" w:afterLines="0"/>
    </w:pPr>
    <w:rPr>
      <w:rFonts w:ascii="宋体" w:hAnsi="宋体" w:eastAsia="方正小标宋_GBK" w:cs="Times New Roman"/>
    </w:rPr>
  </w:style>
  <w:style w:type="paragraph" w:styleId="4">
    <w:name w:val="Plain Text"/>
    <w:basedOn w:val="1"/>
    <w:qFormat/>
    <w:uiPriority w:val="0"/>
    <w:rPr>
      <w:rFonts w:ascii="宋体" w:hAnsi="Courier New" w:eastAsia="方正小标宋_GBK" w:cs="Courier New"/>
      <w:szCs w:val="21"/>
    </w:rPr>
  </w:style>
  <w:style w:type="paragraph" w:styleId="5">
    <w:name w:val="footer"/>
    <w:basedOn w:val="1"/>
    <w:unhideWhenUsed/>
    <w:qFormat/>
    <w:uiPriority w:val="99"/>
    <w:pPr>
      <w:tabs>
        <w:tab w:val="center" w:pos="4153"/>
        <w:tab w:val="right" w:pos="8306"/>
      </w:tabs>
      <w:snapToGrid w:val="0"/>
      <w:jc w:val="left"/>
    </w:pPr>
    <w:rPr>
      <w:sz w:val="18"/>
    </w:rPr>
  </w:style>
  <w:style w:type="paragraph" w:styleId="6">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2"/>
    <w:basedOn w:val="1"/>
    <w:next w:val="1"/>
    <w:unhideWhenUsed/>
    <w:qFormat/>
    <w:uiPriority w:val="39"/>
    <w:pPr>
      <w:ind w:left="420" w:leftChars="200"/>
    </w:pPr>
  </w:style>
  <w:style w:type="table" w:styleId="9">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BodyText1I2"/>
    <w:basedOn w:val="12"/>
    <w:qFormat/>
    <w:uiPriority w:val="0"/>
    <w:pPr>
      <w:ind w:firstLine="420" w:firstLineChars="200"/>
    </w:pPr>
  </w:style>
  <w:style w:type="paragraph" w:customStyle="1" w:styleId="12">
    <w:name w:val="BodyTextIndent"/>
    <w:basedOn w:val="1"/>
    <w:next w:val="13"/>
    <w:qFormat/>
    <w:uiPriority w:val="0"/>
    <w:pPr>
      <w:spacing w:after="120"/>
      <w:ind w:left="420" w:leftChars="200"/>
      <w:textAlignment w:val="baseline"/>
    </w:pPr>
  </w:style>
  <w:style w:type="paragraph" w:customStyle="1" w:styleId="13">
    <w:name w:val="NormalIndent"/>
    <w:basedOn w:val="1"/>
    <w:qFormat/>
    <w:uiPriority w:val="0"/>
    <w:pPr>
      <w:ind w:firstLine="420" w:firstLineChars="200"/>
      <w:textAlignment w:val="baseline"/>
    </w:pPr>
    <w:rPr>
      <w:rFonts w:ascii="Calibri" w:hAnsi="Calibri" w:eastAsia="仿宋"/>
      <w:szCs w:val="24"/>
    </w:rPr>
  </w:style>
  <w:style w:type="paragraph" w:customStyle="1" w:styleId="14">
    <w:name w:val="主体标题"/>
    <w:basedOn w:val="1"/>
    <w:next w:val="1"/>
    <w:qFormat/>
    <w:uiPriority w:val="0"/>
    <w:pPr>
      <w:spacing w:line="578" w:lineRule="exact"/>
      <w:jc w:val="center"/>
    </w:pPr>
    <w:rPr>
      <w:rFonts w:ascii="方正小标宋简体" w:hAnsi="宋体" w:eastAsia="方正小标宋简体" w:cs="Times New Roman"/>
      <w:sz w:val="44"/>
    </w:rPr>
  </w:style>
  <w:style w:type="paragraph" w:customStyle="1" w:styleId="15">
    <w:name w:val="发文字号平行"/>
    <w:basedOn w:val="4"/>
    <w:qFormat/>
    <w:uiPriority w:val="0"/>
    <w:pPr>
      <w:spacing w:line="574" w:lineRule="exact"/>
      <w:jc w:val="center"/>
    </w:pPr>
    <w:rPr>
      <w:rFonts w:ascii="仿宋" w:hAnsi="宋体" w:eastAsia="仿宋" w:cs="Times New Roman"/>
      <w:szCs w:val="32"/>
    </w:rPr>
  </w:style>
  <w:style w:type="character" w:customStyle="1" w:styleId="16">
    <w:name w:val="font11"/>
    <w:qFormat/>
    <w:uiPriority w:val="0"/>
    <w:rPr>
      <w:rFonts w:hint="eastAsia" w:ascii="宋体" w:hAnsi="宋体" w:eastAsia="宋体" w:cs="宋体"/>
      <w:color w:val="000000"/>
      <w:sz w:val="22"/>
      <w:szCs w:val="22"/>
      <w:u w:val="none"/>
    </w:rPr>
  </w:style>
  <w:style w:type="paragraph" w:customStyle="1" w:styleId="17">
    <w:name w:val="抄送"/>
    <w:basedOn w:val="18"/>
    <w:qFormat/>
    <w:uiPriority w:val="0"/>
    <w:pPr>
      <w:framePr w:hSpace="181" w:wrap="around" w:vAnchor="margin" w:hAnchor="margin" w:xAlign="center" w:yAlign="bottom"/>
      <w:ind w:left="311" w:leftChars="100" w:right="311" w:rightChars="100" w:firstLine="0" w:firstLineChars="0"/>
      <w:jc w:val="left"/>
    </w:pPr>
    <w:rPr>
      <w:rFonts w:ascii="宋体" w:hAnsi="宋体" w:eastAsia="方正小标宋_GBK" w:cs="Times New Roman"/>
      <w:sz w:val="28"/>
      <w:szCs w:val="28"/>
    </w:rPr>
  </w:style>
  <w:style w:type="paragraph" w:customStyle="1" w:styleId="18">
    <w:name w:val="主体正文"/>
    <w:basedOn w:val="1"/>
    <w:qFormat/>
    <w:uiPriority w:val="0"/>
    <w:pPr>
      <w:spacing w:line="578" w:lineRule="exact"/>
      <w:ind w:firstLine="661" w:firstLineChars="227"/>
    </w:pPr>
    <w:rPr>
      <w:rFonts w:ascii="方正仿宋_GBK" w:hAnsi="宋体" w:eastAsia="方正仿宋_GBK" w:cs="Times New Roman"/>
      <w:sz w:val="30"/>
      <w:szCs w:val="30"/>
    </w:rPr>
  </w:style>
  <w:style w:type="paragraph" w:customStyle="1" w:styleId="19">
    <w:name w:val="印发机关"/>
    <w:basedOn w:val="18"/>
    <w:qFormat/>
    <w:uiPriority w:val="0"/>
    <w:pPr>
      <w:framePr w:hSpace="181" w:wrap="around" w:vAnchor="margin" w:hAnchor="margin" w:xAlign="center" w:yAlign="bottom"/>
      <w:ind w:left="100" w:leftChars="100"/>
    </w:pPr>
    <w:rPr>
      <w:rFonts w:ascii="宋体" w:hAnsi="宋体" w:eastAsia="仿宋" w:cs="Times New Roman"/>
      <w:kern w:val="2"/>
      <w:sz w:val="28"/>
      <w:szCs w:val="24"/>
      <w:lang w:val="en-US" w:eastAsia="zh-CN" w:bidi="ar-SA"/>
    </w:rPr>
  </w:style>
  <w:style w:type="paragraph" w:customStyle="1" w:styleId="20">
    <w:name w:val="印发日期"/>
    <w:qFormat/>
    <w:uiPriority w:val="0"/>
    <w:pPr>
      <w:framePr w:hSpace="181" w:wrap="around" w:vAnchor="margin" w:hAnchor="margin" w:xAlign="center" w:yAlign="bottom"/>
      <w:ind w:right="100" w:rightChars="100"/>
      <w:jc w:val="right"/>
    </w:pPr>
    <w:rPr>
      <w:rFonts w:ascii="仿宋" w:hAnsi="宋体" w:eastAsia="仿宋" w:cs="Times New Roman"/>
      <w:sz w:val="28"/>
      <w:szCs w:val="32"/>
      <w:lang w:val="en-US" w:eastAsia="zh-CN" w:bidi="ar-SA"/>
    </w:rPr>
  </w:style>
  <w:style w:type="paragraph" w:styleId="21">
    <w:name w:val="List Paragraph"/>
    <w:basedOn w:val="1"/>
    <w:qFormat/>
    <w:uiPriority w:val="34"/>
    <w:pPr>
      <w:ind w:firstLine="420" w:firstLineChars="200"/>
    </w:pPr>
  </w:style>
  <w:style w:type="character" w:customStyle="1" w:styleId="22">
    <w:name w:val="font51"/>
    <w:basedOn w:val="10"/>
    <w:qFormat/>
    <w:uiPriority w:val="0"/>
    <w:rPr>
      <w:rFonts w:hint="eastAsia" w:ascii="宋体" w:hAnsi="宋体" w:eastAsia="宋体" w:cs="宋体"/>
      <w:b/>
      <w:bCs/>
      <w:color w:val="000000"/>
      <w:sz w:val="22"/>
      <w:szCs w:val="22"/>
      <w:u w:val="none"/>
    </w:rPr>
  </w:style>
  <w:style w:type="character" w:customStyle="1" w:styleId="23">
    <w:name w:val="font21"/>
    <w:basedOn w:val="10"/>
    <w:qFormat/>
    <w:uiPriority w:val="0"/>
    <w:rPr>
      <w:rFonts w:hint="default" w:ascii="Times New Roman" w:hAnsi="Times New Roman" w:cs="Times New Roman"/>
      <w:b/>
      <w:bCs/>
      <w:color w:val="000000"/>
      <w:sz w:val="22"/>
      <w:szCs w:val="22"/>
      <w:u w:val="none"/>
    </w:rPr>
  </w:style>
  <w:style w:type="character" w:customStyle="1" w:styleId="24">
    <w:name w:val="15"/>
    <w:basedOn w:val="10"/>
    <w:qFormat/>
    <w:uiPriority w:val="0"/>
    <w:rPr>
      <w:rFonts w:hint="eastAsia" w:ascii="宋体" w:hAnsi="宋体" w:eastAsia="宋体" w:cs="宋体"/>
      <w:color w:val="000000"/>
      <w:sz w:val="21"/>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11</Pages>
  <Words>4637</Words>
  <Characters>5087</Characters>
  <Lines>1</Lines>
  <Paragraphs>1</Paragraphs>
  <TotalTime>71</TotalTime>
  <ScaleCrop>false</ScaleCrop>
  <LinksUpToDate>false</LinksUpToDate>
  <CharactersWithSpaces>5131</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2019-01-23T23:56:00Z</dcterms:created>
  <dc:creator>xbany</dc:creator>
  <cp:lastModifiedBy> </cp:lastModifiedBy>
  <cp:lastPrinted>2026-06-05T00:25:00Z</cp:lastPrinted>
  <dcterms:modified xsi:type="dcterms:W3CDTF">2026-06-04T16:50:01Z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985FDDD032AF85288E3B216ADB738950_43</vt:lpwstr>
  </property>
</Properties>
</file>