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F5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附件１</w:t>
      </w:r>
    </w:p>
    <w:p w14:paraId="243C0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 w14:paraId="08AAF9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辽源市本级开发区工业用地</w:t>
      </w:r>
    </w:p>
    <w:p w14:paraId="295DF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“标准地”主要指标体系</w:t>
      </w:r>
    </w:p>
    <w:tbl>
      <w:tblPr>
        <w:tblStyle w:val="3"/>
        <w:tblW w:w="929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3748"/>
        <w:gridCol w:w="1215"/>
        <w:gridCol w:w="2065"/>
        <w:gridCol w:w="1535"/>
      </w:tblGrid>
      <w:tr w14:paraId="10CEE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09B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行业代码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9D0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行业名称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8D6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容积率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49D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pacing w:val="-6"/>
                <w:kern w:val="0"/>
                <w:position w:val="0"/>
                <w:sz w:val="24"/>
                <w:szCs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pacing w:val="-6"/>
                <w:kern w:val="0"/>
                <w:position w:val="0"/>
                <w:sz w:val="24"/>
                <w:szCs w:val="24"/>
                <w:lang w:bidi="ar"/>
              </w:rPr>
              <w:t>固定资产投资强度</w:t>
            </w:r>
          </w:p>
          <w:p w14:paraId="1F965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（万元</w:t>
            </w: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bidi="ar"/>
              </w:rPr>
              <w:t>/</w:t>
            </w:r>
            <w:r>
              <w:rPr>
                <w:rStyle w:val="6"/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bidi="ar"/>
              </w:rPr>
              <w:t>公顷）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308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地均税收</w:t>
            </w:r>
          </w:p>
          <w:p w14:paraId="5A747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pacing w:val="-6"/>
                <w:kern w:val="0"/>
                <w:sz w:val="24"/>
                <w:szCs w:val="24"/>
                <w:lang w:bidi="ar"/>
              </w:rPr>
              <w:t>（万元</w:t>
            </w: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spacing w:val="-6"/>
                <w:sz w:val="24"/>
                <w:szCs w:val="24"/>
                <w:lang w:bidi="ar"/>
              </w:rPr>
              <w:t>/</w:t>
            </w:r>
            <w:r>
              <w:rPr>
                <w:rStyle w:val="6"/>
                <w:rFonts w:hint="eastAsia" w:ascii="方正黑体_GBK" w:hAnsi="方正黑体_GBK" w:eastAsia="方正黑体_GBK" w:cs="方正黑体_GBK"/>
                <w:b w:val="0"/>
                <w:bCs w:val="0"/>
                <w:spacing w:val="-6"/>
                <w:sz w:val="24"/>
                <w:szCs w:val="24"/>
                <w:lang w:bidi="ar"/>
              </w:rPr>
              <w:t>公顷）</w:t>
            </w:r>
          </w:p>
        </w:tc>
      </w:tr>
      <w:tr w14:paraId="747A6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739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4C8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农副食品加工业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04EB59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≥1.0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1D77C4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≥1700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A0CC70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≥30</w:t>
            </w:r>
          </w:p>
        </w:tc>
      </w:tr>
      <w:tr w14:paraId="442E1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A95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278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食品制造业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F0EF68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≥1.0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68A087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≥1700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A02348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≥50</w:t>
            </w:r>
          </w:p>
        </w:tc>
      </w:tr>
      <w:tr w14:paraId="7BECA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64E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A87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酒、饮料和精制茶制造业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A682B5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≥1.0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C4AA11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≥1700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02E67B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≥150</w:t>
            </w:r>
          </w:p>
        </w:tc>
      </w:tr>
      <w:tr w14:paraId="503EC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565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DCC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烟草制品业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FFC95B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≥1.0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215CCF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≥2460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4BBD3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≥3500</w:t>
            </w:r>
          </w:p>
        </w:tc>
      </w:tr>
      <w:tr w14:paraId="13A24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A2D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E67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纺织业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A80D4F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≥0.9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6A8F3B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≥2140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4F5429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≥45</w:t>
            </w:r>
          </w:p>
        </w:tc>
      </w:tr>
      <w:tr w14:paraId="433CE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2F9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E30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纺织服装、服饰业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1F8BF0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≥1.1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7AC3FB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≥2140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4B32BD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≥100</w:t>
            </w:r>
          </w:p>
        </w:tc>
      </w:tr>
      <w:tr w14:paraId="6EBD0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FCF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B5B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皮革、毛皮、羽毛及其制品和制鞋业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E7F42B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≥1.1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EBD9DA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≥1700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7EF7DB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≥54</w:t>
            </w:r>
          </w:p>
        </w:tc>
      </w:tr>
      <w:tr w14:paraId="72C5A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D7D2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523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木材加工和木、竹、藤、棕、草制品业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BF3A04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≥0.9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E26F76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≥1220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A02AB1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≥24</w:t>
            </w:r>
          </w:p>
        </w:tc>
      </w:tr>
      <w:tr w14:paraId="78CC0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EF5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D83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家具制造业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887362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≥0.9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9D48C4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≥1700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405D2E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≥24</w:t>
            </w:r>
          </w:p>
        </w:tc>
      </w:tr>
      <w:tr w14:paraId="534A9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2C6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499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造纸和纸制品业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A10CFB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≥0.8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F23E5A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≥1700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DE570F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≥90</w:t>
            </w:r>
          </w:p>
        </w:tc>
      </w:tr>
      <w:tr w14:paraId="3420D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70E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3DB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印刷和记录媒介复制业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8FF790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≥0.9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42F214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≥2460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E7E758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≥75</w:t>
            </w:r>
          </w:p>
        </w:tc>
      </w:tr>
      <w:tr w14:paraId="3A317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70B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FB7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文教、工美、体育和娱乐用品制造业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0FAF85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≥1.1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A2D88B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≥2140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8E7F94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≥39</w:t>
            </w:r>
          </w:p>
        </w:tc>
      </w:tr>
      <w:tr w14:paraId="778E1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54A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781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石油、煤炭及其他燃料加工业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4D10A5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≥0.5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E3A2A2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≥2460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D83A2B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≥275</w:t>
            </w:r>
          </w:p>
        </w:tc>
      </w:tr>
      <w:tr w14:paraId="74D9D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A20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8FD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化学原料和化学制品制造业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283478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≥0.6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5D44C9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≥2460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F19C1D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≥75</w:t>
            </w:r>
          </w:p>
        </w:tc>
      </w:tr>
      <w:tr w14:paraId="7FF96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CB6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3F2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医药制造业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1A919E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≥0.8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DB3312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≥3360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01D1F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≥240</w:t>
            </w:r>
          </w:p>
        </w:tc>
      </w:tr>
      <w:tr w14:paraId="2C63E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5EF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06A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化学纤维制造业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CC7BE1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≥0.8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6A3A96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≥3640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5E380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≥110</w:t>
            </w:r>
          </w:p>
        </w:tc>
      </w:tr>
      <w:tr w14:paraId="2CBE7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469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行业代码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FB0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行业名称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766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容积率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A96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pacing w:val="-6"/>
                <w:kern w:val="0"/>
                <w:position w:val="0"/>
                <w:sz w:val="24"/>
                <w:szCs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pacing w:val="-6"/>
                <w:kern w:val="0"/>
                <w:position w:val="0"/>
                <w:sz w:val="24"/>
                <w:szCs w:val="24"/>
                <w:lang w:bidi="ar"/>
              </w:rPr>
              <w:t>固定资产投资强度</w:t>
            </w:r>
          </w:p>
          <w:p w14:paraId="25B40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（万元</w:t>
            </w: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bidi="ar"/>
              </w:rPr>
              <w:t>/</w:t>
            </w:r>
            <w:r>
              <w:rPr>
                <w:rStyle w:val="6"/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lang w:bidi="ar"/>
              </w:rPr>
              <w:t>公顷）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B91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地均税收</w:t>
            </w:r>
          </w:p>
          <w:p w14:paraId="76412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pacing w:val="-6"/>
                <w:kern w:val="0"/>
                <w:sz w:val="24"/>
                <w:szCs w:val="24"/>
                <w:lang w:bidi="ar"/>
              </w:rPr>
              <w:t>（万元</w:t>
            </w:r>
            <w:r>
              <w:rPr>
                <w:rStyle w:val="5"/>
                <w:rFonts w:hint="eastAsia" w:ascii="方正黑体_GBK" w:hAnsi="方正黑体_GBK" w:eastAsia="方正黑体_GBK" w:cs="方正黑体_GBK"/>
                <w:b w:val="0"/>
                <w:bCs w:val="0"/>
                <w:spacing w:val="-6"/>
                <w:sz w:val="24"/>
                <w:szCs w:val="24"/>
                <w:lang w:bidi="ar"/>
              </w:rPr>
              <w:t>/</w:t>
            </w:r>
            <w:r>
              <w:rPr>
                <w:rStyle w:val="6"/>
                <w:rFonts w:hint="eastAsia" w:ascii="方正黑体_GBK" w:hAnsi="方正黑体_GBK" w:eastAsia="方正黑体_GBK" w:cs="方正黑体_GBK"/>
                <w:b w:val="0"/>
                <w:bCs w:val="0"/>
                <w:spacing w:val="-6"/>
                <w:sz w:val="24"/>
                <w:szCs w:val="24"/>
                <w:lang w:bidi="ar"/>
              </w:rPr>
              <w:t>公顷）</w:t>
            </w:r>
          </w:p>
        </w:tc>
      </w:tr>
      <w:tr w14:paraId="3A727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697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B22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橡胶和塑料制品业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4C9E45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≥0.9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FED1D5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≥2140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09D1F0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≥50</w:t>
            </w:r>
          </w:p>
        </w:tc>
      </w:tr>
      <w:tr w14:paraId="5D1AC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9FC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999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非金属矿物制品业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2EBB99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≥0.8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752A74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≥1220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0351E4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≥45</w:t>
            </w:r>
          </w:p>
        </w:tc>
      </w:tr>
      <w:tr w14:paraId="1310A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3F4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F0C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黑色金属冶炼和压延加工业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BBA910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≥0.6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FDDEA8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≥3360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7731D6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≥60</w:t>
            </w:r>
          </w:p>
        </w:tc>
      </w:tr>
      <w:tr w14:paraId="413B6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290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2D1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有色金属冶炼和压延加工业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312535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≥0.6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9D5F46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≥3360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6B8B86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≥100</w:t>
            </w:r>
          </w:p>
        </w:tc>
      </w:tr>
      <w:tr w14:paraId="0E9F6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453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883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金属制品业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C5598B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≥0.8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85E2E9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≥2460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C07309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≥45</w:t>
            </w:r>
          </w:p>
        </w:tc>
      </w:tr>
      <w:tr w14:paraId="477BF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2FA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9E4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通用设备制造业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78234A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≥0.8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DD0CE5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≥3360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6630A6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≥60</w:t>
            </w:r>
          </w:p>
        </w:tc>
      </w:tr>
      <w:tr w14:paraId="422D7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F8D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35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41B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专用设备制造业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1C3918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≥0.8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28B403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≥3360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2963A0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≥60</w:t>
            </w:r>
          </w:p>
        </w:tc>
      </w:tr>
      <w:tr w14:paraId="3B76E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8ED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36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A85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汽车制造业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D4F787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≥0.8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DE415E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≥3640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C9124B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≥180</w:t>
            </w:r>
          </w:p>
        </w:tc>
      </w:tr>
      <w:tr w14:paraId="447F9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2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942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851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铁路、船舶、航空航天和其他运输设备制造业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21440F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≥0.8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44741C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≥3640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133169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≥45</w:t>
            </w:r>
          </w:p>
        </w:tc>
      </w:tr>
      <w:tr w14:paraId="0F743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DB6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38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8CB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电气机械和器材制造业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407A54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≥0.8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FA6C84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≥3640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224BAE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≥95</w:t>
            </w:r>
          </w:p>
        </w:tc>
      </w:tr>
      <w:tr w14:paraId="0242F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2C0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39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DCA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计算机、通信和其他电子设备制造业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3F2865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≥1.1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2E2CD6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≥3670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354522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≥155</w:t>
            </w:r>
          </w:p>
        </w:tc>
      </w:tr>
      <w:tr w14:paraId="271BC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059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8A2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仪器仪表制造业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C39916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≥1.1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BF241A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≥3360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52F27B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≥70</w:t>
            </w:r>
          </w:p>
        </w:tc>
      </w:tr>
      <w:tr w14:paraId="118B7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C76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41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37F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其他制造业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7DBD82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≥0.8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810BE7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≥1700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973629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≥65</w:t>
            </w:r>
          </w:p>
        </w:tc>
      </w:tr>
      <w:tr w14:paraId="00BBD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DC5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D07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废弃资源综合利用业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A84246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≥0.8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D75F16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≥1700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1AAB97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≥50</w:t>
            </w:r>
          </w:p>
        </w:tc>
      </w:tr>
      <w:tr w14:paraId="4A7D9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2CA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43</w:t>
            </w:r>
          </w:p>
        </w:tc>
        <w:tc>
          <w:tcPr>
            <w:tcW w:w="3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01B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金属制品、机械和设备修理业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1283F1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≥0.8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ED2E5B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≥1700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AFFB44">
            <w:pPr>
              <w:widowControl/>
              <w:spacing w:line="576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≥45</w:t>
            </w:r>
          </w:p>
        </w:tc>
      </w:tr>
    </w:tbl>
    <w:p w14:paraId="4AF28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right="-193" w:rightChars="-92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方正黑体_GBK" w:hAnsi="方正黑体_GBK" w:eastAsia="方正黑体_GBK" w:cs="方正黑体_GBK"/>
          <w:sz w:val="21"/>
          <w:szCs w:val="21"/>
          <w:lang w:eastAsia="zh-CN"/>
        </w:rPr>
        <w:t>注：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1</w:t>
      </w:r>
      <w:r>
        <w:rPr>
          <w:rFonts w:hint="default" w:ascii="宋体" w:hAnsi="宋体" w:eastAsia="宋体" w:cs="宋体"/>
          <w:sz w:val="21"/>
          <w:szCs w:val="21"/>
          <w:lang w:val="en" w:eastAsia="zh-CN"/>
        </w:rPr>
        <w:t xml:space="preserve">.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本表中各行业对应的相关指标为省政府下发的参考值，各开发区可结合国家政策调整进行适</w:t>
      </w:r>
    </w:p>
    <w:p w14:paraId="2E882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right="-193" w:rightChars="-92" w:firstLine="630" w:firstLineChars="30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当的动态调整。</w:t>
      </w:r>
    </w:p>
    <w:p w14:paraId="49EF0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2</w:t>
      </w:r>
      <w:r>
        <w:rPr>
          <w:rFonts w:hint="default" w:ascii="宋体" w:hAnsi="宋体" w:eastAsia="宋体" w:cs="宋体"/>
          <w:sz w:val="21"/>
          <w:szCs w:val="21"/>
          <w:lang w:val="en" w:eastAsia="zh-CN"/>
        </w:rPr>
        <w:t xml:space="preserve">.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战略性新兴产业、先进制造业项目，固定资产投资强度按照对应的行业整体上浮至少5%。</w:t>
      </w:r>
    </w:p>
    <w:p w14:paraId="0C5D3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305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战略性新兴产业、先进制造业与《国民经济分类》对照表见《自然资源部关于发布</w:t>
      </w:r>
      <w:r>
        <w:rPr>
          <w:rFonts w:hint="eastAsia" w:ascii="方正仿宋_GBK" w:hAnsi="方正仿宋_GBK" w:eastAsia="方正仿宋_GBK" w:cs="方正仿宋_GBK"/>
          <w:sz w:val="21"/>
          <w:szCs w:val="21"/>
          <w:lang w:eastAsia="zh-CN"/>
        </w:rPr>
        <w:t>〈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工业项</w:t>
      </w:r>
    </w:p>
    <w:p w14:paraId="59EAF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640" w:firstLineChars="305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目建设用地控制指标〉的通知》（自然资发</w:t>
      </w:r>
      <w:r>
        <w:rPr>
          <w:rFonts w:hint="eastAsia" w:ascii="方正仿宋_GBK" w:hAnsi="方正仿宋_GBK" w:eastAsia="方正仿宋_GBK" w:cs="方正仿宋_GBK"/>
          <w:sz w:val="21"/>
          <w:szCs w:val="21"/>
          <w:lang w:eastAsia="zh-CN"/>
        </w:rPr>
        <w:t>〔</w:t>
      </w:r>
      <w:r>
        <w:rPr>
          <w:rFonts w:hint="default" w:ascii="方正仿宋_GBK" w:hAnsi="方正仿宋_GBK" w:eastAsia="方正仿宋_GBK" w:cs="方正仿宋_GBK"/>
          <w:sz w:val="21"/>
          <w:szCs w:val="21"/>
          <w:lang w:val="en" w:eastAsia="zh-CN"/>
        </w:rPr>
        <w:t>2023</w:t>
      </w:r>
      <w:r>
        <w:rPr>
          <w:rFonts w:hint="eastAsia" w:ascii="方正仿宋_GBK" w:hAnsi="方正仿宋_GBK" w:eastAsia="方正仿宋_GBK" w:cs="方正仿宋_GBK"/>
          <w:sz w:val="21"/>
          <w:szCs w:val="21"/>
          <w:lang w:eastAsia="zh-CN"/>
        </w:rPr>
        <w:t>〕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72号）。</w:t>
      </w:r>
    </w:p>
    <w:p w14:paraId="4EDB2B09"/>
    <w:p w14:paraId="328C8EE2">
      <w:pPr>
        <w:pStyle w:val="2"/>
      </w:pPr>
    </w:p>
    <w:p w14:paraId="22ECDACB"/>
    <w:p w14:paraId="7B6E0214">
      <w:pPr>
        <w:pStyle w:val="2"/>
      </w:pPr>
    </w:p>
    <w:p w14:paraId="32DC52F4"/>
    <w:p w14:paraId="4E6D4DD2">
      <w:pPr>
        <w:pStyle w:val="2"/>
      </w:pPr>
    </w:p>
    <w:p w14:paraId="0D34AE25"/>
    <w:p w14:paraId="75B52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附件２</w:t>
      </w:r>
    </w:p>
    <w:p w14:paraId="2B28E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</w:p>
    <w:p w14:paraId="20A89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辽源市开发区工业用地“标准地”</w:t>
      </w:r>
    </w:p>
    <w:p w14:paraId="33134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改革协调推进机制成员单位及工作职责</w:t>
      </w:r>
    </w:p>
    <w:tbl>
      <w:tblPr>
        <w:tblStyle w:val="3"/>
        <w:tblW w:w="5032" w:type="pct"/>
        <w:tblInd w:w="-5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6839"/>
      </w:tblGrid>
      <w:tr w14:paraId="1BF2F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281FD">
            <w:pPr>
              <w:widowControl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部门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84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80" w:firstLineChars="20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工作职责</w:t>
            </w:r>
          </w:p>
        </w:tc>
      </w:tr>
      <w:tr w14:paraId="4793C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5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市发展改革委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D6E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4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1.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指导各开发区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管委会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按照产业发展相关规划，落实项目投资相关要求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6E6DF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4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2.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参与项目联合验收，对项目是否符合产业发展相关规划，落实项目投资情况进行监督。</w:t>
            </w:r>
          </w:p>
        </w:tc>
      </w:tr>
      <w:tr w14:paraId="6740A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9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A6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市自然资源局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B0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4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1.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牵头统筹推进“标准地”改革工作，指导开发区开展区域性评估和“3+N指标体系的建立”，市推进机制办公室设在市自然资源局，负责日常工作；</w:t>
            </w:r>
          </w:p>
          <w:p w14:paraId="0C904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4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2.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指导开发区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管委会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开展压覆重要矿产资源评估、地质灾害危险性等评估工作（如涉及），推动“多评合一”；</w:t>
            </w:r>
          </w:p>
          <w:p w14:paraId="5098B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4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3.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审核开发区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管委会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拟出让地块的具体控制指标，拟订国有建设用地使用权出让方案，报市政府批准后发布土地招拍挂公告，组织实施公开出让，签署《国有建设用地使用权出让合同》；</w:t>
            </w:r>
          </w:p>
          <w:p w14:paraId="7DD32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4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参与项目联合验收，对规划设计条件、容积率等指标落实情况进行监督。</w:t>
            </w:r>
          </w:p>
        </w:tc>
      </w:tr>
      <w:tr w14:paraId="44B37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C0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市科技局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D6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4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1.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指导开发区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管委会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在“标准地”指标体系中设定科研投入等相关指标；</w:t>
            </w:r>
          </w:p>
          <w:p w14:paraId="6452B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4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2.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指导企业科研投入指标的落实情况，推动科技创新要素向开发区聚集。</w:t>
            </w:r>
          </w:p>
        </w:tc>
      </w:tr>
      <w:tr w14:paraId="01B76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4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49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市工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业和</w:t>
            </w:r>
          </w:p>
          <w:p w14:paraId="54C12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息化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局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49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4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1.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依据产业发展政策，指导开发区明确“标准地”适用的工业产业类型和发展方向，优化产业布局；</w:t>
            </w:r>
          </w:p>
          <w:p w14:paraId="49853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4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2.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指导开发区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管委会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根据产业定位细化“3+N”指标体系中的能耗标准等软性指标（如涉及）；</w:t>
            </w:r>
          </w:p>
          <w:p w14:paraId="1621E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4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督促企业遵守能源消耗规定，参与项目联合验收，对单位产值能耗等指标落实情况进行核查（如涉及）。</w:t>
            </w:r>
          </w:p>
        </w:tc>
      </w:tr>
      <w:tr w14:paraId="6D03E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4CC6C">
            <w:pPr>
              <w:widowControl/>
              <w:spacing w:line="576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部门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B3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80" w:firstLineChars="20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工作职责</w:t>
            </w:r>
          </w:p>
        </w:tc>
      </w:tr>
      <w:tr w14:paraId="747E6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0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F1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市生态环境局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4B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指导开发区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管委会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开展环境影响评价等生态环境保护相关评估（如涉及），推动“多评合一”；</w:t>
            </w:r>
          </w:p>
          <w:p w14:paraId="17EC2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监督企业在项目建设和运营过程中遵守环保排放标准，确保污染物排放总量符合环评批复要求；</w:t>
            </w:r>
          </w:p>
          <w:p w14:paraId="541A6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参与项目联合验收，对企业环保指标落实情况进行核查（如涉及）。</w:t>
            </w:r>
          </w:p>
        </w:tc>
      </w:tr>
      <w:tr w14:paraId="7C14C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CC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市住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房城乡</w:t>
            </w:r>
          </w:p>
          <w:p w14:paraId="37D61C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局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1B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在项目开工建设阶段，督促企业落实工程主体责任和质量、安全、进度管理，确保符合建筑工程规范；</w:t>
            </w:r>
          </w:p>
          <w:p w14:paraId="640F6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参与项目联合验收，对工程质量、建筑系数等指标进行监督；</w:t>
            </w:r>
          </w:p>
          <w:p w14:paraId="1EDA1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推动“交地即交证、拿地即开工”，支持并指导开发区提前编制建设工程设计方案、施工图设计方案。</w:t>
            </w:r>
          </w:p>
        </w:tc>
      </w:tr>
      <w:tr w14:paraId="34FCC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C3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市水利局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C7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指导开发区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管委会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开展水资源论证、水土保持方案、洪水影响评价等与水资源相关的评估（如涉及），推动“多评合一”；</w:t>
            </w:r>
          </w:p>
          <w:p w14:paraId="72274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监督企业在项目建设和运营中落实水资源利用、水土保持等方案要求，防范水患风险。</w:t>
            </w:r>
          </w:p>
        </w:tc>
      </w:tr>
      <w:tr w14:paraId="34CE0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B9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市商务局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39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结合招商引资工作，指导开发区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管委会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利用“标准地”出让构建公开透明、规范高效的新型招商模式；</w:t>
            </w:r>
          </w:p>
          <w:p w14:paraId="3D2D3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推广“标准地”在招商引资中的应用，吸引优质工业项目入驻，</w:t>
            </w:r>
          </w:p>
          <w:p w14:paraId="54F6A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助力优化产业布局。</w:t>
            </w:r>
          </w:p>
        </w:tc>
      </w:tr>
      <w:tr w14:paraId="555EB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09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市文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旅局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FD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指导开发区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管委会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开展文物保护评估（如涉及），确保项目建设不破坏文物，推动“多评合一”；</w:t>
            </w:r>
          </w:p>
          <w:p w14:paraId="6D23A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监督项目建设和运营过程中对文物保护要求的落实，保障文化遗产安全。</w:t>
            </w:r>
          </w:p>
        </w:tc>
      </w:tr>
      <w:tr w14:paraId="45581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8E8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市市场监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局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AA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维护“标准地”出让相关的市场秩序，保障公平竞争。</w:t>
            </w:r>
          </w:p>
        </w:tc>
      </w:tr>
      <w:tr w14:paraId="64D1D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22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>市政务服务</w:t>
            </w:r>
          </w:p>
          <w:p w14:paraId="0F1B3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>和数字化局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29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配合优化“标准地”出让行政审批流程，整合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自然资源、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房城乡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设局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等部门审批资源，推动“帮代办”全流程服务窗口建设；</w:t>
            </w:r>
          </w:p>
          <w:p w14:paraId="36D10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配合各开发区管委会将企业信用信息纳入公共信用平台。</w:t>
            </w:r>
          </w:p>
        </w:tc>
      </w:tr>
      <w:tr w14:paraId="34327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17E20">
            <w:pPr>
              <w:widowControl/>
              <w:spacing w:line="576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部门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55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bidi="ar"/>
              </w:rPr>
              <w:t>工作职责</w:t>
            </w:r>
          </w:p>
        </w:tc>
      </w:tr>
      <w:tr w14:paraId="053A9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B35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市税务局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66D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监管“标准地”主要指标中的地均税收，确保企业依法纳税；</w:t>
            </w:r>
          </w:p>
          <w:p w14:paraId="39FCA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配合开发区管委会完成地均税收核算及达产复核。</w:t>
            </w:r>
          </w:p>
        </w:tc>
      </w:tr>
      <w:tr w14:paraId="01778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69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市人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力资源</w:t>
            </w:r>
          </w:p>
          <w:p w14:paraId="35FCA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会保障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局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38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指导开发区在“标准地”指标体系中设定就业等相关指标（如涉及）；</w:t>
            </w:r>
          </w:p>
          <w:p w14:paraId="0ED4B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“指导企业加大就业吸纳力度，”推动形成“企业达标—就业增长—区域发展”的良性循环。”</w:t>
            </w:r>
          </w:p>
        </w:tc>
      </w:tr>
      <w:tr w14:paraId="0F3ED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EA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市气象局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52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指导开发区开展气候可行性论证，提供科学的气候数据支持，推动“多评合一”；</w:t>
            </w:r>
          </w:p>
          <w:p w14:paraId="6A20B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监督项目规划和建设中对气候可行性论证成果的应用，保障项目气候适应性。</w:t>
            </w:r>
          </w:p>
        </w:tc>
      </w:tr>
      <w:tr w14:paraId="55176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BC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市地震局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70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指导开发区开展地震安全性评价（如涉及），提供地震安全标准依据，推动“多评合一”，指导项目建设符合地震安全相关标准。</w:t>
            </w:r>
          </w:p>
        </w:tc>
      </w:tr>
      <w:tr w14:paraId="10760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5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60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县、区政府</w:t>
            </w:r>
          </w:p>
          <w:p w14:paraId="1D1FE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bidi="ar"/>
              </w:rPr>
              <w:t>各开发区管委会</w:t>
            </w:r>
          </w:p>
        </w:tc>
        <w:tc>
          <w:tcPr>
            <w:tcW w:w="3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7D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组织开展区域评估，并于2025年底前向社会公布“3+N”指标体系；</w:t>
            </w:r>
          </w:p>
          <w:p w14:paraId="6991C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与企业签订《履约监管协议书》，明确控制指标、验收标准、违约责任等；</w:t>
            </w:r>
          </w:p>
          <w:p w14:paraId="0177A3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组织项目联合验收和达产复核，对项目建设、运营全程监管，包括督促企业按期开工/竣工、落实各项指标，对违约行为追究责任</w:t>
            </w:r>
          </w:p>
          <w:p w14:paraId="3205C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并报送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" w:bidi="ar"/>
              </w:rPr>
              <w:t>市政务服务和数字化局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纳入信用平台。</w:t>
            </w:r>
          </w:p>
        </w:tc>
      </w:tr>
    </w:tbl>
    <w:p w14:paraId="404071D2">
      <w:pPr>
        <w:pStyle w:val="2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29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 w:afterLines="0"/>
    </w:pPr>
  </w:style>
  <w:style w:type="character" w:customStyle="1" w:styleId="5">
    <w:name w:val="font31"/>
    <w:basedOn w:val="4"/>
    <w:qFormat/>
    <w:uiPriority w:val="0"/>
    <w:rPr>
      <w:rFonts w:ascii="Segoe UI" w:hAnsi="Segoe UI" w:eastAsia="Segoe UI" w:cs="Segoe UI"/>
      <w:b/>
      <w:bCs/>
      <w:color w:val="000000"/>
      <w:sz w:val="24"/>
      <w:szCs w:val="24"/>
      <w:u w:val="none"/>
    </w:rPr>
  </w:style>
  <w:style w:type="character" w:customStyle="1" w:styleId="6">
    <w:name w:val="font11"/>
    <w:basedOn w:val="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2025-12-12T06:00:35Z</dcterms:created>
  <dc:creator>Administrator</dc:creator>
  <cp:lastModifiedBy>桐桐</cp:lastModifiedBy>
  <dcterms:modified xsi:type="dcterms:W3CDTF">2025-12-12T06:02:32Z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eyJoZGlkIjoiMWI1NjQ1NzBhZGM2ODYyOGNhOWE5ZDg2NjBhZWMzYjIiLCJ1c2VySWQiOiIzMzk5NDYyMzAifQ==</vt:lpwstr>
  </property>
  <property fmtid="{D5CDD505-2E9C-101B-9397-08002B2CF9AE}" pid="4" name="ICV">
    <vt:lpwstr>0EE7FD3D39954B0FAD7D219796D9D2B4_12</vt:lpwstr>
  </property>
</Properties>
</file>