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80" w:lineRule="exact"/>
        <w:jc w:val="center"/>
        <w:rPr>
          <w:rFonts w:hint="default" w:ascii="宋体" w:eastAsia="宋体"/>
          <w:b/>
          <w:color w:val="000000"/>
          <w:spacing w:val="-14"/>
          <w:w w:val="90"/>
          <w:kern w:val="0"/>
          <w:sz w:val="44"/>
          <w:szCs w:val="44"/>
          <w:lang w:val="en-US" w:eastAsia="zh-CN"/>
        </w:rPr>
      </w:pPr>
      <w:r>
        <w:rPr>
          <w:rFonts w:hint="eastAsia" w:ascii="宋体" w:eastAsia="宋体"/>
          <w:b/>
          <w:color w:val="000000"/>
          <w:spacing w:val="-14"/>
          <w:w w:val="90"/>
          <w:kern w:val="0"/>
          <w:sz w:val="44"/>
          <w:szCs w:val="44"/>
          <w:lang w:eastAsia="zh-CN"/>
        </w:rPr>
        <w:t>《宣城市中心城区新能源电动汽车充电基础设施专项规划（2022-2030年》公示</w:t>
      </w:r>
      <w:r>
        <w:rPr>
          <w:rFonts w:hint="eastAsia" w:ascii="宋体" w:eastAsia="宋体"/>
          <w:b/>
          <w:color w:val="000000"/>
          <w:spacing w:val="-14"/>
          <w:w w:val="90"/>
          <w:kern w:val="0"/>
          <w:sz w:val="44"/>
          <w:szCs w:val="44"/>
          <w:lang w:val="en-US" w:eastAsia="zh-CN"/>
        </w:rPr>
        <w:t>稿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Times New Roman" w:hAnsi="Times New Roman" w:eastAsia="黑体"/>
          <w:color w:val="000000"/>
          <w:kern w:val="0"/>
          <w:lang w:val="en-US" w:eastAsia="zh-CN"/>
        </w:rPr>
      </w:pPr>
      <w:r>
        <w:rPr>
          <w:rFonts w:hint="eastAsia" w:ascii="Times New Roman" w:hAnsi="Times New Roman" w:eastAsia="黑体"/>
          <w:color w:val="000000"/>
          <w:kern w:val="0"/>
          <w:lang w:val="en-US" w:eastAsia="zh-CN"/>
        </w:rPr>
        <w:t>规划范围：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91919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91919"/>
          <w:spacing w:val="0"/>
          <w:sz w:val="24"/>
          <w:szCs w:val="24"/>
          <w:shd w:val="clear" w:color="auto" w:fill="FFFFFF"/>
          <w:lang w:val="en-US" w:eastAsia="zh-CN"/>
        </w:rPr>
        <w:t>东至水阳江、人和路-麻姑山路以东约600米，西至极盛路，南至500千伏高压廊道和川气东送廊道，北至青弋江大道以北1000-1500米、新皖赣铁路和铜南宣高速，包括金坝和向阳街道的城市集中建设区，总面积约288平方公里，其中城市建设用地115平方公里（含</w:t>
      </w:r>
      <w:r>
        <w:rPr>
          <w:rFonts w:hint="eastAsia" w:ascii="宋体" w:eastAsia="宋体" w:cs="宋体"/>
          <w:i w:val="0"/>
          <w:iCs w:val="0"/>
          <w:caps w:val="0"/>
          <w:color w:val="191919"/>
          <w:spacing w:val="0"/>
          <w:sz w:val="24"/>
          <w:szCs w:val="24"/>
          <w:shd w:val="clear" w:color="auto" w:fill="FFFFFF"/>
          <w:lang w:val="en-US" w:eastAsia="zh-CN"/>
        </w:rPr>
        <w:t>承接产业</w:t>
      </w:r>
      <w:r>
        <w:rPr>
          <w:rFonts w:hint="eastAsia" w:ascii="宋体" w:hAnsi="宋体" w:eastAsia="宋体" w:cs="宋体"/>
          <w:i w:val="0"/>
          <w:iCs w:val="0"/>
          <w:caps w:val="0"/>
          <w:color w:val="191919"/>
          <w:spacing w:val="0"/>
          <w:sz w:val="24"/>
          <w:szCs w:val="24"/>
          <w:shd w:val="clear" w:color="auto" w:fill="FFFFFF"/>
          <w:lang w:val="en-US" w:eastAsia="zh-CN"/>
        </w:rPr>
        <w:t>转移示范区）。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Times New Roman" w:hAnsi="Times New Roman" w:eastAsia="黑体"/>
          <w:color w:val="000000"/>
          <w:kern w:val="0"/>
          <w:lang w:val="en-US" w:eastAsia="zh-CN"/>
        </w:rPr>
      </w:pPr>
      <w:r>
        <w:rPr>
          <w:rFonts w:hint="eastAsia" w:ascii="Times New Roman" w:hAnsi="Times New Roman" w:eastAsia="黑体"/>
          <w:color w:val="000000"/>
          <w:kern w:val="0"/>
          <w:lang w:val="en-US" w:eastAsia="zh-CN"/>
        </w:rPr>
        <w:t>规划期限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91919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91919"/>
          <w:spacing w:val="0"/>
          <w:sz w:val="24"/>
          <w:szCs w:val="24"/>
          <w:shd w:val="clear" w:color="auto" w:fill="FFFFFF"/>
          <w:lang w:val="en-US" w:eastAsia="zh-CN"/>
        </w:rPr>
        <w:t>基年：2022年</w:t>
      </w:r>
      <w:r>
        <w:rPr>
          <w:rFonts w:hint="eastAsia" w:ascii="宋体" w:eastAsia="宋体" w:cs="宋体"/>
          <w:i w:val="0"/>
          <w:iCs w:val="0"/>
          <w:caps w:val="0"/>
          <w:color w:val="191919"/>
          <w:spacing w:val="0"/>
          <w:sz w:val="24"/>
          <w:szCs w:val="24"/>
          <w:shd w:val="clear" w:color="auto" w:fill="FFFFFF"/>
          <w:lang w:val="en-US" w:eastAsia="zh-CN"/>
        </w:rPr>
        <w:t>。</w:t>
      </w:r>
      <w:r>
        <w:rPr>
          <w:rFonts w:hint="eastAsia" w:ascii="宋体" w:hAnsi="宋体" w:eastAsia="宋体" w:cs="宋体"/>
          <w:i w:val="0"/>
          <w:iCs w:val="0"/>
          <w:caps w:val="0"/>
          <w:color w:val="191919"/>
          <w:spacing w:val="0"/>
          <w:sz w:val="24"/>
          <w:szCs w:val="24"/>
          <w:shd w:val="clear" w:color="auto" w:fill="FFFFFF"/>
          <w:lang w:val="en-US" w:eastAsia="zh-CN"/>
        </w:rPr>
        <w:t>规划期限：2022—2030年</w:t>
      </w:r>
      <w:r>
        <w:rPr>
          <w:rFonts w:hint="eastAsia" w:ascii="宋体" w:eastAsia="宋体" w:cs="宋体"/>
          <w:i w:val="0"/>
          <w:iCs w:val="0"/>
          <w:caps w:val="0"/>
          <w:color w:val="191919"/>
          <w:spacing w:val="0"/>
          <w:sz w:val="24"/>
          <w:szCs w:val="24"/>
          <w:shd w:val="clear" w:color="auto" w:fill="FFFFFF"/>
          <w:lang w:val="en-US" w:eastAsia="zh-CN"/>
        </w:rPr>
        <w:t>。</w:t>
      </w:r>
      <w:r>
        <w:rPr>
          <w:rFonts w:hint="eastAsia" w:ascii="宋体" w:hAnsi="宋体" w:eastAsia="宋体" w:cs="宋体"/>
          <w:i w:val="0"/>
          <w:iCs w:val="0"/>
          <w:caps w:val="0"/>
          <w:color w:val="191919"/>
          <w:spacing w:val="0"/>
          <w:sz w:val="24"/>
          <w:szCs w:val="24"/>
          <w:shd w:val="clear" w:color="auto" w:fill="FFFFFF"/>
          <w:lang w:val="en-US" w:eastAsia="zh-CN"/>
        </w:rPr>
        <w:t>近期至2025 年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Times New Roman" w:hAnsi="Times New Roman" w:eastAsia="黑体"/>
          <w:color w:val="000000"/>
          <w:kern w:val="0"/>
          <w:lang w:val="en-US" w:eastAsia="zh-CN"/>
        </w:rPr>
      </w:pPr>
      <w:r>
        <w:rPr>
          <w:rFonts w:hint="eastAsia" w:ascii="Times New Roman" w:hAnsi="Times New Roman" w:eastAsia="黑体"/>
          <w:color w:val="000000"/>
          <w:kern w:val="0"/>
          <w:lang w:val="en-US" w:eastAsia="zh-CN"/>
        </w:rPr>
        <w:t xml:space="preserve"> 规划对象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91919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91919"/>
          <w:spacing w:val="0"/>
          <w:sz w:val="24"/>
          <w:szCs w:val="24"/>
          <w:shd w:val="clear" w:color="auto" w:fill="FFFFFF"/>
          <w:lang w:val="en-US" w:eastAsia="zh-CN"/>
        </w:rPr>
        <w:t>充电设施是指为电动汽车提供电能补给的各类充电设施。充电设施主要包括各类集中式充（换）电站和分散式充电桩。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191919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191919"/>
          <w:spacing w:val="0"/>
          <w:sz w:val="24"/>
          <w:szCs w:val="24"/>
          <w:shd w:val="clear" w:color="auto" w:fill="FFFFFF"/>
          <w:lang w:val="en-US" w:eastAsia="zh-CN"/>
        </w:rPr>
        <w:t>1.充（换）电站分为2大类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91919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91919"/>
          <w:spacing w:val="0"/>
          <w:sz w:val="24"/>
          <w:szCs w:val="24"/>
          <w:shd w:val="clear" w:color="auto" w:fill="FFFFFF"/>
          <w:lang w:val="en-US" w:eastAsia="zh-CN"/>
        </w:rPr>
        <w:t xml:space="preserve">专用充（换）电站、公用充（换）电站。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91919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91919"/>
          <w:spacing w:val="0"/>
          <w:sz w:val="24"/>
          <w:szCs w:val="24"/>
          <w:shd w:val="clear" w:color="auto" w:fill="FFFFFF"/>
          <w:lang w:val="en-US" w:eastAsia="zh-CN"/>
        </w:rPr>
        <w:t>（1）公用充（换）电站：在独立地块建设，或在社会公共停车场、加油站、机场、码头等用地内划定独立区域合作建设，可为电动汽车提供充电服务的充电场所。以应急充电为主。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91919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91919"/>
          <w:spacing w:val="0"/>
          <w:sz w:val="24"/>
          <w:szCs w:val="24"/>
          <w:shd w:val="clear" w:color="auto" w:fill="FFFFFF"/>
          <w:lang w:val="en-US" w:eastAsia="zh-CN"/>
        </w:rPr>
        <w:t>（2）专用充（换）电站：结合公交车、长途客运车、物流及环卫专用车场站建设，为相应专用车辆提供充电服务的充电场所。主要服务于公交车、长途客运车、物流及环卫专用车。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191919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191919"/>
          <w:spacing w:val="0"/>
          <w:sz w:val="24"/>
          <w:szCs w:val="24"/>
          <w:shd w:val="clear" w:color="auto" w:fill="FFFFFF"/>
          <w:lang w:val="en-US" w:eastAsia="zh-CN"/>
        </w:rPr>
        <w:t>2.充电桩分为3大类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91919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91919"/>
          <w:spacing w:val="0"/>
          <w:sz w:val="24"/>
          <w:szCs w:val="24"/>
          <w:shd w:val="clear" w:color="auto" w:fill="FFFFFF"/>
          <w:lang w:val="en-US" w:eastAsia="zh-CN"/>
        </w:rPr>
        <w:t xml:space="preserve">私人乘用车充电桩、公共充电桩、专用充电桩。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91919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91919"/>
          <w:spacing w:val="0"/>
          <w:sz w:val="24"/>
          <w:szCs w:val="24"/>
          <w:shd w:val="clear" w:color="auto" w:fill="FFFFFF"/>
          <w:lang w:val="en-US" w:eastAsia="zh-CN"/>
        </w:rPr>
        <w:t xml:space="preserve">（1）居住小区充电桩，指位于居住用地内，主要为本居住用地内居民提供充电服务的充电桩。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91919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91919"/>
          <w:spacing w:val="0"/>
          <w:sz w:val="24"/>
          <w:szCs w:val="24"/>
          <w:shd w:val="clear" w:color="auto" w:fill="FFFFFF"/>
          <w:lang w:val="en-US" w:eastAsia="zh-CN"/>
        </w:rPr>
        <w:t>（2）公共充电桩，指位于居住用地之外的各类公共场所（不含企事业单位内部），如公共停车场、路边停车位、行政商贸文化办公场所等所配置的，为社会大众提供充电服务的充电桩。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hAnsi="仿宋_GB2312" w:cs="仿宋_GB2312"/>
          <w:bCs/>
          <w:color w:val="000000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91919"/>
          <w:spacing w:val="0"/>
          <w:sz w:val="24"/>
          <w:szCs w:val="24"/>
          <w:shd w:val="clear" w:color="auto" w:fill="FFFFFF"/>
          <w:lang w:val="en-US" w:eastAsia="zh-CN"/>
        </w:rPr>
        <w:t>（3）专用充电桩，指位于企事业内部，专为本单位公务车辆及办公、办事人员提供充电服务的充电桩。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Times New Roman" w:hAnsi="Times New Roman" w:eastAsia="黑体"/>
          <w:color w:val="000000"/>
          <w:kern w:val="0"/>
          <w:lang w:val="en-US" w:eastAsia="zh-CN"/>
        </w:rPr>
      </w:pPr>
      <w:r>
        <w:rPr>
          <w:rFonts w:hint="eastAsia" w:ascii="Times New Roman" w:hAnsi="Times New Roman" w:eastAsia="黑体"/>
          <w:color w:val="000000"/>
          <w:kern w:val="0"/>
          <w:lang w:val="en-US" w:eastAsia="zh-CN"/>
        </w:rPr>
        <w:t>发展目标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rightChars="0" w:firstLine="480" w:firstLineChars="200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规划期末，初步建成布局合理、完善先进、安全可靠的新能源汽车充电设施系统，成为城市智能电网组成部分，形成便捷、可靠的新能源汽车充电服务网络，全面满足新能源汽车充电需求，促进节能与新能源汽车推广示范和发展，为建设资源节约型和环境友好型社会奠定基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rightChars="0" w:firstLine="480" w:firstLineChars="200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本着“自（专）用为主、公用为辅、快慢结合、合建为主、单建为辅、分4类落实”的原则，逐步推进宣城市充电基础设施建设，形成布局合理、规模适度、体系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 xml:space="preserve">完善的充电设施规划布局，满足新能源车辆发展与使用的基本需求。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rightChars="0" w:firstLine="482" w:firstLineChars="200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  <w:lang w:val="en-US" w:eastAsia="zh-CN"/>
        </w:rPr>
      </w:pPr>
      <w:bookmarkStart w:id="0" w:name="OLE_LINK41"/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  <w:lang w:val="en-US" w:eastAsia="zh-CN"/>
        </w:rPr>
        <w:t>规划到2030年新增集中式充（换）电站28座。结合城市各类停车场建设公共充电桩8645个，设置专用充电桩1077个；结合新建住宅项目和小区改造新增私人乘用车充电桩数量不低于2.6万个</w:t>
      </w:r>
      <w:bookmarkStart w:id="1" w:name="_GoBack"/>
      <w:bookmarkEnd w:id="1"/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rightChars="0" w:firstLine="480" w:firstLineChars="200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 xml:space="preserve">——优先建设公交、环卫等公共服务领域充电基础设施，规划专用充（换）电站 13 座，其中公交车充换电站6座（含充电桩73个），其他专用充换电站7座（含充电桩96个）。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rightChars="0" w:firstLine="480" w:firstLineChars="200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——结合社会停车场所，合理建设集中式快充站，本次规划建设15处社会公共充电站（含充电桩176个）。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rightChars="0" w:firstLine="480" w:firstLineChars="200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——落实新建项目配建充电设施，新建住宅小区配建充电桩原则上不少于规划停车位的30%，新建公共建筑物停车场和社会公共停车场，按不少于规划停车位35％的比例配建充电桩。</w:t>
      </w:r>
    </w:p>
    <w:p>
      <w:pPr>
        <w:spacing w:line="580" w:lineRule="exact"/>
        <w:rPr>
          <w:rFonts w:hint="eastAsia" w:hAnsi="仿宋_GB2312" w:eastAsia="仿宋_GB2312" w:cs="仿宋_GB2312"/>
          <w:bCs/>
          <w:color w:val="000000"/>
          <w:lang w:val="en-US" w:eastAsia="zh-CN"/>
        </w:rPr>
      </w:pPr>
      <w:r>
        <w:rPr>
          <w:rFonts w:hint="eastAsia" w:hAnsi="仿宋_GB2312" w:cs="仿宋_GB2312"/>
          <w:bCs/>
          <w:color w:val="000000"/>
          <w:lang w:val="en-US" w:eastAsia="zh-CN"/>
        </w:rPr>
        <w:t>附图：</w:t>
      </w:r>
    </w:p>
    <w:p>
      <w:pPr>
        <w:numPr>
          <w:ilvl w:val="0"/>
          <w:numId w:val="2"/>
        </w:numPr>
        <w:jc w:val="left"/>
        <w:rPr>
          <w:rFonts w:hint="eastAsia" w:ascii="黑体" w:hAnsi="宋体" w:eastAsia="黑体" w:cs="Calibri"/>
          <w:b w:val="0"/>
          <w:bCs w:val="0"/>
          <w:i w:val="0"/>
          <w:iCs w:val="0"/>
          <w:caps/>
          <w:color w:val="auto"/>
          <w:sz w:val="28"/>
          <w:szCs w:val="28"/>
          <w:lang w:val="en-US" w:eastAsia="zh-CN"/>
        </w:rPr>
      </w:pPr>
      <w:r>
        <w:rPr>
          <w:rFonts w:hint="eastAsia" w:ascii="黑体" w:eastAsia="黑体" w:cs="Calibri"/>
          <w:b w:val="0"/>
          <w:bCs w:val="0"/>
          <w:i w:val="0"/>
          <w:iCs w:val="0"/>
          <w:caps/>
          <w:color w:val="auto"/>
          <w:sz w:val="28"/>
          <w:szCs w:val="28"/>
          <w:lang w:val="en-US" w:eastAsia="zh-CN"/>
        </w:rPr>
        <w:t>充（换）电站规划布局图</w:t>
      </w:r>
    </w:p>
    <w:p>
      <w:pPr>
        <w:numPr>
          <w:ilvl w:val="0"/>
          <w:numId w:val="2"/>
        </w:numPr>
        <w:jc w:val="left"/>
        <w:rPr>
          <w:rFonts w:hint="eastAsia" w:ascii="黑体" w:hAnsi="宋体" w:eastAsia="黑体" w:cs="Calibri"/>
          <w:b w:val="0"/>
          <w:bCs w:val="0"/>
          <w:i w:val="0"/>
          <w:iCs w:val="0"/>
          <w:caps/>
          <w:color w:val="auto"/>
          <w:sz w:val="28"/>
          <w:szCs w:val="28"/>
          <w:lang w:val="en-US" w:eastAsia="zh-CN"/>
        </w:rPr>
      </w:pPr>
      <w:r>
        <w:rPr>
          <w:rFonts w:hint="eastAsia" w:ascii="黑体" w:hAnsi="宋体" w:eastAsia="黑体" w:cs="Calibri"/>
          <w:b w:val="0"/>
          <w:bCs w:val="0"/>
          <w:i w:val="0"/>
          <w:iCs w:val="0"/>
          <w:caps/>
          <w:color w:val="auto"/>
          <w:sz w:val="28"/>
          <w:szCs w:val="28"/>
          <w:lang w:val="en-US" w:eastAsia="zh-CN"/>
        </w:rPr>
        <w:t>城市公共停车场充电桩布局规划图</w:t>
      </w:r>
    </w:p>
    <w:p>
      <w:pPr>
        <w:numPr>
          <w:ilvl w:val="0"/>
          <w:numId w:val="2"/>
        </w:numPr>
        <w:jc w:val="left"/>
        <w:rPr>
          <w:rFonts w:hint="eastAsia" w:ascii="黑体" w:hAnsi="宋体" w:eastAsia="黑体" w:cs="Calibri"/>
          <w:b w:val="0"/>
          <w:bCs w:val="0"/>
          <w:i w:val="0"/>
          <w:iCs w:val="0"/>
          <w:caps/>
          <w:color w:val="auto"/>
          <w:sz w:val="28"/>
          <w:szCs w:val="28"/>
          <w:lang w:val="en-US" w:eastAsia="zh-CN"/>
        </w:rPr>
      </w:pPr>
      <w:r>
        <w:rPr>
          <w:rFonts w:hint="eastAsia" w:ascii="黑体" w:eastAsia="黑体" w:cs="Calibri"/>
          <w:b w:val="0"/>
          <w:bCs w:val="0"/>
          <w:i w:val="0"/>
          <w:iCs w:val="0"/>
          <w:caps/>
          <w:color w:val="auto"/>
          <w:sz w:val="28"/>
          <w:szCs w:val="28"/>
          <w:lang w:val="en-US" w:eastAsia="zh-CN"/>
        </w:rPr>
        <w:t>城市公共管理和公共服务设施充电桩布局规划图</w:t>
      </w:r>
    </w:p>
    <w:p>
      <w:pPr>
        <w:numPr>
          <w:ilvl w:val="0"/>
          <w:numId w:val="2"/>
        </w:numPr>
        <w:jc w:val="left"/>
        <w:rPr>
          <w:rFonts w:hint="eastAsia" w:ascii="黑体" w:hAnsi="宋体" w:eastAsia="黑体" w:cs="Calibri"/>
          <w:b w:val="0"/>
          <w:bCs w:val="0"/>
          <w:i w:val="0"/>
          <w:iCs w:val="0"/>
          <w:caps/>
          <w:color w:val="auto"/>
          <w:sz w:val="28"/>
          <w:szCs w:val="28"/>
          <w:lang w:val="en-US" w:eastAsia="zh-CN"/>
        </w:rPr>
      </w:pPr>
      <w:r>
        <w:rPr>
          <w:rFonts w:hint="eastAsia" w:ascii="黑体" w:hAnsi="宋体" w:eastAsia="黑体" w:cs="Calibri"/>
          <w:b w:val="0"/>
          <w:bCs w:val="0"/>
          <w:i w:val="0"/>
          <w:iCs w:val="0"/>
          <w:caps/>
          <w:color w:val="auto"/>
          <w:sz w:val="28"/>
          <w:szCs w:val="28"/>
          <w:lang w:val="en-US" w:eastAsia="zh-CN"/>
        </w:rPr>
        <w:t>商业服务业设施配建充电桩布局规划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outlineLvl w:val="9"/>
        <w:rPr>
          <w:rFonts w:hint="eastAsia" w:ascii="仿宋_GB2312" w:hAnsi="宋体"/>
          <w:b/>
          <w:sz w:val="28"/>
          <w:szCs w:val="28"/>
          <w:lang w:val="en-US" w:eastAsia="zh-CN"/>
        </w:rPr>
      </w:pPr>
    </w:p>
    <w:p>
      <w:pPr>
        <w:rPr>
          <w:rFonts w:hint="eastAsia" w:ascii="仿宋_GB2312" w:hAnsi="宋体"/>
          <w:b/>
          <w:sz w:val="28"/>
          <w:szCs w:val="28"/>
          <w:lang w:val="en-US" w:eastAsia="zh-CN"/>
        </w:rPr>
      </w:pPr>
      <w:r>
        <w:rPr>
          <w:rFonts w:hint="eastAsia" w:ascii="仿宋_GB2312" w:hAnsi="宋体"/>
          <w:b/>
          <w:sz w:val="28"/>
          <w:szCs w:val="28"/>
          <w:lang w:val="en-US" w:eastAsia="zh-CN"/>
        </w:rPr>
        <w:drawing>
          <wp:inline distT="0" distB="0" distL="114300" distR="114300">
            <wp:extent cx="7126605" cy="5039995"/>
            <wp:effectExtent l="0" t="0" r="8255" b="17145"/>
            <wp:docPr id="6" name="图片 6" descr="E:\卢明军2022\2022.05.04宣城市充电设施规划（2022-2030年）\2022.10.22报批稿\03图集\04规划充换电站布局图.jpg04规划充换电站布局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E:\卢明军2022\2022.05.04宣城市充电设施规划（2022-2030年）\2022.10.22报批稿\03图集\04规划充换电站布局图.jpg04规划充换电站布局图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26605" cy="503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宋体"/>
          <w:b/>
          <w:sz w:val="28"/>
          <w:szCs w:val="28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outlineLvl w:val="9"/>
        <w:rPr>
          <w:rFonts w:hint="eastAsia" w:ascii="仿宋_GB2312" w:hAnsi="宋体"/>
          <w:b/>
          <w:sz w:val="28"/>
          <w:szCs w:val="28"/>
          <w:lang w:val="en-US" w:eastAsia="zh-CN"/>
        </w:rPr>
      </w:pPr>
      <w:r>
        <w:rPr>
          <w:rFonts w:hint="eastAsia" w:ascii="仿宋_GB2312" w:hAnsi="宋体"/>
          <w:b/>
          <w:sz w:val="28"/>
          <w:szCs w:val="28"/>
          <w:lang w:val="en-US" w:eastAsia="zh-CN"/>
        </w:rPr>
        <w:drawing>
          <wp:inline distT="0" distB="0" distL="114300" distR="114300">
            <wp:extent cx="7125335" cy="5039995"/>
            <wp:effectExtent l="0" t="0" r="8255" b="18415"/>
            <wp:docPr id="5" name="图片 5" descr="E:\卢明军2022\2022.05.04宣城市充电设施规划（2022-2030年）\2022.10.22报批稿\03图集\09城市公共停车场充电桩布局规划图.jpg09城市公共停车场充电桩布局规划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E:\卢明军2022\2022.05.04宣城市充电设施规划（2022-2030年）\2022.10.22报批稿\03图集\09城市公共停车场充电桩布局规划图.jpg09城市公共停车场充电桩布局规划图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25335" cy="503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宋体"/>
          <w:b/>
          <w:sz w:val="28"/>
          <w:szCs w:val="28"/>
          <w:lang w:val="en-US" w:eastAsia="zh-CN"/>
        </w:rPr>
        <w:drawing>
          <wp:inline distT="0" distB="0" distL="114300" distR="114300">
            <wp:extent cx="7126605" cy="5039995"/>
            <wp:effectExtent l="0" t="0" r="8255" b="17145"/>
            <wp:docPr id="7" name="图片 7" descr="E:\卢明军2022\2022.05.04宣城市充电设施规划（2022-2030年）\2022.10.22报批稿\03图集\10城市公共管理和公共服务设施充电桩布局规划图.jpg10城市公共管理和公共服务设施充电桩布局规划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E:\卢明军2022\2022.05.04宣城市充电设施规划（2022-2030年）\2022.10.22报批稿\03图集\10城市公共管理和公共服务设施充电桩布局规划图.jpg10城市公共管理和公共服务设施充电桩布局规划图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26605" cy="503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宋体"/>
          <w:b/>
          <w:sz w:val="28"/>
          <w:szCs w:val="28"/>
          <w:lang w:val="en-US" w:eastAsia="zh-CN"/>
        </w:rPr>
        <w:drawing>
          <wp:inline distT="0" distB="0" distL="114300" distR="114300">
            <wp:extent cx="7125970" cy="5039995"/>
            <wp:effectExtent l="0" t="0" r="8255" b="17780"/>
            <wp:docPr id="8" name="图片 8" descr="E:\卢明军2022\2022.05.04宣城市充电设施规划（2022-2030年）\2022.10.22报批稿\03图集\11商业服务业设施配建充电桩布局规划.jpg11商业服务业设施配建充电桩布局规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E:\卢明军2022\2022.05.04宣城市充电设施规划（2022-2030年）\2022.10.22报批稿\03图集\11商业服务业设施配建充电桩布局规划.jpg11商业服务业设施配建充电桩布局规划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25970" cy="503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right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6"/>
                            <w:rPr>
                              <w:rStyle w:val="11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11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11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OqXm5zwAAAAUBAAAPAAAAAAAAAAEAIAAAACIAAABkcnMvZG93bnJldi54&#10;bWxQSwECFAAUAAAACACHTuJA5STQfgMCAAAEBAAADgAAAAAAAAABACAAAAAeAQAAZHJzL2Uyb0Rv&#10;Yy54bWxQSwUGAAAAAAYABgBZAQAAk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Style w:val="11"/>
                      </w:rPr>
                    </w:pPr>
                    <w:r>
                      <w:fldChar w:fldCharType="begin"/>
                    </w:r>
                    <w:r>
                      <w:rPr>
                        <w:rStyle w:val="11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11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rap="around" w:vAnchor="text" w:hAnchor="margin" w:xAlign="right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end"/>
    </w:r>
  </w:p>
  <w:p>
    <w:pPr>
      <w:pStyle w:val="6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165A52"/>
    <w:multiLevelType w:val="singleLevel"/>
    <w:tmpl w:val="36165A5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A1BED60"/>
    <w:multiLevelType w:val="singleLevel"/>
    <w:tmpl w:val="5A1BED6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FlZmMyZDdkZTZkMzBhMGNjMzk2MTI0NWU5ZjdjNzgifQ=="/>
  </w:docVars>
  <w:rsids>
    <w:rsidRoot w:val="00B22ED8"/>
    <w:rsid w:val="00042250"/>
    <w:rsid w:val="001F39E0"/>
    <w:rsid w:val="00237E3E"/>
    <w:rsid w:val="00360A76"/>
    <w:rsid w:val="0036795D"/>
    <w:rsid w:val="004E5E9A"/>
    <w:rsid w:val="00517144"/>
    <w:rsid w:val="00562EF4"/>
    <w:rsid w:val="005E688F"/>
    <w:rsid w:val="00642CF8"/>
    <w:rsid w:val="008B08FF"/>
    <w:rsid w:val="008B61B4"/>
    <w:rsid w:val="008E1F51"/>
    <w:rsid w:val="00951B5A"/>
    <w:rsid w:val="009E7F53"/>
    <w:rsid w:val="00A54AF9"/>
    <w:rsid w:val="00AC65A9"/>
    <w:rsid w:val="00B22ED8"/>
    <w:rsid w:val="00B75C01"/>
    <w:rsid w:val="00C05128"/>
    <w:rsid w:val="00E47E70"/>
    <w:rsid w:val="00E92238"/>
    <w:rsid w:val="017C0C29"/>
    <w:rsid w:val="0218449D"/>
    <w:rsid w:val="023D7C29"/>
    <w:rsid w:val="03BA4FE9"/>
    <w:rsid w:val="04022318"/>
    <w:rsid w:val="040830D6"/>
    <w:rsid w:val="07823E72"/>
    <w:rsid w:val="091F0BF6"/>
    <w:rsid w:val="09E77B42"/>
    <w:rsid w:val="0EAF2133"/>
    <w:rsid w:val="0ECF7156"/>
    <w:rsid w:val="0EF37C62"/>
    <w:rsid w:val="0F1534B6"/>
    <w:rsid w:val="101F1EDF"/>
    <w:rsid w:val="10275A4C"/>
    <w:rsid w:val="11743EE5"/>
    <w:rsid w:val="12017F74"/>
    <w:rsid w:val="12624DD6"/>
    <w:rsid w:val="12DA415E"/>
    <w:rsid w:val="138C317F"/>
    <w:rsid w:val="145B1C6E"/>
    <w:rsid w:val="146731A6"/>
    <w:rsid w:val="177646B8"/>
    <w:rsid w:val="1A974BA1"/>
    <w:rsid w:val="1C030A7C"/>
    <w:rsid w:val="1E430B56"/>
    <w:rsid w:val="1F351423"/>
    <w:rsid w:val="20763F44"/>
    <w:rsid w:val="21333909"/>
    <w:rsid w:val="21A118C7"/>
    <w:rsid w:val="263B79E4"/>
    <w:rsid w:val="26DF6456"/>
    <w:rsid w:val="2C8C1FB3"/>
    <w:rsid w:val="2F2774BD"/>
    <w:rsid w:val="2FAD756D"/>
    <w:rsid w:val="327C77AE"/>
    <w:rsid w:val="35825757"/>
    <w:rsid w:val="35E577CA"/>
    <w:rsid w:val="39822A95"/>
    <w:rsid w:val="3A1E2BC2"/>
    <w:rsid w:val="3B196089"/>
    <w:rsid w:val="3BD26C26"/>
    <w:rsid w:val="3D523736"/>
    <w:rsid w:val="3FDA5A83"/>
    <w:rsid w:val="42595019"/>
    <w:rsid w:val="4D3961D0"/>
    <w:rsid w:val="52E13A72"/>
    <w:rsid w:val="531F5EFB"/>
    <w:rsid w:val="532330BC"/>
    <w:rsid w:val="54777088"/>
    <w:rsid w:val="57C07C33"/>
    <w:rsid w:val="5AE35463"/>
    <w:rsid w:val="5BAC696A"/>
    <w:rsid w:val="5C06756B"/>
    <w:rsid w:val="5D511D7F"/>
    <w:rsid w:val="5DBB2B6A"/>
    <w:rsid w:val="5ED31071"/>
    <w:rsid w:val="5F48084E"/>
    <w:rsid w:val="63935585"/>
    <w:rsid w:val="63E10177"/>
    <w:rsid w:val="655A04AD"/>
    <w:rsid w:val="661D0D85"/>
    <w:rsid w:val="663A5661"/>
    <w:rsid w:val="66F26B99"/>
    <w:rsid w:val="68A656A2"/>
    <w:rsid w:val="6A9A4E23"/>
    <w:rsid w:val="6AEB73AC"/>
    <w:rsid w:val="6B9E2060"/>
    <w:rsid w:val="6D382613"/>
    <w:rsid w:val="6DC924EC"/>
    <w:rsid w:val="6EEA765E"/>
    <w:rsid w:val="6F3407B5"/>
    <w:rsid w:val="719E4F9B"/>
    <w:rsid w:val="743E0E19"/>
    <w:rsid w:val="74F92FAD"/>
    <w:rsid w:val="760044BB"/>
    <w:rsid w:val="79533E79"/>
    <w:rsid w:val="7B2D2FF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宋体" w:eastAsia="仿宋_GB2312" w:cs="Times New Roman"/>
      <w:kern w:val="2"/>
      <w:sz w:val="32"/>
      <w:szCs w:val="32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2"/>
    <w:basedOn w:val="1"/>
    <w:qFormat/>
    <w:uiPriority w:val="99"/>
    <w:pPr>
      <w:widowControl/>
      <w:shd w:val="clear" w:color="auto" w:fill="FFFFFF"/>
      <w:spacing w:before="100" w:beforeAutospacing="1" w:after="100" w:afterAutospacing="1"/>
      <w:ind w:left="562"/>
      <w:jc w:val="center"/>
    </w:pPr>
    <w:rPr>
      <w:rFonts w:ascii="宋体" w:hAnsi="宋体"/>
      <w:b/>
      <w:bCs/>
    </w:rPr>
  </w:style>
  <w:style w:type="paragraph" w:styleId="4">
    <w:name w:val="Normal Indent"/>
    <w:basedOn w:val="1"/>
    <w:unhideWhenUsed/>
    <w:qFormat/>
    <w:uiPriority w:val="99"/>
    <w:pPr>
      <w:adjustRightInd w:val="0"/>
      <w:spacing w:line="360" w:lineRule="atLeast"/>
      <w:ind w:firstLine="420"/>
      <w:textAlignment w:val="baseline"/>
    </w:pPr>
    <w:rPr>
      <w:szCs w:val="20"/>
    </w:rPr>
  </w:style>
  <w:style w:type="paragraph" w:styleId="5">
    <w:name w:val="Body Text Indent"/>
    <w:basedOn w:val="1"/>
    <w:link w:val="13"/>
    <w:qFormat/>
    <w:uiPriority w:val="99"/>
    <w:pPr>
      <w:adjustRightInd w:val="0"/>
      <w:snapToGrid w:val="0"/>
      <w:spacing w:line="360" w:lineRule="auto"/>
      <w:ind w:firstLine="480" w:firstLineChars="200"/>
    </w:pPr>
    <w:rPr>
      <w:rFonts w:ascii="Times New Roman" w:hAnsi="Times New Roman" w:eastAsia="宋体"/>
      <w:sz w:val="24"/>
      <w:szCs w:val="24"/>
    </w:rPr>
  </w:style>
  <w:style w:type="paragraph" w:styleId="6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39"/>
    <w:pPr>
      <w:widowControl w:val="0"/>
      <w:jc w:val="both"/>
    </w:pPr>
    <w:rPr>
      <w:rFonts w:ascii="Calibri" w:hAnsi="Calibri" w:eastAsia="宋体" w:cs="Times New Roman"/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character" w:customStyle="1" w:styleId="12">
    <w:name w:val="页脚 Char"/>
    <w:basedOn w:val="10"/>
    <w:link w:val="6"/>
    <w:qFormat/>
    <w:uiPriority w:val="0"/>
    <w:rPr>
      <w:rFonts w:ascii="仿宋_GB2312" w:hAnsi="宋体" w:eastAsia="仿宋_GB2312" w:cs="Times New Roman"/>
      <w:sz w:val="18"/>
      <w:szCs w:val="18"/>
    </w:rPr>
  </w:style>
  <w:style w:type="character" w:customStyle="1" w:styleId="13">
    <w:name w:val="正文文本缩进 Char"/>
    <w:basedOn w:val="10"/>
    <w:link w:val="5"/>
    <w:qFormat/>
    <w:uiPriority w:val="99"/>
    <w:rPr>
      <w:rFonts w:ascii="Times New Roman" w:hAnsi="Times New Roman" w:eastAsia="宋体" w:cs="Times New Roman"/>
      <w:sz w:val="24"/>
      <w:szCs w:val="24"/>
    </w:rPr>
  </w:style>
  <w:style w:type="paragraph" w:customStyle="1" w:styleId="14">
    <w:name w:val="！正文格式 + 首行缩进:  2 字符"/>
    <w:basedOn w:val="1"/>
    <w:qFormat/>
    <w:uiPriority w:val="0"/>
    <w:pPr>
      <w:adjustRightInd w:val="0"/>
      <w:snapToGrid w:val="0"/>
      <w:spacing w:before="50" w:beforeLines="50" w:line="360" w:lineRule="auto"/>
      <w:ind w:firstLine="200" w:firstLineChars="200"/>
    </w:pPr>
    <w:rPr>
      <w:rFonts w:ascii="宋体" w:eastAsia="宋体" w:cs="宋体"/>
      <w:sz w:val="24"/>
      <w:szCs w:val="20"/>
      <w:lang w:val="zh-CN" w:eastAsia="zh-CN"/>
    </w:rPr>
  </w:style>
  <w:style w:type="paragraph" w:customStyle="1" w:styleId="15">
    <w:name w:val="00正文样式"/>
    <w:basedOn w:val="5"/>
    <w:qFormat/>
    <w:uiPriority w:val="0"/>
    <w:pPr>
      <w:spacing w:before="156" w:after="156"/>
    </w:pPr>
    <w:rPr>
      <w:rFonts w:cs="宋体"/>
      <w:color w:val="000000"/>
      <w:szCs w:val="20"/>
    </w:rPr>
  </w:style>
  <w:style w:type="paragraph" w:customStyle="1" w:styleId="16">
    <w:name w:val="样式 00正文样式 + 自动设置"/>
    <w:basedOn w:val="15"/>
    <w:qFormat/>
    <w:uiPriority w:val="0"/>
    <w:pPr>
      <w:spacing w:before="120" w:after="120" w:line="300" w:lineRule="auto"/>
      <w:ind w:firstLine="200"/>
    </w:pPr>
    <w:rPr>
      <w:color w:val="auto"/>
    </w:rPr>
  </w:style>
  <w:style w:type="character" w:customStyle="1" w:styleId="17">
    <w:name w:val="页眉 Char"/>
    <w:basedOn w:val="10"/>
    <w:link w:val="7"/>
    <w:qFormat/>
    <w:uiPriority w:val="99"/>
    <w:rPr>
      <w:rFonts w:ascii="仿宋_GB2312" w:hAnsi="宋体" w:eastAsia="仿宋_GB2312" w:cs="Times New Roman"/>
      <w:sz w:val="18"/>
      <w:szCs w:val="18"/>
    </w:rPr>
  </w:style>
  <w:style w:type="paragraph" w:customStyle="1" w:styleId="18">
    <w:name w:val="2正文"/>
    <w:basedOn w:val="1"/>
    <w:qFormat/>
    <w:uiPriority w:val="0"/>
    <w:pPr>
      <w:spacing w:before="50" w:beforeLines="50" w:line="360" w:lineRule="auto"/>
      <w:ind w:firstLine="200" w:firstLineChars="200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E5F0490-80AF-4A7C-87BC-1073D18BAF2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726</Words>
  <Characters>838</Characters>
  <Lines>14</Lines>
  <Paragraphs>4</Paragraphs>
  <TotalTime>0</TotalTime>
  <ScaleCrop>false</ScaleCrop>
  <LinksUpToDate>false</LinksUpToDate>
  <CharactersWithSpaces>842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2016-05-07T08:23:00Z</dcterms:created>
  <dc:creator>李其贵</dc:creator>
  <cp:lastModifiedBy>刘腾飞</cp:lastModifiedBy>
  <cp:lastPrinted>2018-01-18T06:55:00Z</cp:lastPrinted>
  <dcterms:modified xsi:type="dcterms:W3CDTF">2022-11-08T06:51:46Z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40FAFE830F1E4A459178EEF2C1DC04D2</vt:lpwstr>
  </property>
</Properties>
</file>