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E738C3">
      <w:pPr>
        <w:pStyle w:val="2"/>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方正黑体_GBK" w:hAnsi="方正黑体_GBK" w:eastAsia="方正黑体_GBK" w:cs="方正黑体_GBK"/>
          <w:sz w:val="32"/>
          <w:szCs w:val="32"/>
          <w:lang w:val="en" w:eastAsia="zh-CN"/>
        </w:rPr>
      </w:pPr>
      <w:r>
        <w:rPr>
          <w:rFonts w:hint="eastAsia" w:ascii="方正黑体_GBK" w:hAnsi="方正黑体_GBK" w:eastAsia="方正黑体_GBK" w:cs="方正黑体_GBK"/>
          <w:sz w:val="32"/>
          <w:szCs w:val="32"/>
          <w:lang w:val="en" w:eastAsia="zh-CN"/>
        </w:rPr>
        <w:t>附件</w:t>
      </w:r>
    </w:p>
    <w:p w14:paraId="32D981C5">
      <w:pPr>
        <w:pStyle w:val="2"/>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sz w:val="44"/>
          <w:szCs w:val="44"/>
          <w:lang w:val="en" w:eastAsia="zh-CN"/>
        </w:rPr>
      </w:pPr>
      <w:r>
        <w:rPr>
          <w:rFonts w:hint="eastAsia" w:ascii="方正小标宋_GBK" w:hAnsi="方正小标宋_GBK" w:eastAsia="方正小标宋_GBK" w:cs="方正小标宋_GBK"/>
          <w:sz w:val="44"/>
          <w:szCs w:val="44"/>
          <w:lang w:val="en" w:eastAsia="zh-CN"/>
        </w:rPr>
        <w:t>辽源市2025年优化营商环境重点工作任务清单</w:t>
      </w:r>
    </w:p>
    <w:p w14:paraId="41EB6130">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ascii="方正仿宋_GBK" w:hAnsi="方正仿宋_GBK" w:eastAsia="方正仿宋_GBK" w:cs="方正仿宋_GBK"/>
          <w:sz w:val="32"/>
          <w:szCs w:val="32"/>
          <w:lang w:val="en" w:eastAsia="zh-CN"/>
        </w:rPr>
      </w:pPr>
    </w:p>
    <w:tbl>
      <w:tblPr>
        <w:tblStyle w:val="5"/>
        <w:tblW w:w="136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448"/>
        <w:gridCol w:w="7695"/>
        <w:gridCol w:w="2340"/>
        <w:gridCol w:w="1467"/>
      </w:tblGrid>
      <w:tr w14:paraId="7997E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blHeader/>
          <w:jc w:val="center"/>
        </w:trPr>
        <w:tc>
          <w:tcPr>
            <w:tcW w:w="735" w:type="dxa"/>
            <w:tcBorders>
              <w:top w:val="single" w:color="auto" w:sz="4" w:space="0"/>
            </w:tcBorders>
            <w:noWrap w:val="0"/>
            <w:vAlign w:val="center"/>
          </w:tcPr>
          <w:p w14:paraId="4E806F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_GBK" w:hAnsi="方正黑体_GBK" w:eastAsia="方正黑体_GBK" w:cs="方正黑体_GBK"/>
                <w:b w:val="0"/>
                <w:bCs w:val="0"/>
                <w:color w:val="auto"/>
                <w:sz w:val="28"/>
                <w:szCs w:val="28"/>
                <w:highlight w:val="none"/>
                <w:u w:val="none"/>
                <w:vertAlign w:val="baseline"/>
                <w:lang w:val="en-US" w:eastAsia="zh-CN"/>
              </w:rPr>
            </w:pPr>
            <w:r>
              <w:rPr>
                <w:rFonts w:hint="eastAsia" w:ascii="方正黑体_GBK" w:hAnsi="方正黑体_GBK" w:eastAsia="方正黑体_GBK" w:cs="方正黑体_GBK"/>
                <w:b w:val="0"/>
                <w:bCs w:val="0"/>
                <w:color w:val="auto"/>
                <w:spacing w:val="-17"/>
                <w:sz w:val="28"/>
                <w:szCs w:val="28"/>
                <w:highlight w:val="none"/>
                <w:u w:val="none"/>
                <w:vertAlign w:val="baseline"/>
                <w:lang w:val="en-US" w:eastAsia="zh-CN"/>
              </w:rPr>
              <w:t>序号</w:t>
            </w:r>
          </w:p>
        </w:tc>
        <w:tc>
          <w:tcPr>
            <w:tcW w:w="1448" w:type="dxa"/>
            <w:tcBorders>
              <w:top w:val="single" w:color="auto" w:sz="4" w:space="0"/>
            </w:tcBorders>
            <w:noWrap w:val="0"/>
            <w:vAlign w:val="center"/>
          </w:tcPr>
          <w:p w14:paraId="75DC923C">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b w:val="0"/>
                <w:bCs w:val="0"/>
                <w:color w:val="auto"/>
                <w:sz w:val="28"/>
                <w:szCs w:val="28"/>
                <w:highlight w:val="none"/>
                <w:u w:val="none"/>
                <w:vertAlign w:val="baseline"/>
                <w:lang w:val="en-US" w:eastAsia="zh-CN"/>
              </w:rPr>
            </w:pPr>
            <w:r>
              <w:rPr>
                <w:rFonts w:hint="eastAsia" w:ascii="方正黑体_GBK" w:hAnsi="方正黑体_GBK" w:eastAsia="方正黑体_GBK" w:cs="方正黑体_GBK"/>
                <w:b w:val="0"/>
                <w:bCs w:val="0"/>
                <w:color w:val="auto"/>
                <w:sz w:val="28"/>
                <w:szCs w:val="28"/>
                <w:highlight w:val="none"/>
                <w:u w:val="none"/>
                <w:vertAlign w:val="baseline"/>
                <w:lang w:val="en-US" w:eastAsia="zh-CN"/>
              </w:rPr>
              <w:t>任务名称</w:t>
            </w:r>
          </w:p>
        </w:tc>
        <w:tc>
          <w:tcPr>
            <w:tcW w:w="7695" w:type="dxa"/>
            <w:tcBorders>
              <w:top w:val="single" w:color="auto" w:sz="4" w:space="0"/>
            </w:tcBorders>
            <w:noWrap w:val="0"/>
            <w:vAlign w:val="center"/>
          </w:tcPr>
          <w:p w14:paraId="29EDF2B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_GBK" w:hAnsi="方正黑体_GBK" w:eastAsia="方正黑体_GBK" w:cs="方正黑体_GBK"/>
                <w:b w:val="0"/>
                <w:bCs w:val="0"/>
                <w:color w:val="auto"/>
                <w:kern w:val="2"/>
                <w:sz w:val="28"/>
                <w:szCs w:val="28"/>
                <w:highlight w:val="none"/>
                <w:u w:val="none"/>
                <w:vertAlign w:val="baseline"/>
                <w:lang w:val="en-US" w:eastAsia="zh-CN" w:bidi="ar-SA"/>
              </w:rPr>
            </w:pPr>
            <w:r>
              <w:rPr>
                <w:rFonts w:hint="eastAsia" w:ascii="方正黑体_GBK" w:hAnsi="方正黑体_GBK" w:eastAsia="方正黑体_GBK" w:cs="方正黑体_GBK"/>
                <w:b w:val="0"/>
                <w:bCs w:val="0"/>
                <w:color w:val="auto"/>
                <w:sz w:val="28"/>
                <w:szCs w:val="28"/>
                <w:highlight w:val="none"/>
                <w:u w:val="none"/>
                <w:vertAlign w:val="baseline"/>
                <w:lang w:val="en-US" w:eastAsia="zh-CN"/>
              </w:rPr>
              <w:t>具体任务</w:t>
            </w:r>
          </w:p>
        </w:tc>
        <w:tc>
          <w:tcPr>
            <w:tcW w:w="2340" w:type="dxa"/>
            <w:tcBorders>
              <w:top w:val="single" w:color="auto" w:sz="4" w:space="0"/>
            </w:tcBorders>
            <w:noWrap w:val="0"/>
            <w:vAlign w:val="center"/>
          </w:tcPr>
          <w:p w14:paraId="032E205E">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eastAsia" w:ascii="方正黑体_GBK" w:hAnsi="方正黑体_GBK" w:eastAsia="方正黑体_GBK" w:cs="方正黑体_GBK"/>
                <w:b w:val="0"/>
                <w:bCs w:val="0"/>
                <w:color w:val="auto"/>
                <w:kern w:val="2"/>
                <w:sz w:val="28"/>
                <w:szCs w:val="28"/>
                <w:highlight w:val="none"/>
                <w:u w:val="none"/>
                <w:vertAlign w:val="baseline"/>
                <w:lang w:val="en-US" w:eastAsia="zh-CN" w:bidi="ar-SA"/>
              </w:rPr>
            </w:pPr>
            <w:r>
              <w:rPr>
                <w:rFonts w:hint="eastAsia" w:ascii="方正黑体_GBK" w:hAnsi="方正黑体_GBK" w:eastAsia="方正黑体_GBK" w:cs="方正黑体_GBK"/>
                <w:b w:val="0"/>
                <w:bCs w:val="0"/>
                <w:color w:val="auto"/>
                <w:sz w:val="28"/>
                <w:szCs w:val="28"/>
                <w:highlight w:val="none"/>
                <w:u w:val="none"/>
                <w:vertAlign w:val="baseline"/>
                <w:lang w:val="en-US" w:eastAsia="zh-CN"/>
              </w:rPr>
              <w:t>责任部门</w:t>
            </w:r>
          </w:p>
        </w:tc>
        <w:tc>
          <w:tcPr>
            <w:tcW w:w="1467" w:type="dxa"/>
            <w:tcBorders>
              <w:top w:val="single" w:color="auto" w:sz="4" w:space="0"/>
            </w:tcBorders>
            <w:noWrap w:val="0"/>
            <w:tcMar>
              <w:top w:w="0" w:type="dxa"/>
              <w:left w:w="57" w:type="dxa"/>
              <w:bottom w:w="0" w:type="dxa"/>
              <w:right w:w="57" w:type="dxa"/>
            </w:tcMar>
            <w:vAlign w:val="center"/>
          </w:tcPr>
          <w:p w14:paraId="4061B9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方正黑体_GBK" w:hAnsi="方正黑体_GBK" w:eastAsia="方正黑体_GBK" w:cs="方正黑体_GBK"/>
                <w:b w:val="0"/>
                <w:bCs w:val="0"/>
                <w:color w:val="auto"/>
                <w:kern w:val="2"/>
                <w:sz w:val="28"/>
                <w:szCs w:val="28"/>
                <w:highlight w:val="none"/>
                <w:u w:val="none"/>
                <w:vertAlign w:val="baseline"/>
                <w:lang w:val="en-US" w:eastAsia="zh-CN" w:bidi="ar-SA"/>
              </w:rPr>
            </w:pPr>
            <w:r>
              <w:rPr>
                <w:rFonts w:hint="eastAsia" w:ascii="方正黑体_GBK" w:hAnsi="方正黑体_GBK" w:eastAsia="方正黑体_GBK" w:cs="方正黑体_GBK"/>
                <w:b w:val="0"/>
                <w:bCs w:val="0"/>
                <w:color w:val="auto"/>
                <w:sz w:val="28"/>
                <w:szCs w:val="28"/>
                <w:highlight w:val="none"/>
                <w:u w:val="none"/>
                <w:vertAlign w:val="baseline"/>
                <w:lang w:val="en-US" w:eastAsia="zh-CN"/>
              </w:rPr>
              <w:t>完成时限</w:t>
            </w:r>
          </w:p>
        </w:tc>
      </w:tr>
      <w:tr w14:paraId="10CC1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5" w:hRule="atLeast"/>
          <w:jc w:val="center"/>
        </w:trPr>
        <w:tc>
          <w:tcPr>
            <w:tcW w:w="735" w:type="dxa"/>
            <w:noWrap w:val="0"/>
            <w:vAlign w:val="center"/>
          </w:tcPr>
          <w:p w14:paraId="370290B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w:t>
            </w:r>
          </w:p>
        </w:tc>
        <w:tc>
          <w:tcPr>
            <w:tcW w:w="1448" w:type="dxa"/>
            <w:noWrap w:val="0"/>
            <w:vAlign w:val="center"/>
          </w:tcPr>
          <w:p w14:paraId="1B95C86E">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推进政务服务“一网通办”</w:t>
            </w:r>
          </w:p>
        </w:tc>
        <w:tc>
          <w:tcPr>
            <w:tcW w:w="7695" w:type="dxa"/>
            <w:noWrap w:val="0"/>
            <w:vAlign w:val="center"/>
          </w:tcPr>
          <w:p w14:paraId="39827459">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开展政务服务事项规范化、标准化梳理，全面复用认领省直厅局政务服务事项库，统一办事指南、流程和表单材料；梳理电子证照和数据共享需求，推动“免证办”“减证办”；排查本领域小程序、APP，与“吉事办”全量对接，推动市、</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“无差别受理，同标准办理”并向基层延伸。在市、</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务服务中心建设“一网通办”专区，组建帮办代办服务团队，常态化开展服务培训；在有条件的便民服务中心、银行网点、产业园区等场所布设自助服务终端，引导企业群众通过网办、掌办、自助办办事，提高网办发生率。</w:t>
            </w:r>
          </w:p>
        </w:tc>
        <w:tc>
          <w:tcPr>
            <w:tcW w:w="2340" w:type="dxa"/>
            <w:noWrap w:val="0"/>
            <w:vAlign w:val="center"/>
          </w:tcPr>
          <w:p w14:paraId="19420ADA">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 w:eastAsia="zh-CN"/>
              </w:rPr>
              <w:t>，</w:t>
            </w:r>
            <w:r>
              <w:rPr>
                <w:rFonts w:hint="eastAsia" w:ascii="宋体" w:hAnsi="宋体" w:eastAsia="宋体" w:cs="宋体"/>
                <w:color w:val="auto"/>
                <w:sz w:val="24"/>
                <w:szCs w:val="24"/>
                <w:highlight w:val="none"/>
                <w:u w:val="none"/>
                <w:lang w:val="en-US" w:eastAsia="zh-CN"/>
              </w:rPr>
              <w:t>各行政审批单位</w:t>
            </w:r>
          </w:p>
        </w:tc>
        <w:tc>
          <w:tcPr>
            <w:tcW w:w="1467" w:type="dxa"/>
            <w:noWrap w:val="0"/>
            <w:tcMar>
              <w:top w:w="0" w:type="dxa"/>
              <w:left w:w="57" w:type="dxa"/>
              <w:bottom w:w="0" w:type="dxa"/>
              <w:right w:w="57" w:type="dxa"/>
            </w:tcMar>
            <w:vAlign w:val="center"/>
          </w:tcPr>
          <w:p w14:paraId="1F7CE1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2025年8月</w:t>
            </w:r>
          </w:p>
        </w:tc>
      </w:tr>
      <w:tr w14:paraId="0565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atLeast"/>
          <w:jc w:val="center"/>
        </w:trPr>
        <w:tc>
          <w:tcPr>
            <w:tcW w:w="735" w:type="dxa"/>
            <w:noWrap w:val="0"/>
            <w:vAlign w:val="center"/>
          </w:tcPr>
          <w:p w14:paraId="11504F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w:t>
            </w:r>
          </w:p>
        </w:tc>
        <w:tc>
          <w:tcPr>
            <w:tcW w:w="1448" w:type="dxa"/>
            <w:noWrap w:val="0"/>
            <w:vAlign w:val="center"/>
          </w:tcPr>
          <w:p w14:paraId="3DC310CE">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b w:val="0"/>
                <w:bCs w:val="0"/>
                <w:color w:val="auto"/>
                <w:sz w:val="24"/>
                <w:szCs w:val="24"/>
                <w:highlight w:val="none"/>
                <w:u w:val="none"/>
                <w:lang w:val="en-US" w:eastAsia="zh-CN"/>
              </w:rPr>
              <w:t>落实“高效办成一件事”</w:t>
            </w:r>
          </w:p>
        </w:tc>
        <w:tc>
          <w:tcPr>
            <w:tcW w:w="7695" w:type="dxa"/>
            <w:noWrap w:val="0"/>
            <w:vAlign w:val="center"/>
          </w:tcPr>
          <w:p w14:paraId="0F084E3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在巩固国务院第一批13个事项落地成果的基础上，持续拓展服务事项及范围，简化办事流程，全面推进落实食品经营等高频证照智能联办、全市公安政务服务事项无差别受理、电力外线工程关联业务“一次办”等73个“高效办成一件事”，实现线上线下融合服务。探索引入人工大模型，打造智慧服务新模式，提高政务服务效率。</w:t>
            </w:r>
          </w:p>
        </w:tc>
        <w:tc>
          <w:tcPr>
            <w:tcW w:w="2340" w:type="dxa"/>
            <w:noWrap w:val="0"/>
            <w:vAlign w:val="center"/>
          </w:tcPr>
          <w:p w14:paraId="1BEB59E3">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、市市场监管局、市公安局、国网辽源供电公司、人民银行辽源市分行等部门、各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w:t>
            </w:r>
          </w:p>
        </w:tc>
        <w:tc>
          <w:tcPr>
            <w:tcW w:w="1467" w:type="dxa"/>
            <w:noWrap w:val="0"/>
            <w:tcMar>
              <w:top w:w="0" w:type="dxa"/>
              <w:left w:w="57" w:type="dxa"/>
              <w:bottom w:w="0" w:type="dxa"/>
              <w:right w:w="57" w:type="dxa"/>
            </w:tcMar>
            <w:vAlign w:val="center"/>
          </w:tcPr>
          <w:p w14:paraId="614445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77331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5" w:hRule="atLeast"/>
          <w:jc w:val="center"/>
        </w:trPr>
        <w:tc>
          <w:tcPr>
            <w:tcW w:w="735" w:type="dxa"/>
            <w:noWrap w:val="0"/>
            <w:vAlign w:val="center"/>
          </w:tcPr>
          <w:p w14:paraId="7E35C6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3</w:t>
            </w:r>
          </w:p>
        </w:tc>
        <w:tc>
          <w:tcPr>
            <w:tcW w:w="1448" w:type="dxa"/>
            <w:noWrap w:val="0"/>
            <w:vAlign w:val="center"/>
          </w:tcPr>
          <w:p w14:paraId="36789B4B">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sz w:val="24"/>
                <w:szCs w:val="24"/>
                <w:highlight w:val="none"/>
                <w:u w:val="none"/>
                <w:vertAlign w:val="baseline"/>
                <w:lang w:val="en-US" w:eastAsia="zh-CN"/>
              </w:rPr>
            </w:pPr>
            <w:r>
              <w:rPr>
                <w:rFonts w:hint="eastAsia" w:ascii="宋体" w:hAnsi="宋体" w:eastAsia="宋体" w:cs="宋体"/>
                <w:b w:val="0"/>
                <w:bCs w:val="0"/>
                <w:color w:val="auto"/>
                <w:sz w:val="24"/>
                <w:szCs w:val="24"/>
                <w:highlight w:val="none"/>
                <w:u w:val="none"/>
                <w:lang w:val="en-US" w:eastAsia="zh-CN"/>
              </w:rPr>
              <w:t>优化市场准入准出</w:t>
            </w:r>
          </w:p>
        </w:tc>
        <w:tc>
          <w:tcPr>
            <w:tcW w:w="7695" w:type="dxa"/>
            <w:noWrap w:val="0"/>
            <w:vAlign w:val="center"/>
          </w:tcPr>
          <w:p w14:paraId="093B154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简化办事流程，大幅压缩行政许可时限，将办理时间压减至50%。深化“网上办、一日办、免费办、怎么能办”，提升企业开办便利程度。拓展市场监管领域行政许可“一网通办”办理体系。优化服务流程，持续推进“证照分离”改革，推动准入准营同步提速。推进企业注销一件事，实行市场监管、税务、社会保障等部门办理事项“一网申报、并联审批”。</w:t>
            </w:r>
          </w:p>
        </w:tc>
        <w:tc>
          <w:tcPr>
            <w:tcW w:w="2340" w:type="dxa"/>
            <w:noWrap w:val="0"/>
            <w:vAlign w:val="center"/>
          </w:tcPr>
          <w:p w14:paraId="0312019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市市场监管局</w:t>
            </w:r>
          </w:p>
          <w:p w14:paraId="22CB95E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市税务局</w:t>
            </w:r>
          </w:p>
          <w:p w14:paraId="3AF2EE5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lang w:val="en-US" w:eastAsia="zh-CN"/>
              </w:rPr>
              <w:t>市社保局</w:t>
            </w:r>
          </w:p>
        </w:tc>
        <w:tc>
          <w:tcPr>
            <w:tcW w:w="1467" w:type="dxa"/>
            <w:noWrap w:val="0"/>
            <w:tcMar>
              <w:top w:w="0" w:type="dxa"/>
              <w:left w:w="57" w:type="dxa"/>
              <w:bottom w:w="0" w:type="dxa"/>
              <w:right w:w="57" w:type="dxa"/>
            </w:tcMar>
            <w:vAlign w:val="center"/>
          </w:tcPr>
          <w:p w14:paraId="2116C0B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2025年4月</w:t>
            </w:r>
          </w:p>
        </w:tc>
      </w:tr>
      <w:tr w14:paraId="2940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0" w:hRule="atLeast"/>
          <w:jc w:val="center"/>
        </w:trPr>
        <w:tc>
          <w:tcPr>
            <w:tcW w:w="735" w:type="dxa"/>
            <w:noWrap w:val="0"/>
            <w:vAlign w:val="center"/>
          </w:tcPr>
          <w:p w14:paraId="6B089A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4</w:t>
            </w:r>
          </w:p>
        </w:tc>
        <w:tc>
          <w:tcPr>
            <w:tcW w:w="1448" w:type="dxa"/>
            <w:noWrap w:val="0"/>
            <w:vAlign w:val="center"/>
          </w:tcPr>
          <w:p w14:paraId="30B9AD4F">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b w:val="0"/>
                <w:bCs w:val="0"/>
                <w:color w:val="auto"/>
                <w:sz w:val="24"/>
                <w:szCs w:val="24"/>
                <w:highlight w:val="none"/>
                <w:u w:val="none"/>
                <w:lang w:val="en-US" w:eastAsia="zh-CN"/>
              </w:rPr>
              <w:t>开展环境影响评价改革试点</w:t>
            </w:r>
          </w:p>
        </w:tc>
        <w:tc>
          <w:tcPr>
            <w:tcW w:w="7695" w:type="dxa"/>
            <w:noWrap w:val="0"/>
            <w:vAlign w:val="center"/>
          </w:tcPr>
          <w:p w14:paraId="673261CF">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在各类开发区、产业园区对应填报环境影响登记表的城市道路、城市管网及管廊等5类建设项目可免予办理备案手续；对应编制环境影响报告表的纺织服装、通用设备制造业等9类建设项目可开展同类项目环评“打捆”审批；对符合条件的建设项目，环评审批时免提交主要污染物总量来源说明。</w:t>
            </w:r>
          </w:p>
        </w:tc>
        <w:tc>
          <w:tcPr>
            <w:tcW w:w="2340" w:type="dxa"/>
            <w:noWrap w:val="0"/>
            <w:vAlign w:val="center"/>
          </w:tcPr>
          <w:p w14:paraId="298C3283">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市生态环境局</w:t>
            </w:r>
          </w:p>
          <w:p w14:paraId="7A6ADA8B">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w:t>
            </w:r>
          </w:p>
        </w:tc>
        <w:tc>
          <w:tcPr>
            <w:tcW w:w="1467" w:type="dxa"/>
            <w:noWrap w:val="0"/>
            <w:tcMar>
              <w:top w:w="0" w:type="dxa"/>
              <w:left w:w="57" w:type="dxa"/>
              <w:bottom w:w="0" w:type="dxa"/>
              <w:right w:w="57" w:type="dxa"/>
            </w:tcMar>
            <w:vAlign w:val="center"/>
          </w:tcPr>
          <w:p w14:paraId="05F029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2025年5月</w:t>
            </w:r>
          </w:p>
        </w:tc>
      </w:tr>
      <w:tr w14:paraId="70928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5" w:hRule="atLeast"/>
          <w:jc w:val="center"/>
        </w:trPr>
        <w:tc>
          <w:tcPr>
            <w:tcW w:w="735" w:type="dxa"/>
            <w:noWrap w:val="0"/>
            <w:vAlign w:val="center"/>
          </w:tcPr>
          <w:p w14:paraId="6E7329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5</w:t>
            </w:r>
          </w:p>
        </w:tc>
        <w:tc>
          <w:tcPr>
            <w:tcW w:w="1448" w:type="dxa"/>
            <w:noWrap w:val="0"/>
            <w:vAlign w:val="center"/>
          </w:tcPr>
          <w:p w14:paraId="362FC182">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落实工业用地“标准地”出让制度</w:t>
            </w:r>
          </w:p>
        </w:tc>
        <w:tc>
          <w:tcPr>
            <w:tcW w:w="7695" w:type="dxa"/>
            <w:noWrap w:val="0"/>
            <w:vAlign w:val="center"/>
          </w:tcPr>
          <w:p w14:paraId="1281BE15">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各县区政府、辽源高新区管委会统筹开展区域综合评估，鼓励“多评合一”，推进工业用地“标准化”出让工作。鼓励长期租赁、先租后让、弹性年期等方式供应“标准地”。省级以上开发区、产业园区新增供应工业用地至少1宗实行“标准地”出让。</w:t>
            </w:r>
          </w:p>
        </w:tc>
        <w:tc>
          <w:tcPr>
            <w:tcW w:w="2340" w:type="dxa"/>
            <w:noWrap w:val="0"/>
            <w:vAlign w:val="center"/>
          </w:tcPr>
          <w:p w14:paraId="3CE2394C">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w:t>
            </w:r>
          </w:p>
          <w:p w14:paraId="543F8EF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辽源高新区管委会</w:t>
            </w:r>
          </w:p>
        </w:tc>
        <w:tc>
          <w:tcPr>
            <w:tcW w:w="1467" w:type="dxa"/>
            <w:noWrap w:val="0"/>
            <w:tcMar>
              <w:top w:w="0" w:type="dxa"/>
              <w:left w:w="57" w:type="dxa"/>
              <w:bottom w:w="0" w:type="dxa"/>
              <w:right w:w="57" w:type="dxa"/>
            </w:tcMar>
            <w:vAlign w:val="center"/>
          </w:tcPr>
          <w:p w14:paraId="167688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2025年6月</w:t>
            </w:r>
          </w:p>
        </w:tc>
      </w:tr>
      <w:tr w14:paraId="725B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5" w:hRule="atLeast"/>
          <w:jc w:val="center"/>
        </w:trPr>
        <w:tc>
          <w:tcPr>
            <w:tcW w:w="735" w:type="dxa"/>
            <w:noWrap w:val="0"/>
            <w:vAlign w:val="center"/>
          </w:tcPr>
          <w:p w14:paraId="272BA2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6</w:t>
            </w:r>
          </w:p>
        </w:tc>
        <w:tc>
          <w:tcPr>
            <w:tcW w:w="1448" w:type="dxa"/>
            <w:noWrap w:val="0"/>
            <w:vAlign w:val="center"/>
          </w:tcPr>
          <w:p w14:paraId="342E765E">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提升纳税便利化水平</w:t>
            </w:r>
          </w:p>
        </w:tc>
        <w:tc>
          <w:tcPr>
            <w:tcW w:w="7695" w:type="dxa"/>
            <w:noWrap w:val="0"/>
            <w:vAlign w:val="center"/>
          </w:tcPr>
          <w:p w14:paraId="52620E62">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　　依托“征纳互动”平台，推动更多税费服务事项实现全程网上办。深化“政策找人”和税企直联包保服务机制。推进“税企面对面”，实行市场主体诉求“集收分送”收集办理，依托三级“分级分类”沟通交流矩阵，完善问题收办“闭环管理”。升级税费诉求解决机制。持续打造“吉诉办”特色服务品牌，深化“高频诉求常态办”工作实效。持续开展“春雨润苗”“个体工商户服务月”“税商联动”等活动，细化专精特新、“智改数转”“独角兽”“小巨人”企业、“名特优新”个体工商户的梯度培育和重点扶持服务举措。</w:t>
            </w:r>
          </w:p>
        </w:tc>
        <w:tc>
          <w:tcPr>
            <w:tcW w:w="2340" w:type="dxa"/>
            <w:noWrap w:val="0"/>
            <w:vAlign w:val="center"/>
          </w:tcPr>
          <w:p w14:paraId="08A2C917">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市税务局</w:t>
            </w:r>
          </w:p>
        </w:tc>
        <w:tc>
          <w:tcPr>
            <w:tcW w:w="1467" w:type="dxa"/>
            <w:noWrap w:val="0"/>
            <w:tcMar>
              <w:top w:w="0" w:type="dxa"/>
              <w:left w:w="57" w:type="dxa"/>
              <w:bottom w:w="0" w:type="dxa"/>
              <w:right w:w="57" w:type="dxa"/>
            </w:tcMar>
            <w:vAlign w:val="center"/>
          </w:tcPr>
          <w:p w14:paraId="3A4271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2025年12月</w:t>
            </w:r>
          </w:p>
        </w:tc>
      </w:tr>
      <w:tr w14:paraId="54E1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5" w:type="dxa"/>
            <w:noWrap w:val="0"/>
            <w:vAlign w:val="center"/>
          </w:tcPr>
          <w:p w14:paraId="588DE05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7</w:t>
            </w:r>
          </w:p>
        </w:tc>
        <w:tc>
          <w:tcPr>
            <w:tcW w:w="1448" w:type="dxa"/>
            <w:noWrap w:val="0"/>
            <w:vAlign w:val="center"/>
          </w:tcPr>
          <w:p w14:paraId="29EEF58E">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优化应建防空地下室报建审批</w:t>
            </w:r>
          </w:p>
        </w:tc>
        <w:tc>
          <w:tcPr>
            <w:tcW w:w="7695" w:type="dxa"/>
            <w:noWrap w:val="0"/>
            <w:vAlign w:val="center"/>
          </w:tcPr>
          <w:p w14:paraId="51A718F1">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kern w:val="2"/>
                <w:sz w:val="24"/>
                <w:szCs w:val="24"/>
                <w:highlight w:val="none"/>
                <w:u w:val="none"/>
                <w:lang w:val="en-US" w:eastAsia="zh-CN" w:bidi="ar-SA"/>
              </w:rPr>
              <w:t>　　继续实行新的人防面积计算标准，落实工业类项目配建比例由3%下降至1%、学校类项目减半征收、非营利性医疗和养老项目减免等各类优惠政策，切实减轻企业压力。</w:t>
            </w:r>
          </w:p>
        </w:tc>
        <w:tc>
          <w:tcPr>
            <w:tcW w:w="2340" w:type="dxa"/>
            <w:noWrap w:val="0"/>
            <w:vAlign w:val="center"/>
          </w:tcPr>
          <w:p w14:paraId="22CC80D0">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市国动办</w:t>
            </w:r>
          </w:p>
        </w:tc>
        <w:tc>
          <w:tcPr>
            <w:tcW w:w="1467" w:type="dxa"/>
            <w:noWrap w:val="0"/>
            <w:tcMar>
              <w:top w:w="0" w:type="dxa"/>
              <w:left w:w="57" w:type="dxa"/>
              <w:bottom w:w="0" w:type="dxa"/>
              <w:right w:w="57" w:type="dxa"/>
            </w:tcMar>
            <w:vAlign w:val="center"/>
          </w:tcPr>
          <w:p w14:paraId="598350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2025年4月</w:t>
            </w:r>
          </w:p>
        </w:tc>
      </w:tr>
      <w:tr w14:paraId="31795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0" w:hRule="atLeast"/>
          <w:jc w:val="center"/>
        </w:trPr>
        <w:tc>
          <w:tcPr>
            <w:tcW w:w="735" w:type="dxa"/>
            <w:noWrap w:val="0"/>
            <w:vAlign w:val="center"/>
          </w:tcPr>
          <w:p w14:paraId="781486E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8</w:t>
            </w:r>
          </w:p>
        </w:tc>
        <w:tc>
          <w:tcPr>
            <w:tcW w:w="1448" w:type="dxa"/>
            <w:noWrap w:val="0"/>
            <w:vAlign w:val="center"/>
          </w:tcPr>
          <w:p w14:paraId="49D43BD7">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推行工程建设项目“自选式”联合验收</w:t>
            </w:r>
          </w:p>
        </w:tc>
        <w:tc>
          <w:tcPr>
            <w:tcW w:w="7695" w:type="dxa"/>
            <w:noWrap w:val="0"/>
            <w:vAlign w:val="center"/>
          </w:tcPr>
          <w:p w14:paraId="4740E8D4">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推进工程建设项目审批制度改革，深入开展线上协同服务，线下联合会商，推行项目审批辅导和领办协办服务。在全面推广工程建设项目联合验收的基础上，推行“按需验”“限时验”“单独验”，支持建设单位按需求分阶段办理竣工验收事项，助推项目早建设、早投用、早达效。</w:t>
            </w:r>
          </w:p>
        </w:tc>
        <w:tc>
          <w:tcPr>
            <w:tcW w:w="2340" w:type="dxa"/>
            <w:noWrap w:val="0"/>
            <w:vAlign w:val="center"/>
          </w:tcPr>
          <w:p w14:paraId="072AC21F">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市住房城乡建设局</w:t>
            </w:r>
            <w:r>
              <w:rPr>
                <w:rFonts w:hint="eastAsia" w:ascii="宋体" w:hAnsi="宋体" w:eastAsia="宋体" w:cs="宋体"/>
                <w:color w:val="auto"/>
                <w:sz w:val="24"/>
                <w:szCs w:val="24"/>
                <w:highlight w:val="none"/>
                <w:u w:val="none"/>
                <w:lang w:val="en-US" w:eastAsia="zh-CN"/>
              </w:rPr>
              <w:t>、市自然资源局、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 w:eastAsia="zh-CN"/>
              </w:rPr>
              <w:t>、市国动办、</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5BB3DC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2025年6月</w:t>
            </w:r>
          </w:p>
        </w:tc>
      </w:tr>
      <w:tr w14:paraId="3135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735" w:type="dxa"/>
            <w:noWrap w:val="0"/>
            <w:vAlign w:val="center"/>
          </w:tcPr>
          <w:p w14:paraId="2A7964B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9</w:t>
            </w:r>
          </w:p>
        </w:tc>
        <w:tc>
          <w:tcPr>
            <w:tcW w:w="1448" w:type="dxa"/>
            <w:noWrap w:val="0"/>
            <w:vAlign w:val="center"/>
          </w:tcPr>
          <w:p w14:paraId="4022A52F">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实施“全周期”助企服务保障</w:t>
            </w:r>
          </w:p>
        </w:tc>
        <w:tc>
          <w:tcPr>
            <w:tcW w:w="7695" w:type="dxa"/>
            <w:noWrap w:val="0"/>
            <w:vAlign w:val="center"/>
          </w:tcPr>
          <w:p w14:paraId="48CF923A">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　　在各类开发区、产业园区、政务服务中心建立“助企服务办公室”，根据企业需要，提供帮办代办、上门服务、预约服务、并联审批等增值服务，整合政务服务资源，优化政务服务水平，加大协调保障力度，从招商引资、项目审批、生产经营、市场监管等环节实施“港湾式”保障服务。</w:t>
            </w:r>
          </w:p>
        </w:tc>
        <w:tc>
          <w:tcPr>
            <w:tcW w:w="2340" w:type="dxa"/>
            <w:noWrap w:val="0"/>
            <w:vAlign w:val="center"/>
          </w:tcPr>
          <w:p w14:paraId="59942AAB">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市商务局、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、人力资源社会保障局、市自然资源局、市生态环境局、各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34BA6E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2025年8月</w:t>
            </w:r>
          </w:p>
        </w:tc>
      </w:tr>
      <w:tr w14:paraId="21DD2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5" w:hRule="atLeast"/>
          <w:jc w:val="center"/>
        </w:trPr>
        <w:tc>
          <w:tcPr>
            <w:tcW w:w="735" w:type="dxa"/>
            <w:noWrap w:val="0"/>
            <w:vAlign w:val="center"/>
          </w:tcPr>
          <w:p w14:paraId="7BD3EF3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10</w:t>
            </w:r>
          </w:p>
        </w:tc>
        <w:tc>
          <w:tcPr>
            <w:tcW w:w="1448" w:type="dxa"/>
            <w:noWrap w:val="0"/>
            <w:vAlign w:val="center"/>
          </w:tcPr>
          <w:p w14:paraId="40EC7235">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持续提升贸易便利化水平</w:t>
            </w:r>
          </w:p>
        </w:tc>
        <w:tc>
          <w:tcPr>
            <w:tcW w:w="7695" w:type="dxa"/>
            <w:noWrap w:val="0"/>
            <w:vAlign w:val="center"/>
          </w:tcPr>
          <w:p w14:paraId="12A2C182">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　　开展“7×24小时”预约通关模式。积极应用推广“智慧海关建设”成果，深化进出口货物“远程属地查检”和“批次检验”监管模式改革，不断扩大“远程属地查检”试点产品范围，在出口农食产品等领域探索开展“批次检验”试点工作。全面推广应用海关属地查检业务管理系统及“云签发”模式，提供“在线审核、当日寄递”签证服务。</w:t>
            </w:r>
          </w:p>
        </w:tc>
        <w:tc>
          <w:tcPr>
            <w:tcW w:w="2340" w:type="dxa"/>
            <w:noWrap w:val="0"/>
            <w:vAlign w:val="center"/>
          </w:tcPr>
          <w:p w14:paraId="1EBA6D7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辽源海关</w:t>
            </w:r>
          </w:p>
        </w:tc>
        <w:tc>
          <w:tcPr>
            <w:tcW w:w="1467" w:type="dxa"/>
            <w:noWrap w:val="0"/>
            <w:tcMar>
              <w:top w:w="0" w:type="dxa"/>
              <w:left w:w="57" w:type="dxa"/>
              <w:bottom w:w="0" w:type="dxa"/>
              <w:right w:w="57" w:type="dxa"/>
            </w:tcMar>
            <w:vAlign w:val="center"/>
          </w:tcPr>
          <w:p w14:paraId="7C5DEE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2025年4月</w:t>
            </w:r>
          </w:p>
        </w:tc>
      </w:tr>
      <w:tr w14:paraId="0B9D9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735" w:type="dxa"/>
            <w:noWrap w:val="0"/>
            <w:vAlign w:val="center"/>
          </w:tcPr>
          <w:p w14:paraId="742B48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11</w:t>
            </w:r>
          </w:p>
        </w:tc>
        <w:tc>
          <w:tcPr>
            <w:tcW w:w="1448" w:type="dxa"/>
            <w:noWrap w:val="0"/>
            <w:vAlign w:val="center"/>
          </w:tcPr>
          <w:p w14:paraId="2EC38EAE">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建立良好公共资源交易环境</w:t>
            </w:r>
          </w:p>
        </w:tc>
        <w:tc>
          <w:tcPr>
            <w:tcW w:w="7695" w:type="dxa"/>
            <w:noWrap w:val="0"/>
            <w:vAlign w:val="center"/>
          </w:tcPr>
          <w:p w14:paraId="7113B2B3">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改进招标投标领域评标方法，扩大远程异地评标和“双盲”评审适用范围，用好各类公共资源交易平台，强化异常数据的抓取、分析、形成穿透式监管，及时识别、移交违法违规线索，确保招投标、政府采购、公共资源交易过程的公平、公正、透明。</w:t>
            </w:r>
          </w:p>
        </w:tc>
        <w:tc>
          <w:tcPr>
            <w:tcW w:w="2340" w:type="dxa"/>
            <w:noWrap w:val="0"/>
            <w:vAlign w:val="center"/>
          </w:tcPr>
          <w:p w14:paraId="1A458072">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、市住房城乡建设局、市交通运输局、市卫生健康委、市水利局</w:t>
            </w:r>
          </w:p>
        </w:tc>
        <w:tc>
          <w:tcPr>
            <w:tcW w:w="1467" w:type="dxa"/>
            <w:noWrap w:val="0"/>
            <w:tcMar>
              <w:top w:w="0" w:type="dxa"/>
              <w:left w:w="57" w:type="dxa"/>
              <w:bottom w:w="0" w:type="dxa"/>
              <w:right w:w="57" w:type="dxa"/>
            </w:tcMar>
            <w:vAlign w:val="center"/>
          </w:tcPr>
          <w:p w14:paraId="370BF09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2025年6月</w:t>
            </w:r>
          </w:p>
        </w:tc>
      </w:tr>
      <w:tr w14:paraId="5EB53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5" w:hRule="atLeast"/>
          <w:jc w:val="center"/>
        </w:trPr>
        <w:tc>
          <w:tcPr>
            <w:tcW w:w="735" w:type="dxa"/>
            <w:noWrap w:val="0"/>
            <w:vAlign w:val="center"/>
          </w:tcPr>
          <w:p w14:paraId="50FD83A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12</w:t>
            </w:r>
          </w:p>
        </w:tc>
        <w:tc>
          <w:tcPr>
            <w:tcW w:w="1448" w:type="dxa"/>
            <w:noWrap w:val="0"/>
            <w:vAlign w:val="center"/>
          </w:tcPr>
          <w:p w14:paraId="786FF78A">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加强产业“全链条”要素供给</w:t>
            </w:r>
          </w:p>
        </w:tc>
        <w:tc>
          <w:tcPr>
            <w:tcW w:w="7695" w:type="dxa"/>
            <w:noWrap w:val="0"/>
            <w:vAlign w:val="center"/>
          </w:tcPr>
          <w:p w14:paraId="2A5ED875">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充分发挥产业联盟、商会、行业协会、企业家联盟、校友会在建链强链中的融合作用，强化上下游供需合作、产业协作、创新协同。围绕蛋品、松籽、梅花鹿、大米、玉米等特色农产品，从种植养殖、精深加工、品牌培育、研发创新、产品营销等方面，加强政策供给。</w:t>
            </w:r>
          </w:p>
        </w:tc>
        <w:tc>
          <w:tcPr>
            <w:tcW w:w="2340" w:type="dxa"/>
            <w:noWrap w:val="0"/>
            <w:vAlign w:val="center"/>
          </w:tcPr>
          <w:p w14:paraId="22CC189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市工业和信息化局</w:t>
            </w:r>
            <w:r>
              <w:rPr>
                <w:rFonts w:hint="eastAsia" w:ascii="宋体" w:hAnsi="宋体" w:eastAsia="宋体" w:cs="宋体"/>
                <w:color w:val="auto"/>
                <w:sz w:val="24"/>
                <w:szCs w:val="24"/>
                <w:highlight w:val="none"/>
                <w:u w:val="none"/>
                <w:lang w:val="en-US" w:eastAsia="zh-CN"/>
              </w:rPr>
              <w:t>、市科技局、市农业农村局、市市场监管局、市林草局</w:t>
            </w:r>
          </w:p>
        </w:tc>
        <w:tc>
          <w:tcPr>
            <w:tcW w:w="1467" w:type="dxa"/>
            <w:noWrap w:val="0"/>
            <w:tcMar>
              <w:top w:w="0" w:type="dxa"/>
              <w:left w:w="57" w:type="dxa"/>
              <w:bottom w:w="0" w:type="dxa"/>
              <w:right w:w="57" w:type="dxa"/>
            </w:tcMar>
            <w:vAlign w:val="center"/>
          </w:tcPr>
          <w:p w14:paraId="363EAC0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2025年9月</w:t>
            </w:r>
          </w:p>
        </w:tc>
      </w:tr>
      <w:tr w14:paraId="45074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jc w:val="center"/>
        </w:trPr>
        <w:tc>
          <w:tcPr>
            <w:tcW w:w="735" w:type="dxa"/>
            <w:noWrap w:val="0"/>
            <w:vAlign w:val="center"/>
          </w:tcPr>
          <w:p w14:paraId="1D0410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13</w:t>
            </w:r>
          </w:p>
        </w:tc>
        <w:tc>
          <w:tcPr>
            <w:tcW w:w="1448" w:type="dxa"/>
            <w:noWrap w:val="0"/>
            <w:vAlign w:val="center"/>
          </w:tcPr>
          <w:p w14:paraId="588B282D">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支持企业开展科技创新行动</w:t>
            </w:r>
          </w:p>
        </w:tc>
        <w:tc>
          <w:tcPr>
            <w:tcW w:w="7695" w:type="dxa"/>
            <w:noWrap w:val="0"/>
            <w:vAlign w:val="center"/>
          </w:tcPr>
          <w:p w14:paraId="10EF3BAB">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支持企业牵头建设市级以上科技创新中心等技术创新平台。支持企业申报省级科技发展计划等项目。加快推动教育、科技、人才、产业一体化发展，建立校企共引共用高层次人才、重点企业特设岗位引才机制，健全高校院所全链条适配优质企业对接机制，打通高校、科研院所和企业人才交流通道。</w:t>
            </w:r>
          </w:p>
        </w:tc>
        <w:tc>
          <w:tcPr>
            <w:tcW w:w="2340" w:type="dxa"/>
            <w:noWrap w:val="0"/>
            <w:vAlign w:val="center"/>
          </w:tcPr>
          <w:p w14:paraId="6F0A43BC">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市科技局、</w:t>
            </w:r>
            <w:r>
              <w:rPr>
                <w:rFonts w:hint="default" w:ascii="宋体" w:hAnsi="宋体" w:eastAsia="宋体" w:cs="宋体"/>
                <w:color w:val="auto"/>
                <w:sz w:val="24"/>
                <w:szCs w:val="24"/>
                <w:highlight w:val="none"/>
                <w:u w:val="none"/>
                <w:lang w:val="en" w:eastAsia="zh-CN"/>
              </w:rPr>
              <w:t>市工业和信息化局</w:t>
            </w:r>
            <w:r>
              <w:rPr>
                <w:rFonts w:hint="eastAsia" w:ascii="宋体" w:hAnsi="宋体" w:eastAsia="宋体" w:cs="宋体"/>
                <w:color w:val="auto"/>
                <w:sz w:val="24"/>
                <w:szCs w:val="24"/>
                <w:highlight w:val="none"/>
                <w:u w:val="none"/>
                <w:lang w:val="en-US" w:eastAsia="zh-CN"/>
              </w:rPr>
              <w:t>、市教育局、</w:t>
            </w:r>
            <w:r>
              <w:rPr>
                <w:rFonts w:hint="default" w:ascii="宋体" w:hAnsi="宋体" w:eastAsia="宋体" w:cs="宋体"/>
                <w:color w:val="auto"/>
                <w:sz w:val="24"/>
                <w:szCs w:val="24"/>
                <w:highlight w:val="none"/>
                <w:u w:val="none"/>
                <w:lang w:val="en" w:eastAsia="zh-CN"/>
              </w:rPr>
              <w:t>市人力资源社会保障局</w:t>
            </w:r>
          </w:p>
        </w:tc>
        <w:tc>
          <w:tcPr>
            <w:tcW w:w="1467" w:type="dxa"/>
            <w:noWrap w:val="0"/>
            <w:tcMar>
              <w:top w:w="0" w:type="dxa"/>
              <w:left w:w="57" w:type="dxa"/>
              <w:bottom w:w="0" w:type="dxa"/>
              <w:right w:w="57" w:type="dxa"/>
            </w:tcMar>
            <w:vAlign w:val="center"/>
          </w:tcPr>
          <w:p w14:paraId="1587801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2025年10月</w:t>
            </w:r>
          </w:p>
        </w:tc>
      </w:tr>
      <w:tr w14:paraId="718E7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5" w:hRule="atLeast"/>
          <w:jc w:val="center"/>
        </w:trPr>
        <w:tc>
          <w:tcPr>
            <w:tcW w:w="735" w:type="dxa"/>
            <w:noWrap w:val="0"/>
            <w:vAlign w:val="center"/>
          </w:tcPr>
          <w:p w14:paraId="7436CD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14</w:t>
            </w:r>
          </w:p>
        </w:tc>
        <w:tc>
          <w:tcPr>
            <w:tcW w:w="1448" w:type="dxa"/>
            <w:noWrap w:val="0"/>
            <w:vAlign w:val="center"/>
          </w:tcPr>
          <w:p w14:paraId="74CDCA72">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着力深化“两找一服务”工程</w:t>
            </w:r>
          </w:p>
        </w:tc>
        <w:tc>
          <w:tcPr>
            <w:tcW w:w="7695" w:type="dxa"/>
            <w:noWrap w:val="0"/>
            <w:vAlign w:val="center"/>
          </w:tcPr>
          <w:p w14:paraId="670AABC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依托“96885吉人在线”服务平台，征集并推送就业岗位，推进“两找一服务”工程提质增效。开展“就业援助月”“春风行动”“民营企业招聘月”“金秋招聘月”等专项活动。创新实施“北方袜业集团‘千人创业就业计划’”，研究制定配套扶持政策措施，开展招引育留系列活动。依托抖音平台开展直播带岗活动，精准提供企业招工信息。在新媒体平台发布信息，举办专场招聘活动。</w:t>
            </w:r>
          </w:p>
        </w:tc>
        <w:tc>
          <w:tcPr>
            <w:tcW w:w="2340" w:type="dxa"/>
            <w:noWrap w:val="0"/>
            <w:vAlign w:val="center"/>
          </w:tcPr>
          <w:p w14:paraId="1C5F852D">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spacing w:val="0"/>
                <w:sz w:val="24"/>
                <w:szCs w:val="24"/>
                <w:highlight w:val="none"/>
                <w:u w:val="none"/>
                <w:lang w:val="en" w:eastAsia="zh-CN"/>
              </w:rPr>
            </w:pPr>
            <w:r>
              <w:rPr>
                <w:rFonts w:hint="default" w:ascii="宋体" w:hAnsi="宋体" w:eastAsia="宋体" w:cs="宋体"/>
                <w:color w:val="auto"/>
                <w:spacing w:val="0"/>
                <w:sz w:val="24"/>
                <w:szCs w:val="24"/>
                <w:highlight w:val="none"/>
                <w:u w:val="none"/>
                <w:lang w:val="en" w:eastAsia="zh-CN"/>
              </w:rPr>
              <w:t>市人力资源</w:t>
            </w:r>
          </w:p>
          <w:p w14:paraId="73F0FDE7">
            <w:pPr>
              <w:keepNext w:val="0"/>
              <w:keepLines w:val="0"/>
              <w:pageBreakBefore w:val="0"/>
              <w:widowControl w:val="0"/>
              <w:kinsoku/>
              <w:wordWrap/>
              <w:overflowPunct/>
              <w:topLinePunct w:val="0"/>
              <w:autoSpaceDE/>
              <w:autoSpaceDN/>
              <w:bidi w:val="0"/>
              <w:adjustRightInd/>
              <w:snapToGrid/>
              <w:spacing w:line="320" w:lineRule="exact"/>
              <w:ind w:firstLine="0" w:firstLineChars="0"/>
              <w:jc w:val="center"/>
              <w:textAlignment w:val="auto"/>
              <w:rPr>
                <w:rFonts w:hint="default" w:ascii="宋体" w:hAnsi="宋体" w:eastAsia="宋体" w:cs="宋体"/>
                <w:color w:val="auto"/>
                <w:spacing w:val="0"/>
                <w:sz w:val="24"/>
                <w:szCs w:val="24"/>
                <w:highlight w:val="none"/>
                <w:u w:val="none"/>
                <w:lang w:val="en" w:eastAsia="zh-CN"/>
              </w:rPr>
            </w:pPr>
            <w:r>
              <w:rPr>
                <w:rFonts w:hint="default" w:ascii="宋体" w:hAnsi="宋体" w:eastAsia="宋体" w:cs="宋体"/>
                <w:color w:val="auto"/>
                <w:spacing w:val="0"/>
                <w:sz w:val="24"/>
                <w:szCs w:val="24"/>
                <w:highlight w:val="none"/>
                <w:u w:val="none"/>
                <w:lang w:val="en" w:eastAsia="zh-CN"/>
              </w:rPr>
              <w:t>社会保障局</w:t>
            </w:r>
          </w:p>
        </w:tc>
        <w:tc>
          <w:tcPr>
            <w:tcW w:w="1467" w:type="dxa"/>
            <w:noWrap w:val="0"/>
            <w:tcMar>
              <w:top w:w="0" w:type="dxa"/>
              <w:left w:w="57" w:type="dxa"/>
              <w:bottom w:w="0" w:type="dxa"/>
              <w:right w:w="57" w:type="dxa"/>
            </w:tcMar>
            <w:vAlign w:val="center"/>
          </w:tcPr>
          <w:p w14:paraId="4302356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2025年12月</w:t>
            </w:r>
          </w:p>
        </w:tc>
      </w:tr>
      <w:tr w14:paraId="7877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5" w:hRule="atLeast"/>
          <w:jc w:val="center"/>
        </w:trPr>
        <w:tc>
          <w:tcPr>
            <w:tcW w:w="735" w:type="dxa"/>
            <w:noWrap w:val="0"/>
            <w:vAlign w:val="center"/>
          </w:tcPr>
          <w:p w14:paraId="386B1E0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15</w:t>
            </w:r>
          </w:p>
        </w:tc>
        <w:tc>
          <w:tcPr>
            <w:tcW w:w="1448" w:type="dxa"/>
            <w:noWrap w:val="0"/>
            <w:vAlign w:val="center"/>
          </w:tcPr>
          <w:p w14:paraId="4053FCC7">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探索开展集成式增值服务</w:t>
            </w:r>
          </w:p>
        </w:tc>
        <w:tc>
          <w:tcPr>
            <w:tcW w:w="7695" w:type="dxa"/>
            <w:noWrap w:val="0"/>
            <w:vAlign w:val="center"/>
          </w:tcPr>
          <w:p w14:paraId="4FB30CAC">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聚焦企业全生命周期与产业全链条，在市本级及</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务服务中心设立“企业服务超市”，组织涉企服务专员入驻，划分政策咨询、项目审批、金融服务等功能区，打造“一站式”服务阵地。同时，强化“兜底办”服务，设立诉求闭环处理专区，实现企业问题“线上提交、分办处置、限时反馈、兜底办理”，提升服务响应效率。</w:t>
            </w:r>
          </w:p>
        </w:tc>
        <w:tc>
          <w:tcPr>
            <w:tcW w:w="2340" w:type="dxa"/>
            <w:noWrap w:val="0"/>
            <w:vAlign w:val="center"/>
          </w:tcPr>
          <w:p w14:paraId="306F05C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spacing w:val="0"/>
                <w:sz w:val="24"/>
                <w:szCs w:val="24"/>
                <w:highlight w:val="none"/>
                <w:u w:val="none"/>
                <w:lang w:val="en" w:eastAsia="zh-CN"/>
              </w:rPr>
            </w:pPr>
            <w:r>
              <w:rPr>
                <w:rFonts w:hint="default" w:ascii="宋体" w:hAnsi="宋体" w:eastAsia="宋体" w:cs="宋体"/>
                <w:color w:val="auto"/>
                <w:spacing w:val="0"/>
                <w:sz w:val="24"/>
                <w:szCs w:val="24"/>
                <w:highlight w:val="none"/>
                <w:u w:val="none"/>
                <w:lang w:val="en" w:eastAsia="zh-CN"/>
              </w:rPr>
              <w:t>市政务服务</w:t>
            </w:r>
          </w:p>
          <w:p w14:paraId="71840FF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宋体" w:hAnsi="宋体" w:eastAsia="宋体" w:cs="宋体"/>
                <w:color w:val="auto"/>
                <w:spacing w:val="0"/>
                <w:sz w:val="24"/>
                <w:szCs w:val="24"/>
                <w:highlight w:val="none"/>
                <w:u w:val="none"/>
                <w:lang w:val="en" w:eastAsia="zh-CN"/>
              </w:rPr>
            </w:pPr>
            <w:r>
              <w:rPr>
                <w:rFonts w:hint="default" w:ascii="宋体" w:hAnsi="宋体" w:eastAsia="宋体" w:cs="宋体"/>
                <w:color w:val="auto"/>
                <w:spacing w:val="0"/>
                <w:sz w:val="24"/>
                <w:szCs w:val="24"/>
                <w:highlight w:val="none"/>
                <w:u w:val="none"/>
                <w:lang w:val="en" w:eastAsia="zh-CN"/>
              </w:rPr>
              <w:t>和数字化局</w:t>
            </w:r>
          </w:p>
        </w:tc>
        <w:tc>
          <w:tcPr>
            <w:tcW w:w="1467" w:type="dxa"/>
            <w:noWrap w:val="0"/>
            <w:tcMar>
              <w:top w:w="0" w:type="dxa"/>
              <w:left w:w="57" w:type="dxa"/>
              <w:bottom w:w="0" w:type="dxa"/>
              <w:right w:w="57" w:type="dxa"/>
            </w:tcMar>
            <w:vAlign w:val="center"/>
          </w:tcPr>
          <w:p w14:paraId="45AB71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2025年12月</w:t>
            </w:r>
          </w:p>
        </w:tc>
      </w:tr>
      <w:tr w14:paraId="6BA3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0" w:hRule="atLeast"/>
          <w:jc w:val="center"/>
        </w:trPr>
        <w:tc>
          <w:tcPr>
            <w:tcW w:w="735" w:type="dxa"/>
            <w:noWrap w:val="0"/>
            <w:vAlign w:val="center"/>
          </w:tcPr>
          <w:p w14:paraId="41ECECA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16</w:t>
            </w:r>
          </w:p>
        </w:tc>
        <w:tc>
          <w:tcPr>
            <w:tcW w:w="1448" w:type="dxa"/>
            <w:noWrap w:val="0"/>
            <w:vAlign w:val="center"/>
          </w:tcPr>
          <w:p w14:paraId="15D398A6">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构建农村物流服务新模式</w:t>
            </w:r>
          </w:p>
        </w:tc>
        <w:tc>
          <w:tcPr>
            <w:tcW w:w="7695" w:type="dxa"/>
            <w:noWrap w:val="0"/>
            <w:vAlign w:val="center"/>
          </w:tcPr>
          <w:p w14:paraId="1BEAA852">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加快推进“客货邮”三网融合，整合现有农村各行业网点设施资源，构建“一点多能、一网多用、功能集约、便利高效”的运输服务新模式，推动农村物流服务网点未覆盖地区补点建设，消除空白，实现县乡村三级农村物流网点100%全覆盖。</w:t>
            </w:r>
          </w:p>
        </w:tc>
        <w:tc>
          <w:tcPr>
            <w:tcW w:w="2340" w:type="dxa"/>
            <w:noWrap w:val="0"/>
            <w:vAlign w:val="center"/>
          </w:tcPr>
          <w:p w14:paraId="05BCB9EC">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市交通运输局</w:t>
            </w:r>
            <w:r>
              <w:rPr>
                <w:rFonts w:hint="eastAsia" w:ascii="宋体" w:hAnsi="宋体" w:eastAsia="宋体" w:cs="宋体"/>
                <w:color w:val="auto"/>
                <w:sz w:val="24"/>
                <w:szCs w:val="24"/>
                <w:highlight w:val="none"/>
                <w:u w:val="none"/>
                <w:lang w:val="en" w:eastAsia="zh-CN"/>
              </w:rPr>
              <w:t>、</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4E8DED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2025年12月</w:t>
            </w:r>
          </w:p>
        </w:tc>
      </w:tr>
      <w:tr w14:paraId="0550D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0" w:hRule="atLeast"/>
          <w:jc w:val="center"/>
        </w:trPr>
        <w:tc>
          <w:tcPr>
            <w:tcW w:w="735" w:type="dxa"/>
            <w:noWrap w:val="0"/>
            <w:vAlign w:val="center"/>
          </w:tcPr>
          <w:p w14:paraId="364151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17</w:t>
            </w:r>
          </w:p>
        </w:tc>
        <w:tc>
          <w:tcPr>
            <w:tcW w:w="1448" w:type="dxa"/>
            <w:noWrap w:val="0"/>
            <w:vAlign w:val="center"/>
          </w:tcPr>
          <w:p w14:paraId="2E28BA92">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推动惠企政策“直达快享”“应享尽享”</w:t>
            </w:r>
          </w:p>
        </w:tc>
        <w:tc>
          <w:tcPr>
            <w:tcW w:w="7695" w:type="dxa"/>
            <w:noWrap w:val="0"/>
            <w:vAlign w:val="center"/>
          </w:tcPr>
          <w:p w14:paraId="4135C51C">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依托全省综合政策直达平台、企业政策直达平台、“三农”政策直达平台功能，为企业提供在线申请、在线反馈、应享未享提醒等服务，畅通财政补贴、税费减免、稳岗就业等惠企政策落实全流程在线办理渠道。发布《辽源市惠企政策手册（2025版）》，在各级政务服务中心设立惠企政策咨询办理服务窗口，为企业提供线下面对面、互动式的咨询办理服务，充分释放政策“红利”，减少企业制度性交易成本。</w:t>
            </w:r>
          </w:p>
        </w:tc>
        <w:tc>
          <w:tcPr>
            <w:tcW w:w="2340" w:type="dxa"/>
            <w:noWrap w:val="0"/>
            <w:vAlign w:val="center"/>
          </w:tcPr>
          <w:p w14:paraId="7B713C03">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default" w:ascii="宋体" w:hAnsi="宋体" w:eastAsia="宋体" w:cs="宋体"/>
                <w:color w:val="auto"/>
                <w:spacing w:val="-11"/>
                <w:sz w:val="24"/>
                <w:szCs w:val="24"/>
                <w:highlight w:val="none"/>
                <w:u w:val="none"/>
                <w:vertAlign w:val="baseline"/>
                <w:lang w:val="en" w:eastAsia="zh-CN"/>
              </w:rPr>
            </w:pPr>
            <w:r>
              <w:rPr>
                <w:rFonts w:hint="default" w:ascii="宋体" w:hAnsi="宋体" w:eastAsia="宋体" w:cs="宋体"/>
                <w:color w:val="auto"/>
                <w:spacing w:val="-11"/>
                <w:sz w:val="24"/>
                <w:szCs w:val="24"/>
                <w:highlight w:val="none"/>
                <w:u w:val="none"/>
                <w:vertAlign w:val="baseline"/>
                <w:lang w:val="en" w:eastAsia="zh-CN"/>
              </w:rPr>
              <w:t>市政务服务</w:t>
            </w:r>
          </w:p>
          <w:p w14:paraId="74ED2C09">
            <w:pPr>
              <w:keepNext w:val="0"/>
              <w:keepLines w:val="0"/>
              <w:pageBreakBefore w:val="0"/>
              <w:widowControl w:val="0"/>
              <w:kinsoku/>
              <w:wordWrap/>
              <w:overflowPunct/>
              <w:topLinePunct w:val="0"/>
              <w:autoSpaceDE/>
              <w:autoSpaceDN/>
              <w:bidi w:val="0"/>
              <w:adjustRightInd/>
              <w:snapToGrid/>
              <w:spacing w:line="380" w:lineRule="exact"/>
              <w:ind w:firstLine="0" w:firstLineChars="0"/>
              <w:jc w:val="center"/>
              <w:textAlignment w:val="auto"/>
              <w:rPr>
                <w:rFonts w:hint="default" w:ascii="宋体" w:hAnsi="宋体" w:eastAsia="宋体" w:cs="宋体"/>
                <w:color w:val="auto"/>
                <w:kern w:val="2"/>
                <w:sz w:val="24"/>
                <w:szCs w:val="24"/>
                <w:highlight w:val="none"/>
                <w:u w:val="none"/>
                <w:vertAlign w:val="baseline"/>
                <w:lang w:val="en" w:eastAsia="zh-CN" w:bidi="ar-SA"/>
              </w:rPr>
            </w:pPr>
            <w:r>
              <w:rPr>
                <w:rFonts w:hint="default" w:ascii="宋体" w:hAnsi="宋体" w:eastAsia="宋体" w:cs="宋体"/>
                <w:color w:val="auto"/>
                <w:spacing w:val="-11"/>
                <w:sz w:val="24"/>
                <w:szCs w:val="24"/>
                <w:highlight w:val="none"/>
                <w:u w:val="none"/>
                <w:vertAlign w:val="baseline"/>
                <w:lang w:val="en" w:eastAsia="zh-CN"/>
              </w:rPr>
              <w:t>和数字化局</w:t>
            </w:r>
          </w:p>
        </w:tc>
        <w:tc>
          <w:tcPr>
            <w:tcW w:w="1467" w:type="dxa"/>
            <w:noWrap w:val="0"/>
            <w:tcMar>
              <w:top w:w="0" w:type="dxa"/>
              <w:left w:w="57" w:type="dxa"/>
              <w:bottom w:w="0" w:type="dxa"/>
              <w:right w:w="57" w:type="dxa"/>
            </w:tcMar>
            <w:vAlign w:val="center"/>
          </w:tcPr>
          <w:p w14:paraId="40372C0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2025年7月</w:t>
            </w:r>
          </w:p>
        </w:tc>
      </w:tr>
      <w:tr w14:paraId="4CC6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0" w:hRule="atLeast"/>
          <w:jc w:val="center"/>
        </w:trPr>
        <w:tc>
          <w:tcPr>
            <w:tcW w:w="735" w:type="dxa"/>
            <w:noWrap w:val="0"/>
            <w:vAlign w:val="center"/>
          </w:tcPr>
          <w:p w14:paraId="4FFB914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18</w:t>
            </w:r>
          </w:p>
        </w:tc>
        <w:tc>
          <w:tcPr>
            <w:tcW w:w="1448" w:type="dxa"/>
            <w:noWrap w:val="0"/>
            <w:vAlign w:val="center"/>
          </w:tcPr>
          <w:p w14:paraId="57C2A804">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优化涉企行政检查“综合查一次”</w:t>
            </w:r>
          </w:p>
        </w:tc>
        <w:tc>
          <w:tcPr>
            <w:tcW w:w="7695" w:type="dxa"/>
            <w:noWrap w:val="0"/>
            <w:vAlign w:val="center"/>
          </w:tcPr>
          <w:p w14:paraId="4A772BCB">
            <w:pPr>
              <w:keepNext w:val="0"/>
              <w:keepLines w:val="0"/>
              <w:pageBreakBefore w:val="0"/>
              <w:widowControl w:val="0"/>
              <w:kinsoku/>
              <w:wordWrap/>
              <w:overflowPunct/>
              <w:topLinePunct w:val="0"/>
              <w:autoSpaceDE/>
              <w:autoSpaceDN/>
              <w:bidi w:val="0"/>
              <w:adjustRightInd/>
              <w:snapToGrid/>
              <w:spacing w:line="38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合理统筹市、县两级行政检查计划，建立分级分类检查制度，强化跨部门联动，优化“综合查一次”，全面加强对涉企行政检查的统筹协调。在市场监管、税务、生态、农业农村等领域，探索非现场“无感监管”模式；在全市全覆盖推行行政检查执法备案智能管理，定期通报工作进展情况和存在问题，倒逼问题整改，持续规范涉企行政检查秩序。</w:t>
            </w:r>
          </w:p>
        </w:tc>
        <w:tc>
          <w:tcPr>
            <w:tcW w:w="2340" w:type="dxa"/>
            <w:noWrap w:val="0"/>
            <w:vAlign w:val="center"/>
          </w:tcPr>
          <w:p w14:paraId="6482A88D">
            <w:pPr>
              <w:keepNext w:val="0"/>
              <w:keepLines w:val="0"/>
              <w:pageBreakBefore w:val="0"/>
              <w:widowControl w:val="0"/>
              <w:kinsoku/>
              <w:wordWrap/>
              <w:overflowPunct/>
              <w:topLinePunct w:val="0"/>
              <w:autoSpaceDE/>
              <w:autoSpaceDN/>
              <w:bidi w:val="0"/>
              <w:adjustRightInd/>
              <w:snapToGrid/>
              <w:spacing w:line="38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市司法局、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、市市场监管局、市税务局、市生态环境局、市文广旅局、市农业农村局</w:t>
            </w:r>
            <w:bookmarkStart w:id="0" w:name="OLE_LINK14"/>
            <w:r>
              <w:rPr>
                <w:rFonts w:hint="eastAsia" w:ascii="宋体" w:hAnsi="宋体" w:eastAsia="宋体" w:cs="宋体"/>
                <w:color w:val="auto"/>
                <w:sz w:val="24"/>
                <w:szCs w:val="24"/>
                <w:highlight w:val="none"/>
                <w:u w:val="none"/>
                <w:lang w:val="en-US" w:eastAsia="zh-CN"/>
              </w:rPr>
              <w:t>等行政执法部门</w:t>
            </w:r>
            <w:bookmarkEnd w:id="0"/>
          </w:p>
        </w:tc>
        <w:tc>
          <w:tcPr>
            <w:tcW w:w="1467" w:type="dxa"/>
            <w:noWrap w:val="0"/>
            <w:tcMar>
              <w:top w:w="0" w:type="dxa"/>
              <w:left w:w="57" w:type="dxa"/>
              <w:bottom w:w="0" w:type="dxa"/>
              <w:right w:w="57" w:type="dxa"/>
            </w:tcMar>
            <w:vAlign w:val="center"/>
          </w:tcPr>
          <w:p w14:paraId="58A68D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2025年9月</w:t>
            </w:r>
          </w:p>
        </w:tc>
      </w:tr>
      <w:tr w14:paraId="1A64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0" w:hRule="atLeast"/>
          <w:jc w:val="center"/>
        </w:trPr>
        <w:tc>
          <w:tcPr>
            <w:tcW w:w="735" w:type="dxa"/>
            <w:noWrap w:val="0"/>
            <w:vAlign w:val="center"/>
          </w:tcPr>
          <w:p w14:paraId="6DAC7FD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19</w:t>
            </w:r>
          </w:p>
        </w:tc>
        <w:tc>
          <w:tcPr>
            <w:tcW w:w="1448" w:type="dxa"/>
            <w:noWrap w:val="0"/>
            <w:vAlign w:val="center"/>
          </w:tcPr>
          <w:p w14:paraId="0266B83C">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不断降低司法成本</w:t>
            </w:r>
          </w:p>
        </w:tc>
        <w:tc>
          <w:tcPr>
            <w:tcW w:w="7695" w:type="dxa"/>
            <w:noWrap w:val="0"/>
            <w:vAlign w:val="center"/>
          </w:tcPr>
          <w:p w14:paraId="635AD627">
            <w:pPr>
              <w:keepNext w:val="0"/>
              <w:keepLines w:val="0"/>
              <w:pageBreakBefore w:val="0"/>
              <w:widowControl w:val="0"/>
              <w:kinsoku/>
              <w:wordWrap/>
              <w:overflowPunct/>
              <w:topLinePunct w:val="0"/>
              <w:autoSpaceDE/>
              <w:autoSpaceDN/>
              <w:bidi w:val="0"/>
              <w:adjustRightInd/>
              <w:snapToGrid/>
              <w:spacing w:line="33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推动律师服务市场主体常态化，为企业提供精准法律服务，引导企业依法管理、依法经营。畅通公证“便企绿色通道”，为企业提供加急服务、上门服务、延时服务；明确公证惠企收费政策，为符合减缓收费标准的企业提供缓交或最高减收50%公证费服务。对争议金额超过50万元案件，鼓励简易程序办理，将审限缩短至2个月，减少企业诉累；对连续三年亏损企业仲裁收费退减20%；以和解或调解方式审结的涉企案件，仲裁收费退减50%；</w:t>
            </w:r>
            <w:r>
              <w:rPr>
                <w:rFonts w:hint="eastAsia" w:ascii="宋体" w:hAnsi="宋体" w:eastAsia="宋体" w:cs="宋体"/>
                <w:color w:val="auto"/>
                <w:sz w:val="24"/>
                <w:szCs w:val="24"/>
                <w:highlight w:val="none"/>
                <w:u w:val="none"/>
                <w:rtl w:val="0"/>
                <w:lang w:val="en-US" w:eastAsia="zh-CN"/>
              </w:rPr>
              <w:t>妥善处置政府化债后续工作，帮助企业解决立案难、审理难问题。</w:t>
            </w:r>
          </w:p>
        </w:tc>
        <w:tc>
          <w:tcPr>
            <w:tcW w:w="2340" w:type="dxa"/>
            <w:noWrap w:val="0"/>
            <w:vAlign w:val="center"/>
          </w:tcPr>
          <w:p w14:paraId="7A2252A0">
            <w:pPr>
              <w:keepNext w:val="0"/>
              <w:keepLines w:val="0"/>
              <w:pageBreakBefore w:val="0"/>
              <w:widowControl w:val="0"/>
              <w:kinsoku/>
              <w:wordWrap/>
              <w:overflowPunct/>
              <w:topLinePunct w:val="0"/>
              <w:autoSpaceDE/>
              <w:autoSpaceDN/>
              <w:bidi w:val="0"/>
              <w:adjustRightInd/>
              <w:snapToGrid/>
              <w:spacing w:line="33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市司法局</w:t>
            </w:r>
          </w:p>
        </w:tc>
        <w:tc>
          <w:tcPr>
            <w:tcW w:w="1467" w:type="dxa"/>
            <w:noWrap w:val="0"/>
            <w:tcMar>
              <w:top w:w="0" w:type="dxa"/>
              <w:left w:w="57" w:type="dxa"/>
              <w:bottom w:w="0" w:type="dxa"/>
              <w:right w:w="57" w:type="dxa"/>
            </w:tcMar>
            <w:vAlign w:val="center"/>
          </w:tcPr>
          <w:p w14:paraId="46BC374F">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2025年8月</w:t>
            </w:r>
          </w:p>
        </w:tc>
      </w:tr>
      <w:tr w14:paraId="1001B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0" w:hRule="atLeast"/>
          <w:jc w:val="center"/>
        </w:trPr>
        <w:tc>
          <w:tcPr>
            <w:tcW w:w="735" w:type="dxa"/>
            <w:noWrap w:val="0"/>
            <w:vAlign w:val="center"/>
          </w:tcPr>
          <w:p w14:paraId="741E0E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20</w:t>
            </w:r>
          </w:p>
        </w:tc>
        <w:tc>
          <w:tcPr>
            <w:tcW w:w="1448" w:type="dxa"/>
            <w:noWrap w:val="0"/>
            <w:vAlign w:val="center"/>
          </w:tcPr>
          <w:p w14:paraId="0A40A8B2">
            <w:pPr>
              <w:keepNext w:val="0"/>
              <w:keepLines w:val="0"/>
              <w:pageBreakBefore w:val="0"/>
              <w:widowControl w:val="0"/>
              <w:kinsoku/>
              <w:wordWrap/>
              <w:overflowPunct/>
              <w:topLinePunct w:val="0"/>
              <w:autoSpaceDE/>
              <w:autoSpaceDN/>
              <w:bidi w:val="0"/>
              <w:adjustRightInd/>
              <w:snapToGrid/>
              <w:spacing w:line="30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实施政务失信记录和失信惩戒</w:t>
            </w:r>
          </w:p>
        </w:tc>
        <w:tc>
          <w:tcPr>
            <w:tcW w:w="7695" w:type="dxa"/>
            <w:noWrap w:val="0"/>
            <w:vAlign w:val="center"/>
          </w:tcPr>
          <w:p w14:paraId="5E98F0D1">
            <w:pPr>
              <w:keepNext w:val="0"/>
              <w:keepLines w:val="0"/>
              <w:pageBreakBefore w:val="0"/>
              <w:widowControl w:val="0"/>
              <w:kinsoku/>
              <w:wordWrap/>
              <w:overflowPunct/>
              <w:topLinePunct w:val="0"/>
              <w:autoSpaceDE/>
              <w:autoSpaceDN/>
              <w:bidi w:val="0"/>
              <w:adjustRightInd/>
              <w:snapToGrid/>
              <w:spacing w:line="33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依托全省财政预算管理一体化系统，开展政府合同履约智能化管理、动态监控，实现签约及时录入、履约全程监管、异常预警提醒、违约失信记录的闭环管理。依托市信用综合服务平台，归集政务主体失信信息记录，形成信用档案。对省政数局推送的投诉举报问题第一时间转交至有关部门开展核实认定，对情况属实的失信政务主体，依据失信惩戒措施清单实施失信惩戒。健全破产案件办理机制，完善“府—院—企”联动机制，建立健全长效协调会商机制和日常沟通机制，确保党政机关、国有企业拖欠账款案件在规定时间内办结、销号。</w:t>
            </w:r>
          </w:p>
        </w:tc>
        <w:tc>
          <w:tcPr>
            <w:tcW w:w="2340" w:type="dxa"/>
            <w:noWrap w:val="0"/>
            <w:vAlign w:val="center"/>
          </w:tcPr>
          <w:p w14:paraId="61F4E891">
            <w:pPr>
              <w:keepNext w:val="0"/>
              <w:keepLines w:val="0"/>
              <w:pageBreakBefore w:val="0"/>
              <w:widowControl w:val="0"/>
              <w:kinsoku/>
              <w:wordWrap/>
              <w:overflowPunct/>
              <w:topLinePunct w:val="0"/>
              <w:autoSpaceDE/>
              <w:autoSpaceDN/>
              <w:bidi w:val="0"/>
              <w:adjustRightInd/>
              <w:snapToGrid/>
              <w:spacing w:line="33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市中级法院、市财政局、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 w:eastAsia="zh-CN"/>
              </w:rPr>
              <w:t>、</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369D1102">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68E71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1" w:hRule="atLeast"/>
          <w:jc w:val="center"/>
        </w:trPr>
        <w:tc>
          <w:tcPr>
            <w:tcW w:w="735" w:type="dxa"/>
            <w:noWrap w:val="0"/>
            <w:vAlign w:val="center"/>
          </w:tcPr>
          <w:p w14:paraId="5E438D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21</w:t>
            </w:r>
          </w:p>
        </w:tc>
        <w:tc>
          <w:tcPr>
            <w:tcW w:w="1448" w:type="dxa"/>
            <w:noWrap w:val="0"/>
            <w:vAlign w:val="center"/>
          </w:tcPr>
          <w:p w14:paraId="7CDFB907">
            <w:pPr>
              <w:keepNext w:val="0"/>
              <w:keepLines w:val="0"/>
              <w:pageBreakBefore w:val="0"/>
              <w:widowControl w:val="0"/>
              <w:kinsoku/>
              <w:wordWrap/>
              <w:overflowPunct/>
              <w:topLinePunct w:val="0"/>
              <w:autoSpaceDE/>
              <w:autoSpaceDN/>
              <w:bidi w:val="0"/>
              <w:adjustRightInd/>
              <w:snapToGrid/>
              <w:spacing w:line="32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b w:val="0"/>
                <w:bCs w:val="0"/>
                <w:color w:val="auto"/>
                <w:kern w:val="2"/>
                <w:sz w:val="24"/>
                <w:szCs w:val="24"/>
                <w:highlight w:val="none"/>
                <w:u w:val="none"/>
                <w:vertAlign w:val="baseline"/>
                <w:lang w:val="en-US" w:eastAsia="zh-CN" w:bidi="ar-SA"/>
              </w:rPr>
              <w:t>开展涉企乱审批整治</w:t>
            </w:r>
          </w:p>
        </w:tc>
        <w:tc>
          <w:tcPr>
            <w:tcW w:w="7695" w:type="dxa"/>
            <w:noWrap w:val="0"/>
            <w:vAlign w:val="center"/>
          </w:tcPr>
          <w:p w14:paraId="4FA356DF">
            <w:pPr>
              <w:keepNext w:val="0"/>
              <w:keepLines w:val="0"/>
              <w:pageBreakBefore w:val="0"/>
              <w:widowControl w:val="0"/>
              <w:kinsoku/>
              <w:wordWrap/>
              <w:overflowPunct/>
              <w:topLinePunct w:val="0"/>
              <w:autoSpaceDE/>
              <w:autoSpaceDN/>
              <w:bidi w:val="0"/>
              <w:adjustRightInd/>
              <w:snapToGrid/>
              <w:spacing w:line="33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强化对不履行、不正确履行市场准入退出职责的监督，重点整治行政许可拖延不办、私设门槛、变相设置许可条件、刁难企业、吃拿卡要、收受或索取财物、执法服务不优，服务承诺落实不到位，该取消的许可事项、证明事项不取消，该减的许可条件、许可程序不减，该推行告知承诺制的不推行的问题，切实提高市场活力。</w:t>
            </w:r>
          </w:p>
        </w:tc>
        <w:tc>
          <w:tcPr>
            <w:tcW w:w="2340" w:type="dxa"/>
            <w:noWrap w:val="0"/>
            <w:vAlign w:val="center"/>
          </w:tcPr>
          <w:p w14:paraId="6EB0220B">
            <w:pPr>
              <w:keepNext w:val="0"/>
              <w:keepLines w:val="0"/>
              <w:pageBreakBefore w:val="0"/>
              <w:widowControl w:val="0"/>
              <w:kinsoku/>
              <w:wordWrap/>
              <w:overflowPunct/>
              <w:topLinePunct w:val="0"/>
              <w:autoSpaceDE/>
              <w:autoSpaceDN/>
              <w:bidi w:val="0"/>
              <w:adjustRightInd/>
              <w:snapToGrid/>
              <w:spacing w:line="33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市司法局、市市场监管局等行政执法部门</w:t>
            </w:r>
          </w:p>
        </w:tc>
        <w:tc>
          <w:tcPr>
            <w:tcW w:w="1467" w:type="dxa"/>
            <w:noWrap w:val="0"/>
            <w:tcMar>
              <w:top w:w="0" w:type="dxa"/>
              <w:left w:w="57" w:type="dxa"/>
              <w:bottom w:w="0" w:type="dxa"/>
              <w:right w:w="57" w:type="dxa"/>
            </w:tcMar>
            <w:vAlign w:val="center"/>
          </w:tcPr>
          <w:p w14:paraId="17C547B7">
            <w:pPr>
              <w:keepNext w:val="0"/>
              <w:keepLines w:val="0"/>
              <w:pageBreakBefore w:val="0"/>
              <w:widowControl w:val="0"/>
              <w:kinsoku/>
              <w:wordWrap/>
              <w:overflowPunct/>
              <w:topLinePunct w:val="0"/>
              <w:autoSpaceDE/>
              <w:autoSpaceDN/>
              <w:bidi w:val="0"/>
              <w:adjustRightInd/>
              <w:snapToGrid/>
              <w:spacing w:line="33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66476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0" w:hRule="atLeast"/>
          <w:jc w:val="center"/>
        </w:trPr>
        <w:tc>
          <w:tcPr>
            <w:tcW w:w="735" w:type="dxa"/>
            <w:noWrap w:val="0"/>
            <w:vAlign w:val="center"/>
          </w:tcPr>
          <w:p w14:paraId="00F9D5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22</w:t>
            </w:r>
          </w:p>
        </w:tc>
        <w:tc>
          <w:tcPr>
            <w:tcW w:w="1448" w:type="dxa"/>
            <w:noWrap w:val="0"/>
            <w:vAlign w:val="center"/>
          </w:tcPr>
          <w:p w14:paraId="53689530">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开展涉企乱收费整治</w:t>
            </w:r>
          </w:p>
        </w:tc>
        <w:tc>
          <w:tcPr>
            <w:tcW w:w="7695" w:type="dxa"/>
            <w:noWrap w:val="0"/>
            <w:vAlign w:val="center"/>
          </w:tcPr>
          <w:p w14:paraId="785AC763">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全面清理规范涉企行政事业性收费、经营服务性收费、政府性基金、涉企保证金等项目，严格落实收费项目清单制度，严肃查处擅自设立收费项目、提高收费标准、扩大收费范围、不执行收费减免政策，强制企业入会并收取会费、阻碍退会、变相收费等问题，严厉整治在行政审批中介服务目录清单外擅自设立中介服务事项、审批部门将行政审批过程中的技术性服务费用转嫁给企业承担等行为，切实减轻企业负担。</w:t>
            </w:r>
          </w:p>
        </w:tc>
        <w:tc>
          <w:tcPr>
            <w:tcW w:w="2340" w:type="dxa"/>
            <w:noWrap w:val="0"/>
            <w:vAlign w:val="center"/>
          </w:tcPr>
          <w:p w14:paraId="300FEC52">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市司法局、</w:t>
            </w:r>
            <w:r>
              <w:rPr>
                <w:rFonts w:hint="default" w:ascii="宋体" w:hAnsi="宋体" w:eastAsia="宋体" w:cs="宋体"/>
                <w:color w:val="auto"/>
                <w:sz w:val="24"/>
                <w:szCs w:val="24"/>
                <w:highlight w:val="none"/>
                <w:u w:val="none"/>
                <w:lang w:val="en" w:eastAsia="zh-CN"/>
              </w:rPr>
              <w:t>市发展改革委</w:t>
            </w:r>
            <w:r>
              <w:rPr>
                <w:rFonts w:hint="eastAsia" w:ascii="宋体" w:hAnsi="宋体" w:eastAsia="宋体" w:cs="宋体"/>
                <w:color w:val="auto"/>
                <w:sz w:val="24"/>
                <w:szCs w:val="24"/>
                <w:highlight w:val="none"/>
                <w:u w:val="none"/>
                <w:lang w:val="en-US" w:eastAsia="zh-CN"/>
              </w:rPr>
              <w:t>、市财政局、市民政局、市市场监管局等行政执法部门</w:t>
            </w:r>
          </w:p>
        </w:tc>
        <w:tc>
          <w:tcPr>
            <w:tcW w:w="1467" w:type="dxa"/>
            <w:noWrap w:val="0"/>
            <w:tcMar>
              <w:top w:w="0" w:type="dxa"/>
              <w:left w:w="57" w:type="dxa"/>
              <w:bottom w:w="0" w:type="dxa"/>
              <w:right w:w="57" w:type="dxa"/>
            </w:tcMar>
            <w:vAlign w:val="center"/>
          </w:tcPr>
          <w:p w14:paraId="69E697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04D47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735" w:type="dxa"/>
            <w:noWrap w:val="0"/>
            <w:vAlign w:val="center"/>
          </w:tcPr>
          <w:p w14:paraId="1E4CEFB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23</w:t>
            </w:r>
          </w:p>
        </w:tc>
        <w:tc>
          <w:tcPr>
            <w:tcW w:w="1448" w:type="dxa"/>
            <w:noWrap w:val="0"/>
            <w:vAlign w:val="center"/>
          </w:tcPr>
          <w:p w14:paraId="47AE5235">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开展涉企乱检查整治</w:t>
            </w:r>
          </w:p>
        </w:tc>
        <w:tc>
          <w:tcPr>
            <w:tcW w:w="7695" w:type="dxa"/>
            <w:noWrap w:val="0"/>
            <w:vAlign w:val="center"/>
          </w:tcPr>
          <w:p w14:paraId="26AF6ECE">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在全市全域全覆盖推行行政检查执法备案智能管理，坚决做到清单之外无检查、不亮码不检查。集中整治企业反映强烈的行政检查事项多、频次高、随意性大，以及借各种名义变相检查、任性检查、运动式检查、多头检查等突出问题，严格规范行政检查行为，切实减少对企业正常生产经营活动干扰。</w:t>
            </w:r>
          </w:p>
        </w:tc>
        <w:tc>
          <w:tcPr>
            <w:tcW w:w="2340" w:type="dxa"/>
            <w:noWrap w:val="0"/>
            <w:vAlign w:val="center"/>
          </w:tcPr>
          <w:p w14:paraId="1EFE089F">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bookmarkStart w:id="1" w:name="OLE_LINK8"/>
            <w:r>
              <w:rPr>
                <w:rFonts w:hint="eastAsia" w:ascii="宋体" w:hAnsi="宋体" w:eastAsia="宋体" w:cs="宋体"/>
                <w:color w:val="auto"/>
                <w:sz w:val="24"/>
                <w:szCs w:val="24"/>
                <w:highlight w:val="none"/>
                <w:u w:val="none"/>
                <w:lang w:val="en-US" w:eastAsia="zh-CN"/>
              </w:rPr>
              <w:t>市司法局</w:t>
            </w:r>
            <w:bookmarkEnd w:id="1"/>
            <w:r>
              <w:rPr>
                <w:rFonts w:hint="eastAsia" w:ascii="宋体" w:hAnsi="宋体" w:eastAsia="宋体" w:cs="宋体"/>
                <w:color w:val="auto"/>
                <w:sz w:val="24"/>
                <w:szCs w:val="24"/>
                <w:highlight w:val="none"/>
                <w:u w:val="none"/>
                <w:lang w:val="en-US" w:eastAsia="zh-CN"/>
              </w:rPr>
              <w:t>、市市场监管局、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，各行政执法部门</w:t>
            </w:r>
          </w:p>
        </w:tc>
        <w:tc>
          <w:tcPr>
            <w:tcW w:w="1467" w:type="dxa"/>
            <w:noWrap w:val="0"/>
            <w:tcMar>
              <w:top w:w="0" w:type="dxa"/>
              <w:left w:w="57" w:type="dxa"/>
              <w:bottom w:w="0" w:type="dxa"/>
              <w:right w:w="57" w:type="dxa"/>
            </w:tcMar>
            <w:vAlign w:val="center"/>
          </w:tcPr>
          <w:p w14:paraId="30F0163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21E97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atLeast"/>
          <w:jc w:val="center"/>
        </w:trPr>
        <w:tc>
          <w:tcPr>
            <w:tcW w:w="735" w:type="dxa"/>
            <w:noWrap w:val="0"/>
            <w:vAlign w:val="center"/>
          </w:tcPr>
          <w:p w14:paraId="35587A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24</w:t>
            </w:r>
          </w:p>
        </w:tc>
        <w:tc>
          <w:tcPr>
            <w:tcW w:w="1448" w:type="dxa"/>
            <w:noWrap w:val="0"/>
            <w:vAlign w:val="center"/>
          </w:tcPr>
          <w:p w14:paraId="62A11F82">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开展涉企乱处罚整治</w:t>
            </w:r>
          </w:p>
        </w:tc>
        <w:tc>
          <w:tcPr>
            <w:tcW w:w="7695" w:type="dxa"/>
            <w:noWrap w:val="0"/>
            <w:vAlign w:val="center"/>
          </w:tcPr>
          <w:p w14:paraId="72B838E4">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强化重大行政处罚案件的监督，重点关注罚没收入异常增长执法领域和大额顶格处罚执法案件。重点整治处罚依据不准确、违反法定程序、滥用自由裁量权、小错重罚、同案不同罚、过度执法、粗暴执法、趋利性执法、选择性执法、违规异地执法、重复处罚等问题，切实保护经营主体合法权益。</w:t>
            </w:r>
          </w:p>
        </w:tc>
        <w:tc>
          <w:tcPr>
            <w:tcW w:w="2340" w:type="dxa"/>
            <w:noWrap w:val="0"/>
            <w:vAlign w:val="center"/>
          </w:tcPr>
          <w:p w14:paraId="42355B95">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市司法局，各行政执法部门</w:t>
            </w:r>
          </w:p>
        </w:tc>
        <w:tc>
          <w:tcPr>
            <w:tcW w:w="1467" w:type="dxa"/>
            <w:noWrap w:val="0"/>
            <w:tcMar>
              <w:top w:w="0" w:type="dxa"/>
              <w:left w:w="57" w:type="dxa"/>
              <w:bottom w:w="0" w:type="dxa"/>
              <w:right w:w="57" w:type="dxa"/>
            </w:tcMar>
            <w:vAlign w:val="center"/>
          </w:tcPr>
          <w:p w14:paraId="6AB5D78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5416D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735" w:type="dxa"/>
            <w:noWrap w:val="0"/>
            <w:vAlign w:val="center"/>
          </w:tcPr>
          <w:p w14:paraId="3A99BD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25</w:t>
            </w:r>
          </w:p>
        </w:tc>
        <w:tc>
          <w:tcPr>
            <w:tcW w:w="1448" w:type="dxa"/>
            <w:noWrap w:val="0"/>
            <w:vAlign w:val="center"/>
          </w:tcPr>
          <w:p w14:paraId="3E601FFB">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b w:val="0"/>
                <w:bCs w:val="0"/>
                <w:color w:val="auto"/>
                <w:kern w:val="2"/>
                <w:sz w:val="24"/>
                <w:szCs w:val="24"/>
                <w:highlight w:val="none"/>
                <w:u w:val="none"/>
                <w:vertAlign w:val="baseline"/>
                <w:lang w:val="en-US" w:eastAsia="zh-CN" w:bidi="ar-SA"/>
              </w:rPr>
              <w:t>开展涉企乱强制整治</w:t>
            </w:r>
          </w:p>
        </w:tc>
        <w:tc>
          <w:tcPr>
            <w:tcW w:w="7695" w:type="dxa"/>
            <w:noWrap w:val="0"/>
            <w:vAlign w:val="center"/>
          </w:tcPr>
          <w:p w14:paraId="124BE0F3">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重点整治滥用羁押性、财产性强制措施，超权限、超范围、超额度、超时限查封（扣押、冻结）等问题，切实坚定市场信心。</w:t>
            </w:r>
          </w:p>
        </w:tc>
        <w:tc>
          <w:tcPr>
            <w:tcW w:w="2340" w:type="dxa"/>
            <w:noWrap w:val="0"/>
            <w:vAlign w:val="center"/>
          </w:tcPr>
          <w:p w14:paraId="66721590">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市司法局、市公安局、</w:t>
            </w:r>
            <w:bookmarkStart w:id="2" w:name="OLE_LINK15"/>
            <w:r>
              <w:rPr>
                <w:rFonts w:hint="eastAsia" w:ascii="宋体" w:hAnsi="宋体" w:eastAsia="宋体" w:cs="宋体"/>
                <w:color w:val="auto"/>
                <w:sz w:val="24"/>
                <w:szCs w:val="24"/>
                <w:highlight w:val="none"/>
                <w:u w:val="none"/>
                <w:lang w:val="en-US" w:eastAsia="zh-CN"/>
              </w:rPr>
              <w:t>市检察院、</w:t>
            </w:r>
            <w:bookmarkEnd w:id="2"/>
            <w:r>
              <w:rPr>
                <w:rFonts w:hint="eastAsia" w:ascii="宋体" w:hAnsi="宋体" w:eastAsia="宋体" w:cs="宋体"/>
                <w:color w:val="auto"/>
                <w:sz w:val="24"/>
                <w:szCs w:val="24"/>
                <w:highlight w:val="none"/>
                <w:u w:val="none"/>
                <w:lang w:val="en-US" w:eastAsia="zh-CN"/>
              </w:rPr>
              <w:t>市中级法院，各行政执法部门</w:t>
            </w:r>
          </w:p>
        </w:tc>
        <w:tc>
          <w:tcPr>
            <w:tcW w:w="1467" w:type="dxa"/>
            <w:noWrap w:val="0"/>
            <w:tcMar>
              <w:top w:w="0" w:type="dxa"/>
              <w:left w:w="57" w:type="dxa"/>
              <w:bottom w:w="0" w:type="dxa"/>
              <w:right w:w="57" w:type="dxa"/>
            </w:tcMar>
            <w:vAlign w:val="center"/>
          </w:tcPr>
          <w:p w14:paraId="60458F5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71D2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735" w:type="dxa"/>
            <w:noWrap w:val="0"/>
            <w:vAlign w:val="center"/>
          </w:tcPr>
          <w:p w14:paraId="290B1BE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26</w:t>
            </w:r>
          </w:p>
        </w:tc>
        <w:tc>
          <w:tcPr>
            <w:tcW w:w="1448" w:type="dxa"/>
            <w:noWrap w:val="0"/>
            <w:vAlign w:val="center"/>
          </w:tcPr>
          <w:p w14:paraId="612C1353">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开展政府采购和招标投标领域违法违规行为整治</w:t>
            </w:r>
          </w:p>
        </w:tc>
        <w:tc>
          <w:tcPr>
            <w:tcW w:w="7695" w:type="dxa"/>
            <w:noWrap w:val="0"/>
            <w:vAlign w:val="center"/>
          </w:tcPr>
          <w:p w14:paraId="7BAB9421">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对采购人设置差别歧视条款、代理机构乱收费、供应商提供虚假材料、供应商围标串标等行为开展专项整治并组织“回头看”，切实提高招标投标管理水平。严查招标人“明招暗定”、监管人员设租寻租、项目管理人员监守自盗等工程招标领域违法违规问题，持续推进 智慧化协同监管，推动招标投标市场规范健康发展。</w:t>
            </w:r>
          </w:p>
        </w:tc>
        <w:tc>
          <w:tcPr>
            <w:tcW w:w="2340" w:type="dxa"/>
            <w:noWrap w:val="0"/>
            <w:vAlign w:val="center"/>
          </w:tcPr>
          <w:p w14:paraId="56563E6E">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eastAsia" w:ascii="宋体" w:hAnsi="宋体" w:eastAsia="宋体" w:cs="宋体"/>
                <w:color w:val="auto"/>
                <w:sz w:val="24"/>
                <w:szCs w:val="24"/>
                <w:highlight w:val="none"/>
                <w:u w:val="none"/>
                <w:lang w:val="en-US" w:eastAsia="zh-CN"/>
              </w:rPr>
              <w:t>市财政局、</w:t>
            </w:r>
            <w:r>
              <w:rPr>
                <w:rFonts w:hint="default" w:ascii="宋体" w:hAnsi="宋体" w:eastAsia="宋体" w:cs="宋体"/>
                <w:color w:val="auto"/>
                <w:sz w:val="24"/>
                <w:szCs w:val="24"/>
                <w:highlight w:val="none"/>
                <w:u w:val="none"/>
                <w:lang w:val="en" w:eastAsia="zh-CN"/>
              </w:rPr>
              <w:t>市住房城乡建设局</w:t>
            </w:r>
            <w:r>
              <w:rPr>
                <w:rFonts w:hint="eastAsia" w:ascii="宋体" w:hAnsi="宋体" w:eastAsia="宋体" w:cs="宋体"/>
                <w:color w:val="auto"/>
                <w:sz w:val="24"/>
                <w:szCs w:val="24"/>
                <w:highlight w:val="none"/>
                <w:u w:val="none"/>
                <w:lang w:val="en-US" w:eastAsia="zh-CN"/>
              </w:rPr>
              <w:t>、市交通运输局、市卫生健康委、市水利局、市自然资源局、</w:t>
            </w:r>
            <w:r>
              <w:rPr>
                <w:rFonts w:hint="default" w:ascii="宋体" w:hAnsi="宋体" w:eastAsia="宋体" w:cs="宋体"/>
                <w:color w:val="auto"/>
                <w:sz w:val="24"/>
                <w:szCs w:val="24"/>
                <w:highlight w:val="none"/>
                <w:u w:val="none"/>
                <w:lang w:val="en" w:eastAsia="zh-CN"/>
              </w:rPr>
              <w:t>市政务服务和数字化局</w:t>
            </w:r>
          </w:p>
        </w:tc>
        <w:tc>
          <w:tcPr>
            <w:tcW w:w="1467" w:type="dxa"/>
            <w:noWrap w:val="0"/>
            <w:tcMar>
              <w:top w:w="0" w:type="dxa"/>
              <w:left w:w="57" w:type="dxa"/>
              <w:bottom w:w="0" w:type="dxa"/>
              <w:right w:w="57" w:type="dxa"/>
            </w:tcMar>
            <w:vAlign w:val="center"/>
          </w:tcPr>
          <w:p w14:paraId="4145AD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17CE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5" w:hRule="atLeast"/>
          <w:jc w:val="center"/>
        </w:trPr>
        <w:tc>
          <w:tcPr>
            <w:tcW w:w="735" w:type="dxa"/>
            <w:noWrap w:val="0"/>
            <w:vAlign w:val="center"/>
          </w:tcPr>
          <w:p w14:paraId="075E4C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27</w:t>
            </w:r>
          </w:p>
        </w:tc>
        <w:tc>
          <w:tcPr>
            <w:tcW w:w="1448" w:type="dxa"/>
            <w:noWrap w:val="0"/>
            <w:vAlign w:val="center"/>
          </w:tcPr>
          <w:p w14:paraId="013C7908">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开展涉企为民服务乱象整治</w:t>
            </w:r>
          </w:p>
        </w:tc>
        <w:tc>
          <w:tcPr>
            <w:tcW w:w="7695" w:type="dxa"/>
            <w:noWrap w:val="0"/>
            <w:vAlign w:val="center"/>
          </w:tcPr>
          <w:p w14:paraId="3AD11ADD">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持续加强各县区各部门服务窗口管理，重点整治网上服务指南不准确、公开承诺与实际办事不符、信息化系统不好用和线下服务窗口设置不规范、一次告知制度落实不到位、服务态度冷漠等问题，纠治指定或变相指定中介服务机构、将中介服务事项作为行政审批必要条件等违规行为，切实提升涉企服务质量。严厉整治水电气热、银行等公共服务企业效率不高、服务意识不强，以及利用垄断优势吃拿卡要等问题，持续规范公共服务。</w:t>
            </w:r>
          </w:p>
        </w:tc>
        <w:tc>
          <w:tcPr>
            <w:tcW w:w="2340" w:type="dxa"/>
            <w:noWrap w:val="0"/>
            <w:vAlign w:val="center"/>
          </w:tcPr>
          <w:p w14:paraId="5E7DCCD6">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default" w:ascii="宋体" w:hAnsi="宋体" w:eastAsia="宋体" w:cs="宋体"/>
                <w:color w:val="auto"/>
                <w:sz w:val="24"/>
                <w:szCs w:val="24"/>
                <w:highlight w:val="none"/>
                <w:u w:val="none"/>
                <w:vertAlign w:val="baseline"/>
                <w:lang w:val="en" w:eastAsia="zh-CN"/>
              </w:rPr>
              <w:t>市政务服务和数字化局</w:t>
            </w:r>
            <w:r>
              <w:rPr>
                <w:rFonts w:hint="eastAsia" w:ascii="宋体" w:hAnsi="宋体" w:eastAsia="宋体" w:cs="宋体"/>
                <w:color w:val="auto"/>
                <w:sz w:val="24"/>
                <w:szCs w:val="24"/>
                <w:highlight w:val="none"/>
                <w:u w:val="none"/>
                <w:vertAlign w:val="baseline"/>
                <w:lang w:val="en-US" w:eastAsia="zh-CN"/>
              </w:rPr>
              <w:t>、市纪委监委</w:t>
            </w:r>
          </w:p>
        </w:tc>
        <w:tc>
          <w:tcPr>
            <w:tcW w:w="1467" w:type="dxa"/>
            <w:noWrap w:val="0"/>
            <w:tcMar>
              <w:top w:w="0" w:type="dxa"/>
              <w:left w:w="57" w:type="dxa"/>
              <w:bottom w:w="0" w:type="dxa"/>
              <w:right w:w="57" w:type="dxa"/>
            </w:tcMar>
            <w:vAlign w:val="center"/>
          </w:tcPr>
          <w:p w14:paraId="55B8101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2025年11月</w:t>
            </w:r>
          </w:p>
        </w:tc>
      </w:tr>
      <w:tr w14:paraId="6D26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0" w:hRule="atLeast"/>
          <w:jc w:val="center"/>
        </w:trPr>
        <w:tc>
          <w:tcPr>
            <w:tcW w:w="735" w:type="dxa"/>
            <w:noWrap w:val="0"/>
            <w:vAlign w:val="center"/>
          </w:tcPr>
          <w:p w14:paraId="0401AF9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28</w:t>
            </w:r>
          </w:p>
        </w:tc>
        <w:tc>
          <w:tcPr>
            <w:tcW w:w="1448" w:type="dxa"/>
            <w:noWrap w:val="0"/>
            <w:vAlign w:val="center"/>
          </w:tcPr>
          <w:p w14:paraId="7FC71486">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健全防范和化解拖欠中小企业账款长效机制</w:t>
            </w:r>
          </w:p>
        </w:tc>
        <w:tc>
          <w:tcPr>
            <w:tcW w:w="7695" w:type="dxa"/>
            <w:noWrap w:val="0"/>
            <w:vAlign w:val="center"/>
          </w:tcPr>
          <w:p w14:paraId="24E68F85">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加大全市各类拖欠企业账款线索的排查力度，不断补充和完善全市清理拖欠企业账款台账，落实对拖欠主体进行函询、约谈、督导、通报的制度机制，形成惩戒约束效应。</w:t>
            </w:r>
          </w:p>
        </w:tc>
        <w:tc>
          <w:tcPr>
            <w:tcW w:w="2340" w:type="dxa"/>
            <w:noWrap w:val="0"/>
            <w:vAlign w:val="center"/>
          </w:tcPr>
          <w:p w14:paraId="38CCCB2B">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市工业和信息化局</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73EE97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2025年12月</w:t>
            </w:r>
          </w:p>
        </w:tc>
      </w:tr>
      <w:tr w14:paraId="5CFCD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5" w:hRule="atLeast"/>
          <w:jc w:val="center"/>
        </w:trPr>
        <w:tc>
          <w:tcPr>
            <w:tcW w:w="735" w:type="dxa"/>
            <w:noWrap w:val="0"/>
            <w:vAlign w:val="center"/>
          </w:tcPr>
          <w:p w14:paraId="2F01D9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29</w:t>
            </w:r>
          </w:p>
        </w:tc>
        <w:tc>
          <w:tcPr>
            <w:tcW w:w="1448" w:type="dxa"/>
            <w:noWrap w:val="0"/>
            <w:vAlign w:val="center"/>
          </w:tcPr>
          <w:p w14:paraId="04322B39">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color w:val="auto"/>
                <w:sz w:val="24"/>
                <w:szCs w:val="24"/>
                <w:highlight w:val="none"/>
                <w:u w:val="none"/>
                <w:lang w:val="en-US" w:eastAsia="zh-CN"/>
              </w:rPr>
              <w:t>建立常态化政企沟通服务机制</w:t>
            </w:r>
          </w:p>
        </w:tc>
        <w:tc>
          <w:tcPr>
            <w:tcW w:w="7695" w:type="dxa"/>
            <w:noWrap w:val="0"/>
            <w:vAlign w:val="center"/>
          </w:tcPr>
          <w:p w14:paraId="62C4E2EB">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建立政企圆桌会、座谈会、领导接待日等沟通交流机制，实施台账管理，定期梳理汇总企业反映涉及营商环境方面的意见建议和问题线索，分析企业面临的困难和问题，对重点问题、共性问题有的放矢推动解决，切实为各类经营主体排忧解难。</w:t>
            </w:r>
          </w:p>
        </w:tc>
        <w:tc>
          <w:tcPr>
            <w:tcW w:w="2340" w:type="dxa"/>
            <w:noWrap w:val="0"/>
            <w:vAlign w:val="center"/>
          </w:tcPr>
          <w:p w14:paraId="34E04821">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color w:val="auto"/>
                <w:kern w:val="2"/>
                <w:sz w:val="24"/>
                <w:szCs w:val="24"/>
                <w:highlight w:val="none"/>
                <w:u w:val="none"/>
                <w:lang w:val="en-US" w:eastAsia="zh-CN" w:bidi="ar-SA"/>
              </w:rPr>
            </w:pP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 w:eastAsia="zh-CN"/>
              </w:rPr>
              <w:t>、</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60B7647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2025年8月</w:t>
            </w:r>
          </w:p>
        </w:tc>
      </w:tr>
      <w:tr w14:paraId="60A5F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735" w:type="dxa"/>
            <w:noWrap w:val="0"/>
            <w:vAlign w:val="center"/>
          </w:tcPr>
          <w:p w14:paraId="2A33E5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30</w:t>
            </w:r>
          </w:p>
        </w:tc>
        <w:tc>
          <w:tcPr>
            <w:tcW w:w="1448" w:type="dxa"/>
            <w:noWrap w:val="0"/>
            <w:vAlign w:val="center"/>
          </w:tcPr>
          <w:p w14:paraId="1DD793A9">
            <w:pPr>
              <w:keepNext w:val="0"/>
              <w:keepLines w:val="0"/>
              <w:pageBreakBefore w:val="0"/>
              <w:widowControl w:val="0"/>
              <w:kinsoku/>
              <w:wordWrap/>
              <w:overflowPunct/>
              <w:topLinePunct w:val="0"/>
              <w:autoSpaceDE/>
              <w:autoSpaceDN/>
              <w:bidi w:val="0"/>
              <w:adjustRightInd/>
              <w:snapToGrid/>
              <w:spacing w:line="34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建立企业投诉“即诉即办”工作机制</w:t>
            </w:r>
          </w:p>
        </w:tc>
        <w:tc>
          <w:tcPr>
            <w:tcW w:w="7695" w:type="dxa"/>
            <w:noWrap w:val="0"/>
            <w:vAlign w:val="center"/>
          </w:tcPr>
          <w:p w14:paraId="35FED360">
            <w:pPr>
              <w:keepNext w:val="0"/>
              <w:keepLines w:val="0"/>
              <w:pageBreakBefore w:val="0"/>
              <w:widowControl w:val="0"/>
              <w:kinsoku/>
              <w:wordWrap/>
              <w:overflowPunct/>
              <w:topLinePunct w:val="0"/>
              <w:autoSpaceDE/>
              <w:autoSpaceDN/>
              <w:bidi w:val="0"/>
              <w:adjustRightInd/>
              <w:snapToGrid/>
              <w:spacing w:line="34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不断加大各级政企互动交流群覆盖面，公开营商环境投诉举报电话，常态化开展“营商环境接待服务日”“政府开放日”活动，拓宽企业诉求渠道，完善“受理—处理—反馈”闭环工作机制，构建实时受理、诉求分发、接件办理的高效响应体系，及时解决企业投诉问题。</w:t>
            </w:r>
          </w:p>
        </w:tc>
        <w:tc>
          <w:tcPr>
            <w:tcW w:w="2340" w:type="dxa"/>
            <w:noWrap w:val="0"/>
            <w:tcMar>
              <w:top w:w="0" w:type="dxa"/>
              <w:left w:w="57" w:type="dxa"/>
              <w:bottom w:w="0" w:type="dxa"/>
              <w:right w:w="57" w:type="dxa"/>
            </w:tcMar>
            <w:vAlign w:val="center"/>
          </w:tcPr>
          <w:p w14:paraId="4F1C1D4A">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宋体" w:hAnsi="宋体" w:eastAsia="宋体" w:cs="宋体"/>
                <w:color w:val="auto"/>
                <w:spacing w:val="0"/>
                <w:sz w:val="24"/>
                <w:szCs w:val="24"/>
                <w:highlight w:val="none"/>
                <w:u w:val="none"/>
                <w:vertAlign w:val="baseline"/>
                <w:lang w:val="en" w:eastAsia="zh-CN"/>
              </w:rPr>
            </w:pPr>
            <w:r>
              <w:rPr>
                <w:rFonts w:hint="default" w:ascii="宋体" w:hAnsi="宋体" w:eastAsia="宋体" w:cs="宋体"/>
                <w:color w:val="auto"/>
                <w:spacing w:val="0"/>
                <w:sz w:val="24"/>
                <w:szCs w:val="24"/>
                <w:highlight w:val="none"/>
                <w:u w:val="none"/>
                <w:vertAlign w:val="baseline"/>
                <w:lang w:val="en" w:eastAsia="zh-CN"/>
              </w:rPr>
              <w:t>市政务服务</w:t>
            </w:r>
          </w:p>
          <w:p w14:paraId="3D08C7DE">
            <w:pPr>
              <w:keepNext w:val="0"/>
              <w:keepLines w:val="0"/>
              <w:pageBreakBefore w:val="0"/>
              <w:widowControl w:val="0"/>
              <w:kinsoku/>
              <w:wordWrap/>
              <w:overflowPunct/>
              <w:topLinePunct w:val="0"/>
              <w:autoSpaceDE/>
              <w:autoSpaceDN/>
              <w:bidi w:val="0"/>
              <w:adjustRightInd/>
              <w:snapToGrid/>
              <w:spacing w:line="340" w:lineRule="exact"/>
              <w:ind w:firstLine="0" w:firstLineChars="0"/>
              <w:jc w:val="center"/>
              <w:textAlignment w:val="auto"/>
              <w:rPr>
                <w:rFonts w:hint="default" w:ascii="宋体" w:hAnsi="宋体" w:eastAsia="宋体" w:cs="宋体"/>
                <w:color w:val="auto"/>
                <w:kern w:val="2"/>
                <w:sz w:val="24"/>
                <w:szCs w:val="24"/>
                <w:highlight w:val="none"/>
                <w:u w:val="none"/>
                <w:vertAlign w:val="baseline"/>
                <w:lang w:val="en" w:eastAsia="zh-CN" w:bidi="ar-SA"/>
              </w:rPr>
            </w:pPr>
            <w:r>
              <w:rPr>
                <w:rFonts w:hint="default" w:ascii="宋体" w:hAnsi="宋体" w:eastAsia="宋体" w:cs="宋体"/>
                <w:color w:val="auto"/>
                <w:spacing w:val="0"/>
                <w:sz w:val="24"/>
                <w:szCs w:val="24"/>
                <w:highlight w:val="none"/>
                <w:u w:val="none"/>
                <w:vertAlign w:val="baseline"/>
                <w:lang w:val="en" w:eastAsia="zh-CN"/>
              </w:rPr>
              <w:t>和数字化局</w:t>
            </w:r>
          </w:p>
        </w:tc>
        <w:tc>
          <w:tcPr>
            <w:tcW w:w="1467" w:type="dxa"/>
            <w:noWrap w:val="0"/>
            <w:tcMar>
              <w:top w:w="0" w:type="dxa"/>
              <w:left w:w="57" w:type="dxa"/>
              <w:bottom w:w="0" w:type="dxa"/>
              <w:right w:w="57" w:type="dxa"/>
            </w:tcMar>
            <w:vAlign w:val="center"/>
          </w:tcPr>
          <w:p w14:paraId="28BFCC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2025年4月</w:t>
            </w:r>
          </w:p>
        </w:tc>
      </w:tr>
      <w:tr w14:paraId="6B9B5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735" w:type="dxa"/>
            <w:noWrap w:val="0"/>
            <w:vAlign w:val="center"/>
          </w:tcPr>
          <w:p w14:paraId="1B94E7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31</w:t>
            </w:r>
          </w:p>
        </w:tc>
        <w:tc>
          <w:tcPr>
            <w:tcW w:w="1448" w:type="dxa"/>
            <w:noWrap w:val="0"/>
            <w:vAlign w:val="center"/>
          </w:tcPr>
          <w:p w14:paraId="4A07F855">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建立明察暗访机制</w:t>
            </w:r>
          </w:p>
        </w:tc>
        <w:tc>
          <w:tcPr>
            <w:tcW w:w="7695" w:type="dxa"/>
            <w:noWrap w:val="0"/>
            <w:vAlign w:val="center"/>
          </w:tcPr>
          <w:p w14:paraId="3AC926BE">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常态化开展营商环境问题明察暗访活动，及时发现不作为、慢作为、乱作为、吃拿卡要、随意检查、任性执法等影响企业发展的突出问题。对各渠道发现的问题线索进行台账式管理，定期跟踪督办、挂牌督办，确保营商环境问题“事事有人管、件件有回声”发布《关于公开征集破坏营商环境线索的公开信》，建立线索移交机制，公开暴光破坏营商环境典型案例，提升警示震慑力度。</w:t>
            </w:r>
          </w:p>
        </w:tc>
        <w:tc>
          <w:tcPr>
            <w:tcW w:w="2340" w:type="dxa"/>
            <w:noWrap w:val="0"/>
            <w:vAlign w:val="center"/>
          </w:tcPr>
          <w:p w14:paraId="1D564DB8">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 w:eastAsia="zh-CN"/>
              </w:rPr>
              <w:t>、</w:t>
            </w: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政府、辽源高新区管委会</w:t>
            </w:r>
          </w:p>
        </w:tc>
        <w:tc>
          <w:tcPr>
            <w:tcW w:w="1467" w:type="dxa"/>
            <w:noWrap w:val="0"/>
            <w:tcMar>
              <w:top w:w="0" w:type="dxa"/>
              <w:left w:w="57" w:type="dxa"/>
              <w:bottom w:w="0" w:type="dxa"/>
              <w:right w:w="57" w:type="dxa"/>
            </w:tcMar>
            <w:vAlign w:val="center"/>
          </w:tcPr>
          <w:p w14:paraId="359D801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2025年11月</w:t>
            </w:r>
          </w:p>
        </w:tc>
      </w:tr>
      <w:tr w14:paraId="4FF4F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735" w:type="dxa"/>
            <w:noWrap w:val="0"/>
            <w:vAlign w:val="center"/>
          </w:tcPr>
          <w:p w14:paraId="529D50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32</w:t>
            </w:r>
          </w:p>
        </w:tc>
        <w:tc>
          <w:tcPr>
            <w:tcW w:w="1448" w:type="dxa"/>
            <w:noWrap w:val="0"/>
            <w:vAlign w:val="center"/>
          </w:tcPr>
          <w:p w14:paraId="4F28B639">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建立企业评议机制</w:t>
            </w:r>
          </w:p>
        </w:tc>
        <w:tc>
          <w:tcPr>
            <w:tcW w:w="7695" w:type="dxa"/>
            <w:noWrap w:val="0"/>
            <w:vAlign w:val="center"/>
          </w:tcPr>
          <w:p w14:paraId="2E7E5BCF">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召开营商环境满意度测评大会，采取政府部门主要领导现场述职+现场评议+现场公布测评成绩的方式，开展百户企业评议政府部门活动，评选出企业满意部门，把营商环境评判权交给企业，实现营商环境好不好，企业说了算。</w:t>
            </w:r>
          </w:p>
        </w:tc>
        <w:tc>
          <w:tcPr>
            <w:tcW w:w="2340" w:type="dxa"/>
            <w:noWrap w:val="0"/>
            <w:tcMar>
              <w:top w:w="0" w:type="dxa"/>
              <w:left w:w="57" w:type="dxa"/>
              <w:bottom w:w="0" w:type="dxa"/>
              <w:right w:w="57" w:type="dxa"/>
            </w:tcMar>
            <w:vAlign w:val="center"/>
          </w:tcPr>
          <w:p w14:paraId="56D6DFCB">
            <w:pPr>
              <w:keepNext w:val="0"/>
              <w:keepLines w:val="0"/>
              <w:pageBreakBefore w:val="0"/>
              <w:widowControl w:val="0"/>
              <w:kinsoku/>
              <w:wordWrap/>
              <w:overflowPunct/>
              <w:topLinePunct w:val="0"/>
              <w:autoSpaceDE/>
              <w:autoSpaceDN/>
              <w:bidi w:val="0"/>
              <w:adjustRightInd/>
              <w:snapToGrid/>
              <w:spacing w:line="290" w:lineRule="exact"/>
              <w:ind w:firstLine="0" w:firstLineChars="0"/>
              <w:jc w:val="center"/>
              <w:textAlignment w:val="auto"/>
              <w:rPr>
                <w:rFonts w:hint="default" w:ascii="宋体" w:hAnsi="宋体" w:eastAsia="宋体" w:cs="宋体"/>
                <w:color w:val="auto"/>
                <w:spacing w:val="0"/>
                <w:sz w:val="24"/>
                <w:szCs w:val="24"/>
                <w:highlight w:val="none"/>
                <w:u w:val="none"/>
                <w:vertAlign w:val="baseline"/>
                <w:lang w:val="en" w:eastAsia="zh-CN"/>
              </w:rPr>
            </w:pPr>
            <w:r>
              <w:rPr>
                <w:rFonts w:hint="default" w:ascii="宋体" w:hAnsi="宋体" w:eastAsia="宋体" w:cs="宋体"/>
                <w:color w:val="auto"/>
                <w:spacing w:val="0"/>
                <w:sz w:val="24"/>
                <w:szCs w:val="24"/>
                <w:highlight w:val="none"/>
                <w:u w:val="none"/>
                <w:vertAlign w:val="baseline"/>
                <w:lang w:val="en" w:eastAsia="zh-CN"/>
              </w:rPr>
              <w:t>市政务服务</w:t>
            </w:r>
          </w:p>
          <w:p w14:paraId="7BBABB5D">
            <w:pPr>
              <w:keepNext w:val="0"/>
              <w:keepLines w:val="0"/>
              <w:pageBreakBefore w:val="0"/>
              <w:widowControl w:val="0"/>
              <w:kinsoku/>
              <w:wordWrap/>
              <w:overflowPunct/>
              <w:topLinePunct w:val="0"/>
              <w:autoSpaceDE/>
              <w:autoSpaceDN/>
              <w:bidi w:val="0"/>
              <w:adjustRightInd/>
              <w:snapToGrid/>
              <w:spacing w:line="290" w:lineRule="exact"/>
              <w:ind w:firstLine="0" w:firstLineChars="0"/>
              <w:jc w:val="center"/>
              <w:textAlignment w:val="auto"/>
              <w:rPr>
                <w:rFonts w:hint="default" w:ascii="宋体" w:hAnsi="宋体" w:eastAsia="宋体" w:cs="宋体"/>
                <w:color w:val="auto"/>
                <w:kern w:val="2"/>
                <w:sz w:val="24"/>
                <w:szCs w:val="24"/>
                <w:highlight w:val="none"/>
                <w:u w:val="none"/>
                <w:vertAlign w:val="baseline"/>
                <w:lang w:val="en" w:eastAsia="zh-CN" w:bidi="ar-SA"/>
              </w:rPr>
            </w:pPr>
            <w:r>
              <w:rPr>
                <w:rFonts w:hint="default" w:ascii="宋体" w:hAnsi="宋体" w:eastAsia="宋体" w:cs="宋体"/>
                <w:color w:val="auto"/>
                <w:spacing w:val="0"/>
                <w:sz w:val="24"/>
                <w:szCs w:val="24"/>
                <w:highlight w:val="none"/>
                <w:u w:val="none"/>
                <w:vertAlign w:val="baseline"/>
                <w:lang w:val="en" w:eastAsia="zh-CN"/>
              </w:rPr>
              <w:t>和数字化局</w:t>
            </w:r>
          </w:p>
        </w:tc>
        <w:tc>
          <w:tcPr>
            <w:tcW w:w="1467" w:type="dxa"/>
            <w:noWrap w:val="0"/>
            <w:tcMar>
              <w:top w:w="0" w:type="dxa"/>
              <w:left w:w="57" w:type="dxa"/>
              <w:bottom w:w="0" w:type="dxa"/>
              <w:right w:w="57" w:type="dxa"/>
            </w:tcMar>
            <w:vAlign w:val="center"/>
          </w:tcPr>
          <w:p w14:paraId="50FB35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2025年12月</w:t>
            </w:r>
          </w:p>
        </w:tc>
      </w:tr>
      <w:tr w14:paraId="141B2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0" w:hRule="atLeast"/>
          <w:jc w:val="center"/>
        </w:trPr>
        <w:tc>
          <w:tcPr>
            <w:tcW w:w="735" w:type="dxa"/>
            <w:noWrap w:val="0"/>
            <w:vAlign w:val="center"/>
          </w:tcPr>
          <w:p w14:paraId="07B03F5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sz w:val="24"/>
                <w:szCs w:val="24"/>
                <w:highlight w:val="none"/>
                <w:u w:val="none"/>
                <w:vertAlign w:val="baseline"/>
                <w:lang w:val="en-US" w:eastAsia="zh-CN"/>
              </w:rPr>
            </w:pPr>
            <w:r>
              <w:rPr>
                <w:rFonts w:hint="eastAsia" w:ascii="宋体" w:hAnsi="宋体" w:eastAsia="宋体" w:cs="宋体"/>
                <w:color w:val="auto"/>
                <w:sz w:val="24"/>
                <w:szCs w:val="24"/>
                <w:highlight w:val="none"/>
                <w:u w:val="none"/>
                <w:vertAlign w:val="baseline"/>
                <w:lang w:val="en-US" w:eastAsia="zh-CN"/>
              </w:rPr>
              <w:t>33</w:t>
            </w:r>
          </w:p>
        </w:tc>
        <w:tc>
          <w:tcPr>
            <w:tcW w:w="1448" w:type="dxa"/>
            <w:noWrap w:val="0"/>
            <w:vAlign w:val="center"/>
          </w:tcPr>
          <w:p w14:paraId="7DD634DE">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建立营商环境指标预警监测机制</w:t>
            </w:r>
          </w:p>
        </w:tc>
        <w:tc>
          <w:tcPr>
            <w:tcW w:w="7695" w:type="dxa"/>
            <w:noWrap w:val="0"/>
            <w:vAlign w:val="center"/>
          </w:tcPr>
          <w:p w14:paraId="304950FA">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依托全省营商环境数字化监测体系，及时发现各领域存在突出问题，定期召开营商环境指标建设调度会议，推动各部门加大问题整改工作力度，力争做到营商环境问题尽早发现、提前介入、及时解决、未诉先办。</w:t>
            </w:r>
          </w:p>
        </w:tc>
        <w:tc>
          <w:tcPr>
            <w:tcW w:w="2340" w:type="dxa"/>
            <w:noWrap w:val="0"/>
            <w:vAlign w:val="center"/>
          </w:tcPr>
          <w:p w14:paraId="67F96F41">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市中级法院、市财政局、</w:t>
            </w:r>
            <w:r>
              <w:rPr>
                <w:rFonts w:hint="default" w:ascii="宋体" w:hAnsi="宋体" w:eastAsia="宋体" w:cs="宋体"/>
                <w:color w:val="auto"/>
                <w:sz w:val="24"/>
                <w:szCs w:val="24"/>
                <w:highlight w:val="none"/>
                <w:u w:val="none"/>
                <w:lang w:val="en" w:eastAsia="zh-CN"/>
              </w:rPr>
              <w:t>市人力资源社会保障局</w:t>
            </w:r>
            <w:r>
              <w:rPr>
                <w:rFonts w:hint="eastAsia" w:ascii="宋体" w:hAnsi="宋体" w:eastAsia="宋体" w:cs="宋体"/>
                <w:color w:val="auto"/>
                <w:sz w:val="24"/>
                <w:szCs w:val="24"/>
                <w:highlight w:val="none"/>
                <w:u w:val="none"/>
                <w:lang w:val="en-US" w:eastAsia="zh-CN"/>
              </w:rPr>
              <w:t>、市自然资源局、</w:t>
            </w:r>
            <w:r>
              <w:rPr>
                <w:rFonts w:hint="default" w:ascii="宋体" w:hAnsi="宋体" w:eastAsia="宋体" w:cs="宋体"/>
                <w:color w:val="auto"/>
                <w:sz w:val="24"/>
                <w:szCs w:val="24"/>
                <w:highlight w:val="none"/>
                <w:u w:val="none"/>
                <w:lang w:val="en" w:eastAsia="zh-CN"/>
              </w:rPr>
              <w:t>市住房城乡建设局</w:t>
            </w:r>
            <w:r>
              <w:rPr>
                <w:rFonts w:hint="eastAsia" w:ascii="宋体" w:hAnsi="宋体" w:eastAsia="宋体" w:cs="宋体"/>
                <w:color w:val="auto"/>
                <w:sz w:val="24"/>
                <w:szCs w:val="24"/>
                <w:highlight w:val="none"/>
                <w:u w:val="none"/>
                <w:lang w:val="en-US" w:eastAsia="zh-CN"/>
              </w:rPr>
              <w:t>、市市场监管局、</w:t>
            </w:r>
            <w:r>
              <w:rPr>
                <w:rFonts w:hint="default" w:ascii="宋体" w:hAnsi="宋体" w:eastAsia="宋体" w:cs="宋体"/>
                <w:color w:val="auto"/>
                <w:sz w:val="24"/>
                <w:szCs w:val="24"/>
                <w:highlight w:val="none"/>
                <w:u w:val="none"/>
                <w:lang w:val="en" w:eastAsia="zh-CN"/>
              </w:rPr>
              <w:t>市政务服务和数字化局</w:t>
            </w:r>
            <w:r>
              <w:rPr>
                <w:rFonts w:hint="eastAsia" w:ascii="宋体" w:hAnsi="宋体" w:eastAsia="宋体" w:cs="宋体"/>
                <w:color w:val="auto"/>
                <w:sz w:val="24"/>
                <w:szCs w:val="24"/>
                <w:highlight w:val="none"/>
                <w:u w:val="none"/>
                <w:lang w:val="en-US" w:eastAsia="zh-CN"/>
              </w:rPr>
              <w:t>、市税务局、国网辽源供电公司</w:t>
            </w:r>
          </w:p>
        </w:tc>
        <w:tc>
          <w:tcPr>
            <w:tcW w:w="1467" w:type="dxa"/>
            <w:noWrap w:val="0"/>
            <w:tcMar>
              <w:top w:w="0" w:type="dxa"/>
              <w:left w:w="57" w:type="dxa"/>
              <w:bottom w:w="0" w:type="dxa"/>
              <w:right w:w="57" w:type="dxa"/>
            </w:tcMar>
            <w:vAlign w:val="center"/>
          </w:tcPr>
          <w:p w14:paraId="27C1663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2025年11月</w:t>
            </w:r>
          </w:p>
        </w:tc>
      </w:tr>
      <w:tr w14:paraId="34349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5" w:hRule="atLeast"/>
          <w:jc w:val="center"/>
        </w:trPr>
        <w:tc>
          <w:tcPr>
            <w:tcW w:w="735" w:type="dxa"/>
            <w:noWrap w:val="0"/>
            <w:vAlign w:val="center"/>
          </w:tcPr>
          <w:p w14:paraId="4347AD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vertAlign w:val="baseline"/>
                <w:lang w:val="en-US" w:eastAsia="zh-CN"/>
              </w:rPr>
              <w:t>34</w:t>
            </w:r>
          </w:p>
        </w:tc>
        <w:tc>
          <w:tcPr>
            <w:tcW w:w="1448" w:type="dxa"/>
            <w:noWrap w:val="0"/>
            <w:vAlign w:val="center"/>
          </w:tcPr>
          <w:p w14:paraId="4485E9C3">
            <w:pPr>
              <w:keepNext w:val="0"/>
              <w:keepLines w:val="0"/>
              <w:pageBreakBefore w:val="0"/>
              <w:widowControl w:val="0"/>
              <w:kinsoku/>
              <w:wordWrap/>
              <w:overflowPunct/>
              <w:topLinePunct w:val="0"/>
              <w:autoSpaceDE/>
              <w:autoSpaceDN/>
              <w:bidi w:val="0"/>
              <w:adjustRightInd/>
              <w:snapToGrid/>
              <w:spacing w:line="290" w:lineRule="exact"/>
              <w:ind w:firstLine="480" w:firstLineChars="200"/>
              <w:jc w:val="both"/>
              <w:textAlignment w:val="auto"/>
              <w:rPr>
                <w:rFonts w:hint="eastAsia" w:ascii="宋体" w:hAnsi="宋体" w:eastAsia="宋体" w:cs="宋体"/>
                <w:b w:val="0"/>
                <w:bCs w:val="0"/>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建立营商环境共建机制</w:t>
            </w:r>
          </w:p>
        </w:tc>
        <w:tc>
          <w:tcPr>
            <w:tcW w:w="7695" w:type="dxa"/>
            <w:noWrap w:val="0"/>
            <w:vAlign w:val="center"/>
          </w:tcPr>
          <w:p w14:paraId="467C33B3">
            <w:pPr>
              <w:keepNext w:val="0"/>
              <w:keepLines w:val="0"/>
              <w:pageBreakBefore w:val="0"/>
              <w:widowControl w:val="0"/>
              <w:kinsoku/>
              <w:wordWrap/>
              <w:overflowPunct/>
              <w:topLinePunct w:val="0"/>
              <w:autoSpaceDE/>
              <w:autoSpaceDN/>
              <w:bidi w:val="0"/>
              <w:adjustRightInd/>
              <w:snapToGrid/>
              <w:spacing w:line="290" w:lineRule="exact"/>
              <w:jc w:val="both"/>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　　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各部门要狠抓落实，持续跟踪监测政策执行情况和实施效果，及时总结成功经验做法，充分利用政府网站、新闻发布、政务新媒体等平台资源，全方位、立体式宣传优化营商环境的新政策、新举措和新成效，讲好“辽源故事”，营造“人人都是营商环境、处处都是营商环境”的良好社会氛围。辽源融媒体等主流媒体要深入挖掘并广泛传播企业家的创业历程、创新精神和社会贡献，积极树立优秀企业家典范，营造全社会尊重和关爱企业家的浓厚氛围，为持续优化营商环境注入新的活力。</w:t>
            </w:r>
          </w:p>
        </w:tc>
        <w:tc>
          <w:tcPr>
            <w:tcW w:w="2340" w:type="dxa"/>
            <w:noWrap w:val="0"/>
            <w:vAlign w:val="center"/>
          </w:tcPr>
          <w:p w14:paraId="4D8D2FB6">
            <w:pPr>
              <w:keepNext w:val="0"/>
              <w:keepLines w:val="0"/>
              <w:pageBreakBefore w:val="0"/>
              <w:widowControl w:val="0"/>
              <w:kinsoku/>
              <w:wordWrap/>
              <w:overflowPunct/>
              <w:topLinePunct w:val="0"/>
              <w:autoSpaceDE/>
              <w:autoSpaceDN/>
              <w:bidi w:val="0"/>
              <w:adjustRightInd/>
              <w:snapToGrid/>
              <w:spacing w:line="290" w:lineRule="exact"/>
              <w:ind w:firstLine="0" w:firstLineChars="0"/>
              <w:jc w:val="center"/>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u w:val="none"/>
                <w:lang w:val="en-US" w:eastAsia="zh-CN"/>
              </w:rPr>
              <w:t>各</w:t>
            </w:r>
            <w:r>
              <w:rPr>
                <w:rFonts w:hint="default" w:ascii="宋体" w:hAnsi="宋体" w:eastAsia="宋体" w:cs="宋体"/>
                <w:color w:val="auto"/>
                <w:sz w:val="24"/>
                <w:szCs w:val="24"/>
                <w:highlight w:val="none"/>
                <w:u w:val="none"/>
                <w:lang w:val="en" w:eastAsia="zh-CN"/>
              </w:rPr>
              <w:t>县区</w:t>
            </w:r>
            <w:r>
              <w:rPr>
                <w:rFonts w:hint="eastAsia" w:ascii="宋体" w:hAnsi="宋体" w:eastAsia="宋体" w:cs="宋体"/>
                <w:color w:val="auto"/>
                <w:sz w:val="24"/>
                <w:szCs w:val="24"/>
                <w:highlight w:val="none"/>
                <w:u w:val="none"/>
                <w:lang w:val="en-US" w:eastAsia="zh-CN"/>
              </w:rPr>
              <w:t>政府</w:t>
            </w:r>
          </w:p>
          <w:p w14:paraId="4DB570EB">
            <w:pPr>
              <w:keepNext w:val="0"/>
              <w:keepLines w:val="0"/>
              <w:pageBreakBefore w:val="0"/>
              <w:widowControl w:val="0"/>
              <w:kinsoku/>
              <w:wordWrap/>
              <w:overflowPunct/>
              <w:topLinePunct w:val="0"/>
              <w:autoSpaceDE/>
              <w:autoSpaceDN/>
              <w:bidi w:val="0"/>
              <w:adjustRightInd/>
              <w:snapToGrid/>
              <w:spacing w:line="290" w:lineRule="exact"/>
              <w:ind w:firstLine="0" w:firstLineChars="0"/>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sz w:val="24"/>
                <w:szCs w:val="24"/>
                <w:highlight w:val="none"/>
                <w:u w:val="none"/>
                <w:lang w:val="en-US" w:eastAsia="zh-CN"/>
              </w:rPr>
              <w:t>辽源高新区管委会</w:t>
            </w:r>
          </w:p>
        </w:tc>
        <w:tc>
          <w:tcPr>
            <w:tcW w:w="1467" w:type="dxa"/>
            <w:noWrap w:val="0"/>
            <w:tcMar>
              <w:top w:w="0" w:type="dxa"/>
              <w:left w:w="57" w:type="dxa"/>
              <w:bottom w:w="0" w:type="dxa"/>
              <w:right w:w="57" w:type="dxa"/>
            </w:tcMar>
            <w:vAlign w:val="center"/>
          </w:tcPr>
          <w:p w14:paraId="4DDB153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auto"/>
                <w:kern w:val="2"/>
                <w:sz w:val="24"/>
                <w:szCs w:val="24"/>
                <w:highlight w:val="none"/>
                <w:u w:val="none"/>
                <w:vertAlign w:val="baseline"/>
                <w:lang w:val="en-US" w:eastAsia="zh-CN" w:bidi="ar-SA"/>
              </w:rPr>
            </w:pPr>
            <w:r>
              <w:rPr>
                <w:rFonts w:hint="eastAsia" w:ascii="宋体" w:hAnsi="宋体" w:eastAsia="宋体" w:cs="宋体"/>
                <w:color w:val="auto"/>
                <w:kern w:val="2"/>
                <w:sz w:val="24"/>
                <w:szCs w:val="24"/>
                <w:highlight w:val="none"/>
                <w:u w:val="none"/>
                <w:vertAlign w:val="baseline"/>
                <w:lang w:val="en-US" w:eastAsia="zh-CN" w:bidi="ar-SA"/>
              </w:rPr>
              <w:t>2025年12月</w:t>
            </w:r>
          </w:p>
        </w:tc>
      </w:tr>
    </w:tbl>
    <w:p w14:paraId="72799E5F">
      <w:pPr>
        <w:pStyle w:val="2"/>
        <w:rPr>
          <w:rFonts w:hint="eastAsia" w:ascii="方正仿宋_GBK" w:hAnsi="方正仿宋_GBK" w:eastAsia="方正仿宋_GBK" w:cs="方正仿宋_GBK"/>
          <w:sz w:val="32"/>
          <w:szCs w:val="32"/>
          <w:lang w:val="en" w:eastAsia="zh-CN"/>
        </w:rPr>
        <w:sectPr>
          <w:footerReference r:id="rId3" w:type="default"/>
          <w:pgSz w:w="16838" w:h="11906" w:orient="landscape"/>
          <w:pgMar w:top="1587" w:right="2098" w:bottom="1497" w:left="1984" w:header="851" w:footer="1474" w:gutter="0"/>
          <w:pgNumType w:fmt="decimalFullWidth"/>
          <w:cols w:space="720" w:num="1"/>
          <w:rtlGutter w:val="0"/>
          <w:docGrid w:type="lines" w:linePitch="315" w:charSpace="0"/>
        </w:sectPr>
      </w:pPr>
      <w:bookmarkStart w:id="3" w:name="_GoBack"/>
      <w:bookmarkEnd w:id="3"/>
    </w:p>
    <w:p w14:paraId="0F72E4EF"/>
    <w:sectPr>
      <w:pgSz w:w="11906" w:h="16838"/>
      <w:pgMar w:top="2098" w:right="1497" w:bottom="1984" w:left="1587" w:header="851" w:footer="1474" w:gutter="0"/>
      <w:pgNumType w:fmt="decimalFullWidth"/>
      <w:cols w:space="72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C239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939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39800" cy="1828800"/>
                      </a:xfrm>
                      <a:prstGeom prst="rect">
                        <a:avLst/>
                      </a:prstGeom>
                      <a:noFill/>
                      <a:ln w="6350">
                        <a:noFill/>
                      </a:ln>
                      <a:effectLst/>
                    </wps:spPr>
                    <wps:txbx>
                      <w:txbxContent>
                        <w:p w14:paraId="7C39406B">
                          <w:pPr>
                            <w:pStyle w:val="3"/>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74pt;mso-position-horizontal:outside;mso-position-horizontal-relative:margin;z-index:251659264;mso-width-relative:page;mso-height-relative:page;" filled="f" stroked="f" coordsize="21600,21600" o:gfxdata="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dtWGx0gAAAAUBAAAPAAAAAAAAAAEAIAAAACIAAABkcnMvZG93&#10;bnJldi54bWxQSwECFAAUAAAACACHTuJAPSJb2T8CAABwBAAADgAAAAAAAAABACAAAAAhAQAAZHJz&#10;L2Uyb0RvYy54bWxQSwUGAAAAAAYABgBZAQAA0gUAAAAA&#10;">
              <v:path/>
              <v:fill on="f" focussize="0,0"/>
              <v:stroke on="f" weight="0.5pt"/>
              <v:imagedata o:title=""/>
              <o:lock v:ext="edit" aspectratio="f"/>
              <v:textbox inset="0mm,0mm,0mm,0mm" style="mso-fit-shape-to-text:t;">
                <w:txbxContent>
                  <w:p w14:paraId="7C39406B">
                    <w:pPr>
                      <w:pStyle w:val="3"/>
                      <w:jc w:val="center"/>
                    </w:pPr>
                    <w:r>
                      <w:rPr>
                        <w:rFonts w:hint="eastAsia"/>
                        <w:sz w:val="28"/>
                        <w:szCs w:val="28"/>
                        <w:lang w:eastAsia="zh-CN"/>
                      </w:rPr>
                      <w:t>—</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rFonts w:hint="eastAsia"/>
                        <w:sz w:val="28"/>
                        <w:szCs w:val="28"/>
                        <w:lang w:eastAsia="zh-CN"/>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B848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customStyle="1" w:styleId="2">
    <w:name w:val="BodyText"/>
    <w:basedOn w:val="1"/>
    <w:qFormat/>
    <w:uiPriority w:val="0"/>
    <w:pPr>
      <w:spacing w:beforeAutospacing="0" w:after="120" w:afterLines="0" w:afterAutospacing="0"/>
    </w:pPr>
  </w:style>
  <w:style w:type="paragraph" w:styleId="3">
    <w:name w:val="footer"/>
    <w:basedOn w:val="1"/>
    <w:uiPriority w:val="0"/>
    <w:pPr>
      <w:tabs>
        <w:tab w:val="center" w:pos="4153"/>
        <w:tab w:val="right" w:pos="8306"/>
      </w:tabs>
      <w:snapToGrid w:val="0"/>
      <w:jc w:val="left"/>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2025-06-18T07:44:54Z</dcterms:created>
  <dc:creator>Administrator</dc:creator>
  <cp:lastModifiedBy>Administrator</cp:lastModifiedBy>
  <dcterms:modified xsi:type="dcterms:W3CDTF">2025-06-18T07:45:38Z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eyJoZGlkIjoiMWI1NjQ1NzBhZGM2ODYyOGNhOWE5ZDg2NjBhZWMzYjIifQ==</vt:lpwstr>
  </property>
  <property fmtid="{D5CDD505-2E9C-101B-9397-08002B2CF9AE}" pid="4" name="ICV">
    <vt:lpwstr>976579983BEB4E398760BCFA1EA1077F_12</vt:lpwstr>
  </property>
</Properties>
</file>